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4589D1" w14:textId="77777777" w:rsidR="0022416D" w:rsidRPr="00B9073A" w:rsidRDefault="0022416D" w:rsidP="00AC0C2D">
      <w:pPr>
        <w:spacing w:after="0" w:line="240" w:lineRule="auto"/>
        <w:jc w:val="center"/>
        <w:rPr>
          <w:b/>
          <w:color w:val="002060"/>
          <w:sz w:val="28"/>
        </w:rPr>
      </w:pPr>
      <w:r w:rsidRPr="00B9073A">
        <w:rPr>
          <w:b/>
          <w:color w:val="002060"/>
          <w:sz w:val="28"/>
        </w:rPr>
        <w:t>Non-respect par les pharmaciens de leurs obligations en matière de luttes contre les médicaments falsifiés</w:t>
      </w:r>
      <w:r w:rsidR="00A65B75" w:rsidRPr="00B9073A">
        <w:rPr>
          <w:b/>
          <w:color w:val="002060"/>
          <w:sz w:val="28"/>
        </w:rPr>
        <w:t xml:space="preserve"> : </w:t>
      </w:r>
      <w:r w:rsidRPr="00B9073A">
        <w:rPr>
          <w:b/>
          <w:color w:val="002060"/>
          <w:sz w:val="28"/>
        </w:rPr>
        <w:t>procédures de sanctions envisageables</w:t>
      </w:r>
      <w:r w:rsidR="00175324">
        <w:rPr>
          <w:b/>
          <w:color w:val="002060"/>
          <w:sz w:val="28"/>
        </w:rPr>
        <w:t xml:space="preserve"> par les ARS</w:t>
      </w:r>
      <w:r w:rsidR="00163C51">
        <w:rPr>
          <w:b/>
          <w:color w:val="002060"/>
          <w:sz w:val="28"/>
        </w:rPr>
        <w:t xml:space="preserve"> pour les officines de pharmacie </w:t>
      </w:r>
    </w:p>
    <w:p w14:paraId="66C5048B" w14:textId="3C1E552E" w:rsidR="0022416D" w:rsidRDefault="005B3979" w:rsidP="00175324">
      <w:pPr>
        <w:spacing w:after="0" w:line="240" w:lineRule="auto"/>
        <w:jc w:val="center"/>
      </w:pPr>
      <w:r>
        <w:t xml:space="preserve">DGS </w:t>
      </w:r>
      <w:r w:rsidR="00313CFD">
        <w:t>–</w:t>
      </w:r>
      <w:r>
        <w:t xml:space="preserve"> </w:t>
      </w:r>
      <w:bookmarkStart w:id="0" w:name="_GoBack"/>
      <w:r w:rsidR="00313CFD">
        <w:t>novembre</w:t>
      </w:r>
      <w:bookmarkEnd w:id="0"/>
      <w:r w:rsidR="00313CFD">
        <w:t xml:space="preserve"> </w:t>
      </w:r>
      <w:r w:rsidR="00175324">
        <w:t>2022</w:t>
      </w:r>
    </w:p>
    <w:p w14:paraId="2F4C3EBC" w14:textId="77777777" w:rsidR="00175324" w:rsidRPr="005B3979" w:rsidRDefault="00175324" w:rsidP="00AC0C2D">
      <w:pPr>
        <w:spacing w:after="0" w:line="240" w:lineRule="auto"/>
      </w:pPr>
    </w:p>
    <w:p w14:paraId="1B0F7DE7" w14:textId="77777777" w:rsidR="00AC0C2D" w:rsidRPr="005B3979" w:rsidRDefault="00AC0C2D" w:rsidP="00AC0C2D">
      <w:pPr>
        <w:spacing w:after="0" w:line="240" w:lineRule="auto"/>
        <w:jc w:val="both"/>
      </w:pPr>
      <w:r w:rsidRPr="005B3979">
        <w:rPr>
          <w:b/>
        </w:rPr>
        <w:t>Depuis le 9 février 2019</w:t>
      </w:r>
      <w:r w:rsidRPr="005B3979">
        <w:t>,</w:t>
      </w:r>
      <w:r w:rsidR="0022416D" w:rsidRPr="005B3979">
        <w:t xml:space="preserve"> les pharmaciens ont l’obligation</w:t>
      </w:r>
      <w:r w:rsidRPr="005B3979">
        <w:t> :</w:t>
      </w:r>
    </w:p>
    <w:p w14:paraId="3C5DC4F6" w14:textId="77777777" w:rsidR="00AC0C2D" w:rsidRPr="005B3979" w:rsidRDefault="009C06ED" w:rsidP="00AC0C2D">
      <w:pPr>
        <w:pStyle w:val="Paragraphedeliste"/>
        <w:numPr>
          <w:ilvl w:val="0"/>
          <w:numId w:val="4"/>
        </w:numPr>
        <w:spacing w:after="0" w:line="240" w:lineRule="auto"/>
        <w:jc w:val="both"/>
      </w:pPr>
      <w:r w:rsidRPr="005B3979">
        <w:t>De</w:t>
      </w:r>
      <w:r w:rsidR="0022416D" w:rsidRPr="005B3979">
        <w:t xml:space="preserve"> vérifier les dispositifs de sécurité</w:t>
      </w:r>
      <w:r w:rsidR="00AC0C2D" w:rsidRPr="005B3979">
        <w:t xml:space="preserve"> des médicaments,</w:t>
      </w:r>
    </w:p>
    <w:p w14:paraId="7459D420" w14:textId="77777777" w:rsidR="0022416D" w:rsidRPr="005B3979" w:rsidRDefault="009C06ED" w:rsidP="00AC0C2D">
      <w:pPr>
        <w:pStyle w:val="Paragraphedeliste"/>
        <w:numPr>
          <w:ilvl w:val="0"/>
          <w:numId w:val="4"/>
        </w:numPr>
        <w:spacing w:after="0" w:line="240" w:lineRule="auto"/>
        <w:jc w:val="both"/>
      </w:pPr>
      <w:r w:rsidRPr="005B3979">
        <w:t>Et</w:t>
      </w:r>
      <w:r w:rsidR="0022416D" w:rsidRPr="005B3979">
        <w:t xml:space="preserve"> de désactiver l’identifiant unique figurant sur les boites de médicaments soumis à prescription médicale obligatoire. </w:t>
      </w:r>
    </w:p>
    <w:p w14:paraId="352BC9C2" w14:textId="77777777" w:rsidR="00B9073A" w:rsidRPr="005B3979" w:rsidRDefault="00AC0C2D" w:rsidP="00AC0C2D">
      <w:pPr>
        <w:spacing w:after="0"/>
        <w:jc w:val="both"/>
      </w:pPr>
      <w:r w:rsidRPr="005B3979">
        <w:t>Cette obligation européenne découle du règlement délégué 2016/161</w:t>
      </w:r>
      <w:r w:rsidRPr="005B3979">
        <w:rPr>
          <w:rStyle w:val="Appelnotedebasdep"/>
        </w:rPr>
        <w:footnoteReference w:id="1"/>
      </w:r>
      <w:r w:rsidRPr="005B3979">
        <w:t xml:space="preserve"> et a été rappelée dans les </w:t>
      </w:r>
      <w:r w:rsidRPr="005B3979">
        <w:rPr>
          <w:u w:val="single"/>
        </w:rPr>
        <w:t>bonnes pratiques de dispensation des médicaments en officine</w:t>
      </w:r>
      <w:r w:rsidRPr="005B3979">
        <w:rPr>
          <w:rStyle w:val="Appelnotedebasdep"/>
        </w:rPr>
        <w:footnoteReference w:id="2"/>
      </w:r>
      <w:r w:rsidRPr="005B3979">
        <w:t>.</w:t>
      </w:r>
    </w:p>
    <w:p w14:paraId="6BE7F44F" w14:textId="77777777" w:rsidR="00E11A3B" w:rsidRDefault="00E11A3B" w:rsidP="00DC7EFE">
      <w:pPr>
        <w:spacing w:after="0" w:line="240" w:lineRule="auto"/>
        <w:jc w:val="both"/>
      </w:pPr>
    </w:p>
    <w:p w14:paraId="3C947CED" w14:textId="77777777" w:rsidR="00B9073A" w:rsidRPr="005B3979" w:rsidRDefault="00E11A3B" w:rsidP="00DC7EFE">
      <w:pPr>
        <w:spacing w:after="0" w:line="240" w:lineRule="auto"/>
        <w:jc w:val="both"/>
      </w:pPr>
      <w:r>
        <w:t>Ces dernières stipulent que les pharmaciens contribuent à la lutte contre la falsification des médicaments telle que prévue par les articles 54 et 54 bis de la directive du 8 juin 2011 et le règlement délégué 2016/161 du 2 octobre 2015. En France, tous les médicaments soumis à prescription médicale obligatoire sont concernés par cette réglementation (article R. 5121-138-1 du code de la santé publique), à l’exception de ceux listés à l’annexe 1 du règlement délégué 2016/161 du 2 octobre 2015. Sont également concernés par cette obligation, certains médicaments sur prescription médicale facultative prévue à l’annexe 2 du règlement délégué 2016/161 du 2 octobre 2015. Tous ces médicaments comportent deux types de dispositifs de sécurité présents sur les boîtes de ces médicaments : un dispositif antieffraction et un identifiant unique (article R. 5121-138-2 du code de la santé publique). Les pharmaciens vérifient les dispositifs de sécurité et désactivent l’identifiant unique.</w:t>
      </w:r>
      <w:r>
        <w:cr/>
      </w:r>
    </w:p>
    <w:p w14:paraId="27895E40" w14:textId="77777777" w:rsidR="00646B36" w:rsidRPr="005B3979" w:rsidRDefault="00646B36" w:rsidP="00DC7EFE">
      <w:pPr>
        <w:spacing w:after="0" w:line="240" w:lineRule="auto"/>
        <w:jc w:val="both"/>
      </w:pPr>
      <w:r w:rsidRPr="005B3979">
        <w:rPr>
          <w:b/>
        </w:rPr>
        <w:t>Au 1</w:t>
      </w:r>
      <w:r w:rsidR="00DC7EFE" w:rsidRPr="005B3979">
        <w:rPr>
          <w:b/>
          <w:vertAlign w:val="superscript"/>
        </w:rPr>
        <w:t>er</w:t>
      </w:r>
      <w:r w:rsidR="00DC7EFE" w:rsidRPr="005B3979">
        <w:rPr>
          <w:b/>
        </w:rPr>
        <w:t xml:space="preserve"> </w:t>
      </w:r>
      <w:r w:rsidR="005B3979" w:rsidRPr="005B3979">
        <w:rPr>
          <w:b/>
        </w:rPr>
        <w:t>novembre</w:t>
      </w:r>
      <w:r w:rsidRPr="005B3979">
        <w:rPr>
          <w:b/>
        </w:rPr>
        <w:t xml:space="preserve"> 2022, 1</w:t>
      </w:r>
      <w:r w:rsidR="005B3979" w:rsidRPr="005B3979">
        <w:rPr>
          <w:b/>
        </w:rPr>
        <w:t>1 448</w:t>
      </w:r>
      <w:r w:rsidRPr="005B3979">
        <w:rPr>
          <w:b/>
        </w:rPr>
        <w:t xml:space="preserve"> officines ne désactivent pas les identifiants</w:t>
      </w:r>
      <w:r w:rsidR="00DC7EFE" w:rsidRPr="005B3979">
        <w:rPr>
          <w:b/>
        </w:rPr>
        <w:t xml:space="preserve"> uniques</w:t>
      </w:r>
      <w:r w:rsidRPr="005B3979">
        <w:t xml:space="preserve"> des boîtes de médicaments sérialisés, soit environ la mo</w:t>
      </w:r>
      <w:r w:rsidR="005B3979" w:rsidRPr="005B3979">
        <w:t>itié des officines en France (55,2</w:t>
      </w:r>
      <w:r w:rsidRPr="005B3979">
        <w:t xml:space="preserve"> %)</w:t>
      </w:r>
      <w:r w:rsidR="00DC7EFE" w:rsidRPr="005B3979">
        <w:t xml:space="preserve">. </w:t>
      </w:r>
      <w:r w:rsidRPr="005B3979">
        <w:t>Or</w:t>
      </w:r>
      <w:r w:rsidR="00DC7EFE" w:rsidRPr="005B3979">
        <w:t xml:space="preserve">, trois ans et demi après l’entrée en vigueur de cette obligation européenne, la France s’expose à un </w:t>
      </w:r>
      <w:r w:rsidR="00DC7EFE" w:rsidRPr="005B3979">
        <w:rPr>
          <w:u w:val="single"/>
        </w:rPr>
        <w:t>risque imminent de sanction financière</w:t>
      </w:r>
      <w:r w:rsidR="00DC7EFE" w:rsidRPr="005B3979">
        <w:t xml:space="preserve"> devant la Cour de justice de l’Union européenne (350 à 400M€), en plus d’</w:t>
      </w:r>
      <w:r w:rsidR="00DC7EFE" w:rsidRPr="005B3979">
        <w:rPr>
          <w:u w:val="single"/>
        </w:rPr>
        <w:t>augmenter le risque d’introduction de médicaments falsifiés dans la chaine pharmaceutique européenne</w:t>
      </w:r>
      <w:r w:rsidR="00DC7EFE" w:rsidRPr="005B3979">
        <w:t xml:space="preserve"> (les identifiants uniques n’étant pas désactivés dans le répertoire commun, les conditionnements et les identifiants peuvent être réutilisés et remis sur le marché).</w:t>
      </w:r>
    </w:p>
    <w:p w14:paraId="5BF18208" w14:textId="77777777" w:rsidR="00646B36" w:rsidRPr="005B3979" w:rsidRDefault="00646B36" w:rsidP="00AC0C2D">
      <w:pPr>
        <w:spacing w:after="0"/>
        <w:jc w:val="both"/>
      </w:pPr>
    </w:p>
    <w:p w14:paraId="5B16635E" w14:textId="77777777" w:rsidR="00B9073A" w:rsidRPr="005B3979" w:rsidRDefault="00B9073A" w:rsidP="00AC0C2D">
      <w:pPr>
        <w:spacing w:after="0"/>
        <w:jc w:val="both"/>
      </w:pPr>
      <w:r w:rsidRPr="005B3979">
        <w:t>Les ARS, lorsqu’elles constatent qu’un pharmacien ne respecte pas ces obligations, peuvent engager trois différents types de procédure :</w:t>
      </w:r>
    </w:p>
    <w:p w14:paraId="04EEEDA9" w14:textId="77777777" w:rsidR="00AC0C2D" w:rsidRPr="005B3979" w:rsidRDefault="00AC0C2D" w:rsidP="00AC0C2D">
      <w:pPr>
        <w:spacing w:after="0" w:line="240" w:lineRule="auto"/>
      </w:pPr>
    </w:p>
    <w:p w14:paraId="5D201E12" w14:textId="77777777" w:rsidR="0022416D" w:rsidRPr="00B94BA6" w:rsidRDefault="0022416D" w:rsidP="00B94BA6">
      <w:pPr>
        <w:pStyle w:val="Titre2"/>
        <w:numPr>
          <w:ilvl w:val="0"/>
          <w:numId w:val="6"/>
        </w:numPr>
        <w:rPr>
          <w:b/>
        </w:rPr>
      </w:pPr>
      <w:r w:rsidRPr="00B94BA6">
        <w:rPr>
          <w:b/>
        </w:rPr>
        <w:t xml:space="preserve">Sanctions pénales </w:t>
      </w:r>
    </w:p>
    <w:p w14:paraId="342E82CA" w14:textId="77777777" w:rsidR="00AC0C2D" w:rsidRDefault="00AC0C2D" w:rsidP="00AC0C2D">
      <w:pPr>
        <w:spacing w:after="0" w:line="240" w:lineRule="auto"/>
        <w:jc w:val="both"/>
      </w:pPr>
    </w:p>
    <w:p w14:paraId="775C4896" w14:textId="77777777" w:rsidR="0022416D" w:rsidRPr="005B3979" w:rsidRDefault="0022416D" w:rsidP="00AC0C2D">
      <w:pPr>
        <w:spacing w:after="0" w:line="240" w:lineRule="auto"/>
        <w:jc w:val="both"/>
      </w:pPr>
      <w:r w:rsidRPr="005B3979">
        <w:t xml:space="preserve">Aux termes des dispositions de </w:t>
      </w:r>
      <w:hyperlink r:id="rId8" w:history="1">
        <w:r w:rsidR="00AC0C2D" w:rsidRPr="00CF24A5">
          <w:rPr>
            <w:rStyle w:val="Lienhypertexte"/>
          </w:rPr>
          <w:t>l’article L. 5421-1</w:t>
        </w:r>
      </w:hyperlink>
      <w:r w:rsidR="00AC0C2D" w:rsidRPr="005B3979">
        <w:rPr>
          <w:b/>
        </w:rPr>
        <w:t xml:space="preserve"> </w:t>
      </w:r>
      <w:r w:rsidR="00AC0C2D" w:rsidRPr="005B3979">
        <w:t>du code de la santé publique</w:t>
      </w:r>
      <w:r w:rsidRPr="005B3979">
        <w:t xml:space="preserve">, le fait de ne pas respecter </w:t>
      </w:r>
      <w:r w:rsidR="00B94BA6" w:rsidRPr="005B3979">
        <w:t>les</w:t>
      </w:r>
      <w:r w:rsidRPr="005B3979">
        <w:t xml:space="preserve"> bonnes pratiques</w:t>
      </w:r>
      <w:r w:rsidR="00B94BA6" w:rsidRPr="005B3979">
        <w:t xml:space="preserve"> de dispensation</w:t>
      </w:r>
      <w:r w:rsidRPr="005B3979">
        <w:t xml:space="preserve"> est puni </w:t>
      </w:r>
      <w:r w:rsidR="00B94BA6" w:rsidRPr="005B3979">
        <w:t xml:space="preserve">d’une </w:t>
      </w:r>
      <w:r w:rsidR="00B94BA6" w:rsidRPr="005B3979">
        <w:rPr>
          <w:b/>
        </w:rPr>
        <w:t>sanction pénale</w:t>
      </w:r>
      <w:r w:rsidR="00B94BA6" w:rsidRPr="005B3979">
        <w:t xml:space="preserve"> </w:t>
      </w:r>
      <w:r w:rsidRPr="005B3979">
        <w:t xml:space="preserve">d’un an d’emprisonnement et de 150 000 euros d’amende, pour autant que </w:t>
      </w:r>
      <w:r w:rsidRPr="005B3979">
        <w:rPr>
          <w:i/>
        </w:rPr>
        <w:t xml:space="preserve">« leur méconnaissance est de nature à entraîner </w:t>
      </w:r>
      <w:r w:rsidRPr="005B3979">
        <w:rPr>
          <w:i/>
          <w:u w:val="single"/>
        </w:rPr>
        <w:t>un risque grave</w:t>
      </w:r>
      <w:r w:rsidRPr="005B3979">
        <w:rPr>
          <w:i/>
        </w:rPr>
        <w:t xml:space="preserve"> pour la santé publique »</w:t>
      </w:r>
      <w:r w:rsidRPr="005B3979">
        <w:t>.</w:t>
      </w:r>
    </w:p>
    <w:p w14:paraId="2A598E17" w14:textId="77777777" w:rsidR="0022416D" w:rsidRPr="005B3979" w:rsidRDefault="0022416D" w:rsidP="00AC0C2D">
      <w:pPr>
        <w:spacing w:after="0" w:line="240" w:lineRule="auto"/>
      </w:pPr>
    </w:p>
    <w:p w14:paraId="48ACDBE6" w14:textId="3A3915B5" w:rsidR="0022416D" w:rsidRPr="005B3979" w:rsidRDefault="00B2212B" w:rsidP="00AC0C2D">
      <w:pPr>
        <w:spacing w:after="0" w:line="240" w:lineRule="auto"/>
        <w:jc w:val="both"/>
      </w:pPr>
      <w:r w:rsidRPr="005B3979">
        <w:t>Or, i</w:t>
      </w:r>
      <w:r w:rsidR="0022416D" w:rsidRPr="005B3979">
        <w:t xml:space="preserve">l n’est pas certain que le fait </w:t>
      </w:r>
      <w:r w:rsidRPr="005B3979">
        <w:t>qu’</w:t>
      </w:r>
      <w:r w:rsidR="0022416D" w:rsidRPr="005B3979">
        <w:t>un identifiant</w:t>
      </w:r>
      <w:r w:rsidRPr="005B3979">
        <w:t xml:space="preserve"> unique ne soit pas désactivé</w:t>
      </w:r>
      <w:r w:rsidR="0022416D" w:rsidRPr="005B3979">
        <w:t xml:space="preserve"> suffise à ce que </w:t>
      </w:r>
      <w:r w:rsidR="00992EA8">
        <w:t>l</w:t>
      </w:r>
      <w:r w:rsidR="0022416D" w:rsidRPr="005B3979">
        <w:t xml:space="preserve">e critère de gravité </w:t>
      </w:r>
      <w:r w:rsidR="00AA2F7D">
        <w:t xml:space="preserve">pour la santé publique </w:t>
      </w:r>
      <w:r w:rsidR="00A34753">
        <w:t xml:space="preserve">soit </w:t>
      </w:r>
      <w:r w:rsidR="00AA2F7D">
        <w:t xml:space="preserve">considéré comme </w:t>
      </w:r>
      <w:r w:rsidR="0022416D" w:rsidRPr="005B3979">
        <w:t>rempli</w:t>
      </w:r>
      <w:r w:rsidR="00A34753">
        <w:t xml:space="preserve"> </w:t>
      </w:r>
      <w:r w:rsidR="00AA2F7D">
        <w:t xml:space="preserve">par le juge. </w:t>
      </w:r>
    </w:p>
    <w:p w14:paraId="2A7CF4B3" w14:textId="77777777" w:rsidR="0022416D" w:rsidRPr="005B3979" w:rsidRDefault="0022416D" w:rsidP="00AC0C2D">
      <w:pPr>
        <w:spacing w:after="0" w:line="240" w:lineRule="auto"/>
      </w:pPr>
    </w:p>
    <w:p w14:paraId="16C45152" w14:textId="77777777" w:rsidR="0022416D" w:rsidRPr="005B3979" w:rsidRDefault="00DE62EF" w:rsidP="00AC0C2D">
      <w:pPr>
        <w:spacing w:after="0" w:line="240" w:lineRule="auto"/>
        <w:jc w:val="both"/>
        <w:rPr>
          <w:b/>
        </w:rPr>
      </w:pPr>
      <w:r>
        <w:lastRenderedPageBreak/>
        <w:t>Ainsi, a</w:t>
      </w:r>
      <w:r w:rsidR="00B3634C">
        <w:t xml:space="preserve">près concertation avec les ARS, la voie </w:t>
      </w:r>
      <w:r>
        <w:t xml:space="preserve">de la sanction </w:t>
      </w:r>
      <w:r w:rsidR="00B3634C">
        <w:t>pénale n’est pas praticable sur ce seul manquement.</w:t>
      </w:r>
    </w:p>
    <w:p w14:paraId="0470658C" w14:textId="77777777" w:rsidR="0022416D" w:rsidRPr="005B3979" w:rsidRDefault="0022416D" w:rsidP="00AC0C2D">
      <w:pPr>
        <w:spacing w:after="0" w:line="240" w:lineRule="auto"/>
      </w:pPr>
    </w:p>
    <w:p w14:paraId="66F46C85" w14:textId="77777777" w:rsidR="0022416D" w:rsidRPr="00B94BA6" w:rsidRDefault="0022416D" w:rsidP="00B94BA6">
      <w:pPr>
        <w:pStyle w:val="Titre2"/>
        <w:numPr>
          <w:ilvl w:val="0"/>
          <w:numId w:val="6"/>
        </w:numPr>
        <w:rPr>
          <w:b/>
        </w:rPr>
      </w:pPr>
      <w:r w:rsidRPr="00B94BA6">
        <w:rPr>
          <w:b/>
        </w:rPr>
        <w:t>Sanctions ordinales</w:t>
      </w:r>
    </w:p>
    <w:p w14:paraId="49F42127" w14:textId="77777777" w:rsidR="00AC0C2D" w:rsidRPr="005B3979" w:rsidRDefault="00AC0C2D" w:rsidP="00AC0C2D">
      <w:pPr>
        <w:spacing w:after="0" w:line="240" w:lineRule="auto"/>
        <w:jc w:val="both"/>
      </w:pPr>
    </w:p>
    <w:p w14:paraId="35A8B228" w14:textId="77777777" w:rsidR="0022416D" w:rsidRPr="00710848" w:rsidRDefault="0022416D" w:rsidP="00AC0C2D">
      <w:pPr>
        <w:spacing w:after="0" w:line="240" w:lineRule="auto"/>
        <w:jc w:val="both"/>
        <w:rPr>
          <w:b/>
        </w:rPr>
      </w:pPr>
      <w:r w:rsidRPr="005B3979">
        <w:t>Le fait pour un pharmacien de manquer à ses obligations légales</w:t>
      </w:r>
      <w:r w:rsidR="00B94BA6" w:rsidRPr="005B3979">
        <w:t xml:space="preserve"> en matière de sérialisation des médicaments</w:t>
      </w:r>
      <w:r w:rsidRPr="005B3979">
        <w:t xml:space="preserve"> est susceptible de constituer </w:t>
      </w:r>
      <w:r w:rsidR="007E7953">
        <w:t>un</w:t>
      </w:r>
      <w:r w:rsidR="007E7953" w:rsidRPr="005B3979">
        <w:t xml:space="preserve"> </w:t>
      </w:r>
      <w:r w:rsidR="007E7953" w:rsidRPr="00CF24A5">
        <w:rPr>
          <w:b/>
        </w:rPr>
        <w:t>manquement</w:t>
      </w:r>
      <w:r w:rsidRPr="00CF24A5">
        <w:rPr>
          <w:b/>
        </w:rPr>
        <w:t xml:space="preserve"> déontologique qui peut </w:t>
      </w:r>
      <w:r w:rsidR="007E7953" w:rsidRPr="00710848">
        <w:rPr>
          <w:b/>
        </w:rPr>
        <w:t>entraîner une poursuite</w:t>
      </w:r>
      <w:r w:rsidRPr="007E7953">
        <w:rPr>
          <w:b/>
        </w:rPr>
        <w:t xml:space="preserve"> devant les instances disciplinaires ordinales</w:t>
      </w:r>
      <w:r w:rsidR="00710848">
        <w:rPr>
          <w:b/>
        </w:rPr>
        <w:t xml:space="preserve"> </w:t>
      </w:r>
      <w:r w:rsidR="00710848">
        <w:t>(</w:t>
      </w:r>
      <w:hyperlink r:id="rId9" w:history="1">
        <w:r w:rsidR="00710848" w:rsidRPr="00710848">
          <w:rPr>
            <w:rStyle w:val="Lienhypertexte"/>
          </w:rPr>
          <w:t>articles R.4235-10</w:t>
        </w:r>
      </w:hyperlink>
      <w:r w:rsidR="00710848">
        <w:t xml:space="preserve">, </w:t>
      </w:r>
      <w:r w:rsidR="00710848" w:rsidRPr="00710848">
        <w:t xml:space="preserve"> </w:t>
      </w:r>
      <w:hyperlink r:id="rId10" w:history="1">
        <w:r w:rsidR="00710848" w:rsidRPr="00710848">
          <w:rPr>
            <w:rStyle w:val="Lienhypertexte"/>
          </w:rPr>
          <w:t>R. 4235-12</w:t>
        </w:r>
      </w:hyperlink>
      <w:r w:rsidR="00710848">
        <w:t xml:space="preserve"> et </w:t>
      </w:r>
      <w:hyperlink r:id="rId11" w:history="1">
        <w:r w:rsidR="00710848" w:rsidRPr="00A605EA">
          <w:rPr>
            <w:rStyle w:val="Lienhypertexte"/>
          </w:rPr>
          <w:t>R. 4235-55</w:t>
        </w:r>
      </w:hyperlink>
      <w:r w:rsidR="00710848">
        <w:t xml:space="preserve"> du code de la santé publique).</w:t>
      </w:r>
      <w:r w:rsidRPr="00710848">
        <w:rPr>
          <w:b/>
        </w:rPr>
        <w:t xml:space="preserve"> </w:t>
      </w:r>
    </w:p>
    <w:p w14:paraId="23C76BF8" w14:textId="01DD4943" w:rsidR="00AC0C2D" w:rsidRDefault="00AC0C2D" w:rsidP="00AC0C2D">
      <w:pPr>
        <w:spacing w:after="0" w:line="240" w:lineRule="auto"/>
        <w:jc w:val="both"/>
      </w:pPr>
    </w:p>
    <w:p w14:paraId="58EEF5EC" w14:textId="3B02A2E9" w:rsidR="00E10326" w:rsidRDefault="00E10326" w:rsidP="00E10326">
      <w:pPr>
        <w:spacing w:after="0" w:line="240" w:lineRule="auto"/>
        <w:jc w:val="both"/>
      </w:pPr>
      <w:r>
        <w:t>Les CROP sont l</w:t>
      </w:r>
      <w:r w:rsidR="0071581B">
        <w:t>es</w:t>
      </w:r>
      <w:r>
        <w:t xml:space="preserve"> juridiction</w:t>
      </w:r>
      <w:r w:rsidR="0071581B">
        <w:t>s</w:t>
      </w:r>
      <w:r>
        <w:t xml:space="preserve"> ordinale</w:t>
      </w:r>
      <w:r w:rsidR="0071581B">
        <w:t>s</w:t>
      </w:r>
      <w:r>
        <w:t xml:space="preserve"> de première instance et le CNOP celle de l’appel.</w:t>
      </w:r>
    </w:p>
    <w:p w14:paraId="21502FC9" w14:textId="068FEAA2" w:rsidR="00E10326" w:rsidRDefault="00E10326" w:rsidP="00E10326">
      <w:pPr>
        <w:spacing w:after="0" w:line="240" w:lineRule="auto"/>
        <w:jc w:val="both"/>
      </w:pPr>
      <w:r>
        <w:t xml:space="preserve">Le but d’une éventuelle communication au CNOP par la DGS du nombre </w:t>
      </w:r>
      <w:r w:rsidR="0071581B">
        <w:t xml:space="preserve">de </w:t>
      </w:r>
      <w:r>
        <w:t>plaintes déposées par région devant les CROP vise uniquement une circulation de l’information éventuelle afin que le CNOP puisse suivre l’avancée de ce sujet en interne avec les CROP concernés et faire remonter les informations utiles lors des points réguliers avec la DGS, qui est elle-même relai ce suivi à la Commission européenne qui le demande tous les mois désormais.</w:t>
      </w:r>
    </w:p>
    <w:p w14:paraId="55AC8BC4" w14:textId="77777777" w:rsidR="00E10326" w:rsidRDefault="00E10326" w:rsidP="00E10326">
      <w:pPr>
        <w:spacing w:after="0" w:line="240" w:lineRule="auto"/>
        <w:jc w:val="both"/>
      </w:pPr>
    </w:p>
    <w:p w14:paraId="3485CEDA" w14:textId="77777777" w:rsidR="00710848" w:rsidRDefault="00710848" w:rsidP="00710848">
      <w:pPr>
        <w:spacing w:after="0" w:line="240" w:lineRule="auto"/>
        <w:jc w:val="both"/>
      </w:pPr>
      <w:r>
        <w:t xml:space="preserve">Compte tenu de la sollicitation des instances ordinales, il est à noter que ce dispositif est susceptible d’aboutir au bout de plusieurs mois. </w:t>
      </w:r>
      <w:r w:rsidRPr="00803DFB">
        <w:t xml:space="preserve"> </w:t>
      </w:r>
      <w:r w:rsidRPr="00014872">
        <w:rPr>
          <w:b/>
        </w:rPr>
        <w:t>Du fait de l’urgence pour la France de respecter ses obligations en matière de sérialisation, la DGS préconise en premier lieu un recours à la sanction financière présentée ci-dessous, accompagnée si l’ARS l’estime justifiée d’une plainte au CROP.</w:t>
      </w:r>
    </w:p>
    <w:p w14:paraId="0C5D5F29" w14:textId="77777777" w:rsidR="00710848" w:rsidRPr="005B3979" w:rsidRDefault="00710848" w:rsidP="00710848">
      <w:pPr>
        <w:spacing w:after="0" w:line="240" w:lineRule="auto"/>
        <w:jc w:val="both"/>
      </w:pPr>
    </w:p>
    <w:p w14:paraId="751852D3" w14:textId="36F21015" w:rsidR="00710848" w:rsidRDefault="00710848" w:rsidP="00710848">
      <w:pPr>
        <w:spacing w:after="0" w:line="240" w:lineRule="auto"/>
        <w:jc w:val="both"/>
      </w:pPr>
      <w:r w:rsidRPr="00803DFB">
        <w:rPr>
          <w:b/>
        </w:rPr>
        <w:t xml:space="preserve">La DGS souhaite effectuer un suivi </w:t>
      </w:r>
      <w:r w:rsidR="00410E2C">
        <w:rPr>
          <w:b/>
        </w:rPr>
        <w:t xml:space="preserve">régulier </w:t>
      </w:r>
      <w:r w:rsidRPr="00803DFB">
        <w:rPr>
          <w:b/>
        </w:rPr>
        <w:t>des plaintes déposées aux CROP</w:t>
      </w:r>
      <w:r>
        <w:t xml:space="preserve">. Aussi, il est </w:t>
      </w:r>
      <w:r w:rsidRPr="00803DFB">
        <w:rPr>
          <w:b/>
        </w:rPr>
        <w:t>demandé aux ARS de bien vouloir transmettre à la DGS avant le 5 de chaque mois les plaintes déposées le mois précédent, et cela jusqu’à fin mars</w:t>
      </w:r>
      <w:r w:rsidR="00A34753">
        <w:rPr>
          <w:b/>
        </w:rPr>
        <w:t xml:space="preserve"> 2023</w:t>
      </w:r>
      <w:r w:rsidRPr="00803DFB">
        <w:rPr>
          <w:b/>
        </w:rPr>
        <w:t>, puis à la fin de chaq</w:t>
      </w:r>
      <w:r w:rsidRPr="005B3979">
        <w:rPr>
          <w:b/>
        </w:rPr>
        <w:t xml:space="preserve">ue trimestre pour </w:t>
      </w:r>
      <w:r w:rsidR="00A34753">
        <w:rPr>
          <w:b/>
        </w:rPr>
        <w:t>l’</w:t>
      </w:r>
      <w:r w:rsidRPr="005B3979">
        <w:rPr>
          <w:b/>
        </w:rPr>
        <w:t>année</w:t>
      </w:r>
      <w:r w:rsidR="00A34753">
        <w:rPr>
          <w:b/>
        </w:rPr>
        <w:t xml:space="preserve"> 2023</w:t>
      </w:r>
      <w:r w:rsidRPr="005B3979">
        <w:t>.</w:t>
      </w:r>
    </w:p>
    <w:p w14:paraId="412E6BED" w14:textId="77777777" w:rsidR="00683FCB" w:rsidRPr="005B3979" w:rsidRDefault="00683FCB" w:rsidP="00175324">
      <w:pPr>
        <w:spacing w:after="0" w:line="240" w:lineRule="auto"/>
        <w:jc w:val="both"/>
      </w:pPr>
    </w:p>
    <w:p w14:paraId="2CEF45EE" w14:textId="77777777" w:rsidR="0022416D" w:rsidRPr="00B94BA6" w:rsidRDefault="0022416D" w:rsidP="00B94BA6">
      <w:pPr>
        <w:pStyle w:val="Titre2"/>
        <w:numPr>
          <w:ilvl w:val="0"/>
          <w:numId w:val="6"/>
        </w:numPr>
        <w:rPr>
          <w:b/>
        </w:rPr>
      </w:pPr>
      <w:r w:rsidRPr="00B94BA6">
        <w:rPr>
          <w:b/>
        </w:rPr>
        <w:t xml:space="preserve">Sanctions financières </w:t>
      </w:r>
    </w:p>
    <w:p w14:paraId="725A8556" w14:textId="77777777" w:rsidR="00A444A0" w:rsidRDefault="00A444A0" w:rsidP="00AC0C2D">
      <w:pPr>
        <w:spacing w:after="0" w:line="240" w:lineRule="auto"/>
        <w:jc w:val="both"/>
        <w:rPr>
          <w:b/>
        </w:rPr>
      </w:pPr>
    </w:p>
    <w:p w14:paraId="15BA3832" w14:textId="77777777" w:rsidR="009C06ED" w:rsidRDefault="009C06ED" w:rsidP="009C06ED">
      <w:pPr>
        <w:pStyle w:val="Paragraphedeliste"/>
        <w:numPr>
          <w:ilvl w:val="0"/>
          <w:numId w:val="9"/>
        </w:numPr>
        <w:spacing w:after="0" w:line="240" w:lineRule="auto"/>
        <w:jc w:val="both"/>
      </w:pPr>
      <w:r w:rsidRPr="00683FCB">
        <w:rPr>
          <w:u w:val="single"/>
        </w:rPr>
        <w:t>Les bases juridiques</w:t>
      </w:r>
      <w:r>
        <w:t xml:space="preserve"> : </w:t>
      </w:r>
    </w:p>
    <w:p w14:paraId="240A84B2" w14:textId="77777777" w:rsidR="009C06ED" w:rsidRDefault="009C06ED" w:rsidP="00DE1464">
      <w:pPr>
        <w:spacing w:after="0" w:line="240" w:lineRule="auto"/>
        <w:jc w:val="both"/>
      </w:pPr>
    </w:p>
    <w:p w14:paraId="429172C9" w14:textId="77777777" w:rsidR="00B94BA6" w:rsidRDefault="00B94BA6" w:rsidP="00DE1464">
      <w:pPr>
        <w:spacing w:after="0" w:line="240" w:lineRule="auto"/>
        <w:jc w:val="both"/>
      </w:pPr>
      <w:r w:rsidRPr="0022416D">
        <w:t>Le fait pour un pharmacien de manquer à ses obligations légales</w:t>
      </w:r>
      <w:r>
        <w:t xml:space="preserve"> en matière de sérialisation des médicaments</w:t>
      </w:r>
      <w:r w:rsidRPr="0022416D">
        <w:t xml:space="preserve"> est</w:t>
      </w:r>
      <w:r>
        <w:t xml:space="preserve"> passible d’une </w:t>
      </w:r>
      <w:r w:rsidRPr="00B94BA6">
        <w:rPr>
          <w:b/>
        </w:rPr>
        <w:t>sanction financière</w:t>
      </w:r>
      <w:r>
        <w:t xml:space="preserve"> </w:t>
      </w:r>
      <w:r w:rsidR="00646B36">
        <w:t>(</w:t>
      </w:r>
      <w:hyperlink r:id="rId12" w:history="1">
        <w:r w:rsidR="00014872" w:rsidRPr="00014872">
          <w:rPr>
            <w:rStyle w:val="Lienhypertexte"/>
          </w:rPr>
          <w:t>article</w:t>
        </w:r>
        <w:r w:rsidR="00646B36" w:rsidRPr="00014872">
          <w:rPr>
            <w:rStyle w:val="Lienhypertexte"/>
          </w:rPr>
          <w:t xml:space="preserve"> L. 5421-8</w:t>
        </w:r>
      </w:hyperlink>
      <w:r w:rsidR="00D14A10">
        <w:t xml:space="preserve"> du code de la santé publique</w:t>
      </w:r>
      <w:r w:rsidR="00646B36">
        <w:t xml:space="preserve">) </w:t>
      </w:r>
      <w:r>
        <w:t>décidée par le Directeur général de l’ARS terri</w:t>
      </w:r>
      <w:r w:rsidR="00646B36">
        <w:t xml:space="preserve">torialement </w:t>
      </w:r>
      <w:r w:rsidR="00175324">
        <w:t xml:space="preserve">compétente. Le montant de la sanction financière ne peut être supérieur à 150 000 € pour une personne physique et à 10 % du chiffre d'affaires réalisé lors du dernier exercice clos, dans la limite d'un million d'euros, pour une personne morale </w:t>
      </w:r>
      <w:r w:rsidR="00646B36">
        <w:t>(</w:t>
      </w:r>
      <w:r w:rsidR="00175324">
        <w:t xml:space="preserve">I. et III. </w:t>
      </w:r>
      <w:hyperlink r:id="rId13" w:history="1">
        <w:r w:rsidR="00014872" w:rsidRPr="00014872">
          <w:rPr>
            <w:rStyle w:val="Lienhypertexte"/>
          </w:rPr>
          <w:t>article</w:t>
        </w:r>
        <w:r w:rsidR="00646B36" w:rsidRPr="00014872">
          <w:rPr>
            <w:rStyle w:val="Lienhypertexte"/>
          </w:rPr>
          <w:t xml:space="preserve"> L. 5472-1</w:t>
        </w:r>
      </w:hyperlink>
      <w:r w:rsidR="00D14A10">
        <w:t xml:space="preserve"> du code de la santé publique</w:t>
      </w:r>
      <w:r w:rsidR="00646B36">
        <w:t>).</w:t>
      </w:r>
    </w:p>
    <w:p w14:paraId="60ED65DB" w14:textId="77777777" w:rsidR="004E595C" w:rsidRDefault="004E595C" w:rsidP="00DE1464">
      <w:pPr>
        <w:spacing w:after="0" w:line="240" w:lineRule="auto"/>
        <w:jc w:val="both"/>
      </w:pPr>
    </w:p>
    <w:p w14:paraId="0E695E6D" w14:textId="77777777" w:rsidR="004E595C" w:rsidRDefault="004E595C" w:rsidP="00DE1464">
      <w:pPr>
        <w:spacing w:after="0" w:line="240" w:lineRule="auto"/>
        <w:jc w:val="both"/>
      </w:pPr>
      <w:r>
        <w:t xml:space="preserve">L’article </w:t>
      </w:r>
      <w:r w:rsidRPr="000D6119">
        <w:t>R</w:t>
      </w:r>
      <w:r>
        <w:t xml:space="preserve">. </w:t>
      </w:r>
      <w:r w:rsidRPr="000D6119">
        <w:t>1435-37</w:t>
      </w:r>
      <w:r>
        <w:t xml:space="preserve"> du code de la santé publique détaille </w:t>
      </w:r>
      <w:r w:rsidRPr="00882373">
        <w:rPr>
          <w:b/>
        </w:rPr>
        <w:t>la procédure à suivre pour engager une sanction financière </w:t>
      </w:r>
      <w:r>
        <w:t>:</w:t>
      </w:r>
    </w:p>
    <w:p w14:paraId="7B58233B" w14:textId="77777777" w:rsidR="004E595C" w:rsidRDefault="004E595C" w:rsidP="00DE1464">
      <w:pPr>
        <w:spacing w:after="0" w:line="240" w:lineRule="auto"/>
        <w:jc w:val="both"/>
      </w:pPr>
    </w:p>
    <w:p w14:paraId="7F4C9201" w14:textId="77777777" w:rsidR="004E595C" w:rsidRPr="004E595C" w:rsidRDefault="004E595C" w:rsidP="00882373">
      <w:pPr>
        <w:spacing w:after="0" w:line="240" w:lineRule="auto"/>
        <w:ind w:left="708"/>
        <w:jc w:val="both"/>
      </w:pPr>
      <w:r w:rsidRPr="004E595C">
        <w:t>« </w:t>
      </w:r>
      <w:r w:rsidRPr="00882373">
        <w:rPr>
          <w:i/>
        </w:rPr>
        <w:t xml:space="preserve">I. ― Sur la base d'inspections réalisées en application des dispositions de l'article </w:t>
      </w:r>
      <w:hyperlink r:id="rId14" w:history="1">
        <w:r w:rsidRPr="00882373">
          <w:rPr>
            <w:rStyle w:val="Lienhypertexte"/>
            <w:i/>
          </w:rPr>
          <w:t>L. 1435-7</w:t>
        </w:r>
      </w:hyperlink>
      <w:r w:rsidRPr="00882373">
        <w:rPr>
          <w:i/>
        </w:rPr>
        <w:t xml:space="preserve">, de résultats de contrôles ou d'éléments mettant en évidence des manquements constatés au titre des articles </w:t>
      </w:r>
      <w:hyperlink r:id="rId15" w:history="1">
        <w:r w:rsidRPr="00882373">
          <w:rPr>
            <w:rStyle w:val="Lienhypertexte"/>
            <w:i/>
          </w:rPr>
          <w:t>L. 5472-1 et L. 5472-2</w:t>
        </w:r>
      </w:hyperlink>
      <w:r w:rsidRPr="00882373">
        <w:rPr>
          <w:i/>
        </w:rPr>
        <w:t>, le directeur général de l'agence régionale de santé territorialement compétente peut engager une procédure de sanction financière à l'encontre des auteurs de ces manquements.</w:t>
      </w:r>
      <w:r w:rsidRPr="004E595C">
        <w:t xml:space="preserve"> </w:t>
      </w:r>
    </w:p>
    <w:p w14:paraId="378A2F11" w14:textId="77777777" w:rsidR="004E595C" w:rsidRDefault="004E595C" w:rsidP="00882373">
      <w:pPr>
        <w:spacing w:after="0" w:line="240" w:lineRule="auto"/>
        <w:ind w:left="708"/>
        <w:jc w:val="both"/>
        <w:rPr>
          <w:i/>
        </w:rPr>
      </w:pPr>
    </w:p>
    <w:p w14:paraId="4B3C7F02" w14:textId="77777777" w:rsidR="004E595C" w:rsidRPr="00882373" w:rsidRDefault="004E595C" w:rsidP="00882373">
      <w:pPr>
        <w:spacing w:after="0" w:line="240" w:lineRule="auto"/>
        <w:ind w:left="708"/>
        <w:jc w:val="both"/>
        <w:rPr>
          <w:i/>
        </w:rPr>
      </w:pPr>
      <w:r>
        <w:rPr>
          <w:i/>
        </w:rPr>
        <w:t xml:space="preserve">II </w:t>
      </w:r>
      <w:r w:rsidRPr="00882373">
        <w:rPr>
          <w:i/>
        </w:rPr>
        <w:t>Le directeur général de l'agence indique à la personne physique ou morale concernée les faits de nature à justifier l'engagement de la procédure de sanction et les manquements constatés, la sanction financière encourue, et lui communique les éléments justifiant de ces manquements. Il :</w:t>
      </w:r>
    </w:p>
    <w:p w14:paraId="6AE155C7" w14:textId="77777777" w:rsidR="004E595C" w:rsidRPr="00882373" w:rsidRDefault="004E595C" w:rsidP="00882373">
      <w:pPr>
        <w:spacing w:after="0" w:line="240" w:lineRule="auto"/>
        <w:ind w:left="708"/>
        <w:jc w:val="both"/>
        <w:rPr>
          <w:i/>
        </w:rPr>
      </w:pPr>
      <w:r w:rsidRPr="00882373">
        <w:rPr>
          <w:i/>
        </w:rPr>
        <w:lastRenderedPageBreak/>
        <w:br/>
        <w:t xml:space="preserve">1° Met à même la personne physique ou morale concernée de présenter ses observations, écrites ou orales, </w:t>
      </w:r>
      <w:r w:rsidRPr="00882373">
        <w:rPr>
          <w:i/>
          <w:u w:val="single"/>
        </w:rPr>
        <w:t>avec l'indication de la possibilité de se faire assister d'un conseil</w:t>
      </w:r>
      <w:r w:rsidRPr="00882373">
        <w:rPr>
          <w:i/>
        </w:rPr>
        <w:t xml:space="preserve"> ; </w:t>
      </w:r>
    </w:p>
    <w:p w14:paraId="61A49C44" w14:textId="77777777" w:rsidR="004E595C" w:rsidRPr="00882373" w:rsidRDefault="004E595C" w:rsidP="00882373">
      <w:pPr>
        <w:spacing w:after="0" w:line="240" w:lineRule="auto"/>
        <w:ind w:left="708"/>
        <w:jc w:val="both"/>
        <w:rPr>
          <w:i/>
        </w:rPr>
      </w:pPr>
      <w:r w:rsidRPr="00882373">
        <w:rPr>
          <w:i/>
        </w:rPr>
        <w:br/>
        <w:t xml:space="preserve">2° Le cas échéant, la met en demeure de régulariser la situation ; </w:t>
      </w:r>
    </w:p>
    <w:p w14:paraId="030BC8FB" w14:textId="77777777" w:rsidR="004E595C" w:rsidRDefault="004E595C" w:rsidP="00882373">
      <w:pPr>
        <w:spacing w:after="0" w:line="240" w:lineRule="auto"/>
        <w:ind w:left="708"/>
        <w:jc w:val="both"/>
        <w:rPr>
          <w:i/>
        </w:rPr>
      </w:pPr>
      <w:r w:rsidRPr="00882373">
        <w:rPr>
          <w:i/>
        </w:rPr>
        <w:br/>
        <w:t xml:space="preserve">3° La met en demeure de lui transmettre le chiffre d'affaires constituant l'assiette de la sanction financière. </w:t>
      </w:r>
      <w:r w:rsidRPr="00882373">
        <w:rPr>
          <w:i/>
        </w:rPr>
        <w:br/>
      </w:r>
      <w:r w:rsidRPr="00882373">
        <w:rPr>
          <w:i/>
        </w:rPr>
        <w:br/>
        <w:t xml:space="preserve">Il fixe à la personne concernée </w:t>
      </w:r>
      <w:r w:rsidRPr="00882373">
        <w:rPr>
          <w:i/>
          <w:u w:val="single"/>
        </w:rPr>
        <w:t>un délai qui ne peut être inférieur à huit jours pour satisfaire aux demandes mentionnées aux 1° à 3° ci-dessus</w:t>
      </w:r>
      <w:r w:rsidRPr="00882373">
        <w:rPr>
          <w:i/>
        </w:rPr>
        <w:t xml:space="preserve">. Lorsqu'il fait usage du 2°, ce délai peut être </w:t>
      </w:r>
      <w:r>
        <w:rPr>
          <w:i/>
        </w:rPr>
        <w:t>réduit en cas d'urgence.</w:t>
      </w:r>
    </w:p>
    <w:p w14:paraId="7629E45A" w14:textId="77777777" w:rsidR="004E595C" w:rsidRDefault="004E595C" w:rsidP="00882373">
      <w:pPr>
        <w:spacing w:after="0" w:line="240" w:lineRule="auto"/>
        <w:ind w:left="708"/>
        <w:jc w:val="both"/>
        <w:rPr>
          <w:i/>
        </w:rPr>
      </w:pPr>
      <w:r w:rsidRPr="00882373">
        <w:rPr>
          <w:i/>
        </w:rPr>
        <w:br/>
        <w:t>III. ― A l'issue du délai fixé, le directeur général de l'agence régionale de santé peut prononcer une sanction financière.</w:t>
      </w:r>
    </w:p>
    <w:p w14:paraId="402A401E" w14:textId="77777777" w:rsidR="004E595C" w:rsidRPr="00882373" w:rsidRDefault="004E595C" w:rsidP="00882373">
      <w:pPr>
        <w:spacing w:after="0" w:line="240" w:lineRule="auto"/>
        <w:ind w:left="708"/>
        <w:jc w:val="both"/>
        <w:rPr>
          <w:i/>
        </w:rPr>
      </w:pPr>
      <w:r w:rsidRPr="00882373">
        <w:rPr>
          <w:i/>
        </w:rPr>
        <w:br/>
        <w:t xml:space="preserve">Si la personne concernée n'a pas régularisé la situation dans le délai fixé, cette sanction peut être assortie d'une </w:t>
      </w:r>
      <w:r w:rsidRPr="00882373">
        <w:rPr>
          <w:i/>
          <w:u w:val="single"/>
        </w:rPr>
        <w:t>astreinte journalière</w:t>
      </w:r>
      <w:r w:rsidRPr="00882373">
        <w:rPr>
          <w:i/>
        </w:rPr>
        <w:t>, qui commence à courir à compter de la date de la notification à la personne concernée de la sanction financière et qui cesse de courir le jour de la régularisation de la situation, le cas échéant, constatée par une nouvelle inspection.</w:t>
      </w:r>
    </w:p>
    <w:p w14:paraId="2FEA8D33" w14:textId="77777777" w:rsidR="004E595C" w:rsidRDefault="004E595C" w:rsidP="00882373">
      <w:pPr>
        <w:spacing w:after="0" w:line="240" w:lineRule="auto"/>
        <w:ind w:left="708"/>
        <w:jc w:val="both"/>
        <w:rPr>
          <w:i/>
        </w:rPr>
      </w:pPr>
      <w:r w:rsidRPr="00882373">
        <w:rPr>
          <w:i/>
        </w:rPr>
        <w:t xml:space="preserve"> </w:t>
      </w:r>
      <w:r w:rsidRPr="00882373">
        <w:rPr>
          <w:i/>
        </w:rPr>
        <w:br/>
        <w:t xml:space="preserve">IV. ― La décision de sanction est notifiée à la personne concernée, par tout moyen permettant de lui conférer une </w:t>
      </w:r>
      <w:r w:rsidRPr="00882373">
        <w:rPr>
          <w:i/>
          <w:u w:val="single"/>
        </w:rPr>
        <w:t>date certaine</w:t>
      </w:r>
      <w:r w:rsidRPr="00882373">
        <w:rPr>
          <w:i/>
        </w:rPr>
        <w:t xml:space="preserve">. Elle indique la </w:t>
      </w:r>
      <w:r w:rsidRPr="00882373">
        <w:rPr>
          <w:i/>
          <w:u w:val="single"/>
        </w:rPr>
        <w:t>nature des faits constitutifs du manquement</w:t>
      </w:r>
      <w:r w:rsidRPr="00882373">
        <w:rPr>
          <w:i/>
        </w:rPr>
        <w:t xml:space="preserve">, le </w:t>
      </w:r>
      <w:r w:rsidRPr="00882373">
        <w:rPr>
          <w:i/>
          <w:u w:val="single"/>
        </w:rPr>
        <w:t>montant de la sanction</w:t>
      </w:r>
      <w:r w:rsidRPr="00882373">
        <w:rPr>
          <w:i/>
        </w:rPr>
        <w:t xml:space="preserve"> prononcée et, le cas échéant, de </w:t>
      </w:r>
      <w:r w:rsidRPr="00882373">
        <w:rPr>
          <w:i/>
          <w:u w:val="single"/>
        </w:rPr>
        <w:t>l'astreinte</w:t>
      </w:r>
      <w:r w:rsidRPr="00882373">
        <w:rPr>
          <w:i/>
        </w:rPr>
        <w:t xml:space="preserve">, les </w:t>
      </w:r>
      <w:r w:rsidRPr="00882373">
        <w:rPr>
          <w:i/>
          <w:u w:val="single"/>
        </w:rPr>
        <w:t>modalités d'acquittement ainsi que les voies et délais de recours</w:t>
      </w:r>
      <w:r w:rsidRPr="00882373">
        <w:rPr>
          <w:i/>
        </w:rPr>
        <w:t>.</w:t>
      </w:r>
    </w:p>
    <w:p w14:paraId="5437B03F" w14:textId="77777777" w:rsidR="004E595C" w:rsidRPr="00882373" w:rsidRDefault="004E595C" w:rsidP="00882373">
      <w:pPr>
        <w:spacing w:after="0" w:line="240" w:lineRule="auto"/>
        <w:ind w:left="708"/>
        <w:jc w:val="both"/>
        <w:rPr>
          <w:i/>
        </w:rPr>
      </w:pPr>
      <w:r w:rsidRPr="00882373">
        <w:rPr>
          <w:i/>
        </w:rPr>
        <w:br/>
        <w:t>V. ― La décision de sanction financière prononcée peut être publiée sur le site internet de l'agence pendant une durée qui ne peut excéder un mois ou, le cas échéant, jusqu'à la régularisation de la situation, si celle-ci n'est pas intervenue à l'issue de cette durée. »</w:t>
      </w:r>
    </w:p>
    <w:p w14:paraId="77714F1A" w14:textId="77777777" w:rsidR="0022416D" w:rsidRDefault="0022416D" w:rsidP="00DE1464">
      <w:pPr>
        <w:spacing w:after="0" w:line="240" w:lineRule="auto"/>
        <w:jc w:val="both"/>
      </w:pPr>
    </w:p>
    <w:p w14:paraId="50F4A011" w14:textId="77777777" w:rsidR="00175324" w:rsidRDefault="00175324" w:rsidP="00DE1464">
      <w:pPr>
        <w:spacing w:after="0" w:line="240" w:lineRule="auto"/>
        <w:jc w:val="both"/>
      </w:pPr>
      <w:r>
        <w:t>De plus, une telle sanction peut</w:t>
      </w:r>
      <w:r w:rsidRPr="0022416D">
        <w:t xml:space="preserve"> être </w:t>
      </w:r>
      <w:r w:rsidRPr="00175324">
        <w:t>assortie</w:t>
      </w:r>
      <w:r w:rsidRPr="0022416D">
        <w:rPr>
          <w:b/>
        </w:rPr>
        <w:t xml:space="preserve"> </w:t>
      </w:r>
      <w:r w:rsidRPr="00175324">
        <w:t>d’une</w:t>
      </w:r>
      <w:r>
        <w:rPr>
          <w:b/>
        </w:rPr>
        <w:t xml:space="preserve"> a</w:t>
      </w:r>
      <w:r w:rsidRPr="0022416D">
        <w:rPr>
          <w:b/>
        </w:rPr>
        <w:t>streinte</w:t>
      </w:r>
      <w:r>
        <w:rPr>
          <w:b/>
        </w:rPr>
        <w:t xml:space="preserve"> journalière</w:t>
      </w:r>
      <w:r>
        <w:t xml:space="preserve"> qui </w:t>
      </w:r>
      <w:r w:rsidR="005B3979">
        <w:t>ne peut être supérieure à 2 500</w:t>
      </w:r>
      <w:r>
        <w:t>€ par jour lorsque l'auteur du manquement ne s'est pas conformé à ses prescriptions à l'issue du délai fixé par une mise en demeure (</w:t>
      </w:r>
      <w:r w:rsidR="00014872">
        <w:t xml:space="preserve">le </w:t>
      </w:r>
      <w:r>
        <w:t xml:space="preserve">II. </w:t>
      </w:r>
      <w:r w:rsidR="00014872">
        <w:t>de l’</w:t>
      </w:r>
      <w:hyperlink r:id="rId16" w:history="1">
        <w:r w:rsidR="00014872" w:rsidRPr="00014872">
          <w:rPr>
            <w:rStyle w:val="Lienhypertexte"/>
          </w:rPr>
          <w:t>article</w:t>
        </w:r>
        <w:r w:rsidRPr="00014872">
          <w:rPr>
            <w:rStyle w:val="Lienhypertexte"/>
          </w:rPr>
          <w:t xml:space="preserve"> L. 5472-1</w:t>
        </w:r>
      </w:hyperlink>
      <w:r w:rsidR="00D14A10">
        <w:t xml:space="preserve"> du code de la santé publique</w:t>
      </w:r>
      <w:r>
        <w:t>).</w:t>
      </w:r>
    </w:p>
    <w:p w14:paraId="53AD7D52" w14:textId="77777777" w:rsidR="00175324" w:rsidRDefault="00175324" w:rsidP="00DE1464">
      <w:pPr>
        <w:spacing w:after="0" w:line="240" w:lineRule="auto"/>
        <w:jc w:val="both"/>
      </w:pPr>
    </w:p>
    <w:p w14:paraId="41ADA821" w14:textId="77777777" w:rsidR="00AC0C2D" w:rsidRPr="0022416D" w:rsidRDefault="00175324" w:rsidP="00646B36">
      <w:pPr>
        <w:spacing w:after="0" w:line="240" w:lineRule="auto"/>
        <w:jc w:val="both"/>
      </w:pPr>
      <w:r>
        <w:t xml:space="preserve">Enfin, le directeur général de l'agence régionale de santé </w:t>
      </w:r>
      <w:r w:rsidRPr="00052DD0">
        <w:rPr>
          <w:b/>
        </w:rPr>
        <w:t>peut</w:t>
      </w:r>
      <w:r>
        <w:t xml:space="preserve"> décider de </w:t>
      </w:r>
      <w:r w:rsidRPr="00052DD0">
        <w:rPr>
          <w:b/>
        </w:rPr>
        <w:t>publier ces décisions de sanction financière sur le site internet de l’ARS</w:t>
      </w:r>
      <w:r>
        <w:t xml:space="preserve"> (</w:t>
      </w:r>
      <w:r w:rsidR="00014872">
        <w:t xml:space="preserve">le </w:t>
      </w:r>
      <w:r>
        <w:t>IV.</w:t>
      </w:r>
      <w:r w:rsidR="00014872">
        <w:t xml:space="preserve"> de l’</w:t>
      </w:r>
      <w:hyperlink r:id="rId17" w:history="1">
        <w:r w:rsidRPr="00014872">
          <w:rPr>
            <w:rStyle w:val="Lienhypertexte"/>
          </w:rPr>
          <w:t>art</w:t>
        </w:r>
        <w:r w:rsidR="00014872" w:rsidRPr="00014872">
          <w:rPr>
            <w:rStyle w:val="Lienhypertexte"/>
          </w:rPr>
          <w:t>icle</w:t>
        </w:r>
        <w:r w:rsidRPr="00014872">
          <w:rPr>
            <w:rStyle w:val="Lienhypertexte"/>
          </w:rPr>
          <w:t xml:space="preserve"> L. 5472-1</w:t>
        </w:r>
      </w:hyperlink>
      <w:r w:rsidR="00D14A10">
        <w:t xml:space="preserve"> du code de la santé publique</w:t>
      </w:r>
      <w:r>
        <w:t>).</w:t>
      </w:r>
    </w:p>
    <w:p w14:paraId="3E17BEB3" w14:textId="77777777" w:rsidR="0022416D" w:rsidRDefault="00560B07" w:rsidP="00052DD0">
      <w:pPr>
        <w:spacing w:after="0" w:line="240" w:lineRule="auto"/>
        <w:jc w:val="both"/>
      </w:pPr>
      <w:hyperlink r:id="rId18" w:history="1">
        <w:r w:rsidR="0022416D" w:rsidRPr="00052DD0">
          <w:rPr>
            <w:rStyle w:val="Lienhypertexte"/>
          </w:rPr>
          <w:t>L’instruction n° DGS/PP/2019/103</w:t>
        </w:r>
      </w:hyperlink>
      <w:r w:rsidR="0022416D" w:rsidRPr="00052DD0">
        <w:t xml:space="preserve"> du 30 avril 2019 relative à la mise en œuvre de la</w:t>
      </w:r>
      <w:r w:rsidR="0022416D" w:rsidRPr="00A65B75">
        <w:rPr>
          <w:b/>
        </w:rPr>
        <w:t xml:space="preserve"> procédure de sanctions </w:t>
      </w:r>
      <w:r w:rsidR="0022416D" w:rsidRPr="00052DD0">
        <w:rPr>
          <w:b/>
        </w:rPr>
        <w:t>financières prononcées par les agences régionales de santé</w:t>
      </w:r>
      <w:r w:rsidR="0022416D" w:rsidRPr="0022416D">
        <w:t xml:space="preserve"> en application des articles </w:t>
      </w:r>
      <w:hyperlink r:id="rId19" w:history="1">
        <w:r w:rsidR="0022416D" w:rsidRPr="00014872">
          <w:rPr>
            <w:rStyle w:val="Lienhypertexte"/>
          </w:rPr>
          <w:t>L. 5472-1</w:t>
        </w:r>
      </w:hyperlink>
      <w:r w:rsidR="0022416D" w:rsidRPr="0022416D">
        <w:t xml:space="preserve"> et </w:t>
      </w:r>
      <w:hyperlink r:id="rId20" w:history="1">
        <w:r w:rsidR="0022416D" w:rsidRPr="00014872">
          <w:rPr>
            <w:rStyle w:val="Lienhypertexte"/>
          </w:rPr>
          <w:t>L. 5472-2</w:t>
        </w:r>
      </w:hyperlink>
      <w:r w:rsidR="0022416D" w:rsidRPr="00683FCB">
        <w:t xml:space="preserve"> </w:t>
      </w:r>
      <w:r w:rsidR="00D14A10">
        <w:t>du code de la santé publique</w:t>
      </w:r>
      <w:r w:rsidR="00D14A10" w:rsidRPr="00683FCB" w:rsidDel="00D14A10">
        <w:t xml:space="preserve"> </w:t>
      </w:r>
      <w:r w:rsidR="0022416D" w:rsidRPr="00683FCB">
        <w:t>peut être utilement mobilisée pour l’encadrement de la procédure de sanction ici envisagée.</w:t>
      </w:r>
      <w:r w:rsidR="0022416D" w:rsidRPr="0022416D">
        <w:t> </w:t>
      </w:r>
      <w:r w:rsidR="00B11361">
        <w:t xml:space="preserve">Il s’agit d’une guide d’application de </w:t>
      </w:r>
      <w:hyperlink r:id="rId21" w:history="1">
        <w:r w:rsidR="00B11361" w:rsidRPr="00014872">
          <w:rPr>
            <w:rStyle w:val="Lienhypertexte"/>
          </w:rPr>
          <w:t>l’article L. 5472-1</w:t>
        </w:r>
      </w:hyperlink>
      <w:r w:rsidR="00B11361" w:rsidRPr="00882373">
        <w:t xml:space="preserve"> du code de la santé publique.</w:t>
      </w:r>
    </w:p>
    <w:p w14:paraId="2FFBA229" w14:textId="77777777" w:rsidR="00FD1877" w:rsidRDefault="00FD1877" w:rsidP="00052DD0">
      <w:pPr>
        <w:spacing w:after="0" w:line="240" w:lineRule="auto"/>
        <w:jc w:val="both"/>
      </w:pPr>
    </w:p>
    <w:p w14:paraId="6388BD28" w14:textId="77777777" w:rsidR="009C06ED" w:rsidRDefault="009C06ED" w:rsidP="009C06ED">
      <w:pPr>
        <w:pStyle w:val="Paragraphedeliste"/>
        <w:numPr>
          <w:ilvl w:val="0"/>
          <w:numId w:val="9"/>
        </w:numPr>
        <w:spacing w:after="0" w:line="240" w:lineRule="auto"/>
        <w:jc w:val="both"/>
      </w:pPr>
      <w:r w:rsidRPr="00683FCB">
        <w:rPr>
          <w:u w:val="single"/>
        </w:rPr>
        <w:t>Les recommandations</w:t>
      </w:r>
      <w:r>
        <w:t> :</w:t>
      </w:r>
    </w:p>
    <w:p w14:paraId="666D0CA7" w14:textId="77777777" w:rsidR="00137C45" w:rsidRDefault="00137C45" w:rsidP="00052DD0">
      <w:pPr>
        <w:spacing w:after="0" w:line="240" w:lineRule="auto"/>
        <w:jc w:val="both"/>
      </w:pPr>
    </w:p>
    <w:p w14:paraId="008B4C65" w14:textId="77777777" w:rsidR="009B44E0" w:rsidRDefault="00FD1877" w:rsidP="00052DD0">
      <w:pPr>
        <w:spacing w:after="0" w:line="240" w:lineRule="auto"/>
        <w:jc w:val="both"/>
      </w:pPr>
      <w:r>
        <w:t xml:space="preserve">Concernant le </w:t>
      </w:r>
      <w:r w:rsidR="009B44E0">
        <w:t>courrier de</w:t>
      </w:r>
      <w:r>
        <w:t xml:space="preserve"> </w:t>
      </w:r>
      <w:r w:rsidRPr="00FD1877">
        <w:rPr>
          <w:u w:val="single"/>
        </w:rPr>
        <w:t>mise en demeure</w:t>
      </w:r>
      <w:r>
        <w:t xml:space="preserve"> du pharmacien </w:t>
      </w:r>
      <w:r w:rsidR="009B44E0">
        <w:t xml:space="preserve">envoyé par l’ARS (I au III de </w:t>
      </w:r>
      <w:hyperlink r:id="rId22" w:history="1">
        <w:r w:rsidR="009B44E0" w:rsidRPr="00874150">
          <w:rPr>
            <w:rStyle w:val="Lienhypertexte"/>
          </w:rPr>
          <w:t xml:space="preserve">l’article </w:t>
        </w:r>
        <w:r w:rsidR="00127DE9" w:rsidRPr="00874150">
          <w:rPr>
            <w:rStyle w:val="Lienhypertexte"/>
          </w:rPr>
          <w:t>R</w:t>
        </w:r>
        <w:r w:rsidR="009B44E0" w:rsidRPr="00874150">
          <w:rPr>
            <w:rStyle w:val="Lienhypertexte"/>
          </w:rPr>
          <w:t>. 1435-37</w:t>
        </w:r>
      </w:hyperlink>
      <w:r w:rsidR="00874150">
        <w:t xml:space="preserve"> du code de la santé publique</w:t>
      </w:r>
      <w:r w:rsidR="009B44E0">
        <w:t>) :</w:t>
      </w:r>
    </w:p>
    <w:p w14:paraId="7AFE7D7A" w14:textId="2EB255AE" w:rsidR="00FD1877" w:rsidRPr="005D5A75" w:rsidRDefault="00FD1877" w:rsidP="00882373">
      <w:pPr>
        <w:pStyle w:val="Paragraphedeliste"/>
        <w:numPr>
          <w:ilvl w:val="0"/>
          <w:numId w:val="4"/>
        </w:numPr>
        <w:spacing w:after="0" w:line="240" w:lineRule="auto"/>
        <w:jc w:val="both"/>
      </w:pPr>
      <w:proofErr w:type="gramStart"/>
      <w:r>
        <w:t>le</w:t>
      </w:r>
      <w:proofErr w:type="gramEnd"/>
      <w:r>
        <w:t xml:space="preserve"> </w:t>
      </w:r>
      <w:r w:rsidRPr="00874150">
        <w:rPr>
          <w:b/>
        </w:rPr>
        <w:t xml:space="preserve">délai </w:t>
      </w:r>
      <w:r w:rsidR="009B44E0" w:rsidRPr="00874150">
        <w:rPr>
          <w:b/>
        </w:rPr>
        <w:t>de réponse du pharmacien</w:t>
      </w:r>
      <w:r w:rsidR="009B44E0">
        <w:t xml:space="preserve"> </w:t>
      </w:r>
      <w:r w:rsidR="00874150">
        <w:t>que fixera le courrier</w:t>
      </w:r>
      <w:r w:rsidR="005D5A75">
        <w:t xml:space="preserve"> </w:t>
      </w:r>
      <w:r w:rsidR="00874150">
        <w:t xml:space="preserve">ne doit </w:t>
      </w:r>
      <w:r w:rsidR="00874150" w:rsidRPr="00874150">
        <w:rPr>
          <w:b/>
        </w:rPr>
        <w:t>pas être inférieur à 8 jours</w:t>
      </w:r>
      <w:r w:rsidR="005D5A75">
        <w:rPr>
          <w:b/>
        </w:rPr>
        <w:t xml:space="preserve"> : idéalement, il pourrait </w:t>
      </w:r>
      <w:r w:rsidR="005D5A75" w:rsidRPr="007352D3">
        <w:t xml:space="preserve">correspondre à </w:t>
      </w:r>
      <w:r w:rsidR="005D5A75">
        <w:t>la périodicité</w:t>
      </w:r>
      <w:r w:rsidR="005D5A75" w:rsidRPr="007352D3">
        <w:t xml:space="preserve"> selon laquelle la liste des officines respectant leurs obligations est transmise par la DGS</w:t>
      </w:r>
      <w:r w:rsidR="005D5A75">
        <w:t xml:space="preserve"> aux ARS ;</w:t>
      </w:r>
    </w:p>
    <w:p w14:paraId="1020B9C5" w14:textId="77777777" w:rsidR="009B44E0" w:rsidRDefault="00B36149" w:rsidP="00882373">
      <w:pPr>
        <w:pStyle w:val="Paragraphedeliste"/>
        <w:numPr>
          <w:ilvl w:val="0"/>
          <w:numId w:val="4"/>
        </w:numPr>
        <w:spacing w:after="0" w:line="240" w:lineRule="auto"/>
        <w:jc w:val="both"/>
      </w:pPr>
      <w:r>
        <w:t xml:space="preserve">Si </w:t>
      </w:r>
      <w:r w:rsidR="009B44E0" w:rsidRPr="000D6119">
        <w:t xml:space="preserve">le directeur général de l’ARS </w:t>
      </w:r>
      <w:r>
        <w:t xml:space="preserve">ne dispose pas du chiffre d’affaire de l’officine pour l’année précédente, il </w:t>
      </w:r>
      <w:r w:rsidR="009B44E0" w:rsidRPr="000D6119">
        <w:t xml:space="preserve">devra demander au pharmacien qu’il lui communique </w:t>
      </w:r>
      <w:r>
        <w:t>celui-ci</w:t>
      </w:r>
      <w:r w:rsidR="009B44E0">
        <w:t xml:space="preserve">. </w:t>
      </w:r>
      <w:r w:rsidR="009B44E0" w:rsidRPr="009B44E0">
        <w:rPr>
          <w:b/>
        </w:rPr>
        <w:t xml:space="preserve">En l’absence de cette </w:t>
      </w:r>
      <w:r w:rsidR="009B44E0">
        <w:rPr>
          <w:b/>
        </w:rPr>
        <w:t>information transmise par le pharmacien</w:t>
      </w:r>
      <w:r w:rsidR="009B44E0">
        <w:t xml:space="preserve">, une reconstitution du chiffre d’affaire par l’ARS, telle que prévue dans l’instruction du 30 avril 2019, n’est pas nécessaire au regard du montant de sanction recommandé ci-dessous. </w:t>
      </w:r>
      <w:r w:rsidR="009B44E0" w:rsidRPr="009B44E0">
        <w:rPr>
          <w:b/>
        </w:rPr>
        <w:t xml:space="preserve">Le montant de sanction recommandée pourra </w:t>
      </w:r>
      <w:r w:rsidR="009B44E0">
        <w:rPr>
          <w:b/>
        </w:rPr>
        <w:t xml:space="preserve">alors </w:t>
      </w:r>
      <w:r w:rsidR="009B44E0" w:rsidRPr="009B44E0">
        <w:rPr>
          <w:b/>
        </w:rPr>
        <w:t>être appliquée directement</w:t>
      </w:r>
      <w:r w:rsidR="009B44E0">
        <w:t>.</w:t>
      </w:r>
    </w:p>
    <w:p w14:paraId="528370BD" w14:textId="77777777" w:rsidR="009B44E0" w:rsidRDefault="009B44E0" w:rsidP="00052DD0">
      <w:pPr>
        <w:spacing w:after="0" w:line="240" w:lineRule="auto"/>
        <w:jc w:val="both"/>
      </w:pPr>
    </w:p>
    <w:p w14:paraId="1788E904" w14:textId="77777777" w:rsidR="004E595C" w:rsidRPr="00882373" w:rsidRDefault="00FD1877" w:rsidP="00882373">
      <w:pPr>
        <w:spacing w:after="0" w:line="240" w:lineRule="auto"/>
        <w:jc w:val="both"/>
      </w:pPr>
      <w:r w:rsidRPr="00882373">
        <w:rPr>
          <w:u w:val="single"/>
        </w:rPr>
        <w:t>Si le manquement perdure</w:t>
      </w:r>
      <w:r w:rsidR="004E595C" w:rsidRPr="00882373">
        <w:t xml:space="preserve">, le directeur général de l'agence régionale de santé territorialement compétente </w:t>
      </w:r>
      <w:r w:rsidR="004E595C" w:rsidRPr="00882373">
        <w:rPr>
          <w:u w:val="single"/>
        </w:rPr>
        <w:t>prononce la sanction financière</w:t>
      </w:r>
      <w:r w:rsidR="004E595C" w:rsidRPr="00882373">
        <w:t> (</w:t>
      </w:r>
      <w:r w:rsidR="004E595C">
        <w:t xml:space="preserve">IV de </w:t>
      </w:r>
      <w:hyperlink r:id="rId23" w:history="1">
        <w:r w:rsidR="004E595C" w:rsidRPr="00AC374A">
          <w:rPr>
            <w:rStyle w:val="Lienhypertexte"/>
          </w:rPr>
          <w:t>l’article R. 1435-37</w:t>
        </w:r>
      </w:hyperlink>
      <w:r w:rsidR="004E595C">
        <w:t xml:space="preserve"> du code de la santé publique) :</w:t>
      </w:r>
    </w:p>
    <w:p w14:paraId="7A5FF692" w14:textId="77777777" w:rsidR="00D14A10" w:rsidRDefault="00D14A10" w:rsidP="00D14A10">
      <w:pPr>
        <w:spacing w:after="0" w:line="240" w:lineRule="auto"/>
        <w:jc w:val="both"/>
      </w:pPr>
    </w:p>
    <w:p w14:paraId="4E83411D" w14:textId="77777777" w:rsidR="00D14A10" w:rsidRDefault="00D14A10" w:rsidP="00D14A10">
      <w:pPr>
        <w:spacing w:after="0" w:line="240" w:lineRule="auto"/>
        <w:jc w:val="both"/>
      </w:pPr>
      <w:r w:rsidRPr="00882373">
        <w:rPr>
          <w:b/>
        </w:rPr>
        <w:t>Le</w:t>
      </w:r>
      <w:r>
        <w:t xml:space="preserve"> </w:t>
      </w:r>
      <w:r w:rsidRPr="009C06ED">
        <w:rPr>
          <w:b/>
        </w:rPr>
        <w:t xml:space="preserve">montant </w:t>
      </w:r>
      <w:r w:rsidR="009B44E0">
        <w:rPr>
          <w:b/>
        </w:rPr>
        <w:t>recommandée</w:t>
      </w:r>
      <w:r>
        <w:rPr>
          <w:b/>
        </w:rPr>
        <w:t xml:space="preserve"> </w:t>
      </w:r>
      <w:r w:rsidRPr="009C06ED">
        <w:rPr>
          <w:b/>
        </w:rPr>
        <w:t>de la sanction financière</w:t>
      </w:r>
      <w:r>
        <w:t xml:space="preserve"> prononcée en cas de manquement par le pharmacien à ses obligations en matière de sérialisation des médicaments s’élève </w:t>
      </w:r>
      <w:r w:rsidRPr="005B3979">
        <w:t xml:space="preserve">à </w:t>
      </w:r>
      <w:r w:rsidRPr="005B3979">
        <w:rPr>
          <w:b/>
        </w:rPr>
        <w:t>2 000€,</w:t>
      </w:r>
      <w:r>
        <w:t xml:space="preserve"> sous réserve des pouvoirs d’appréciation du Directeur général de l’ARS mentionné dans l’instruction du 30 avril 2019.</w:t>
      </w:r>
    </w:p>
    <w:p w14:paraId="1C65DBF7" w14:textId="77777777" w:rsidR="00D14A10" w:rsidRDefault="00D14A10" w:rsidP="00D14A10">
      <w:pPr>
        <w:spacing w:after="0" w:line="240" w:lineRule="auto"/>
        <w:jc w:val="both"/>
      </w:pPr>
    </w:p>
    <w:p w14:paraId="0AB451D3" w14:textId="77777777" w:rsidR="00D14A10" w:rsidRDefault="00D14A10" w:rsidP="00D14A10">
      <w:pPr>
        <w:autoSpaceDE w:val="0"/>
        <w:autoSpaceDN w:val="0"/>
        <w:adjustRightInd w:val="0"/>
        <w:spacing w:after="0" w:line="240" w:lineRule="auto"/>
        <w:jc w:val="both"/>
      </w:pPr>
      <w:r>
        <w:rPr>
          <w:rFonts w:cstheme="minorHAnsi"/>
        </w:rPr>
        <w:t>Si</w:t>
      </w:r>
      <w:r w:rsidRPr="00984058">
        <w:rPr>
          <w:rFonts w:cstheme="minorHAnsi"/>
        </w:rPr>
        <w:t xml:space="preserve"> l’auteur du manquement n’a pas régularisé la situation à l’issue du délai fixé par la mise en</w:t>
      </w:r>
      <w:r>
        <w:rPr>
          <w:rFonts w:cstheme="minorHAnsi"/>
        </w:rPr>
        <w:t xml:space="preserve"> </w:t>
      </w:r>
      <w:r w:rsidRPr="00984058">
        <w:rPr>
          <w:rFonts w:cstheme="minorHAnsi"/>
        </w:rPr>
        <w:t>demeure, une</w:t>
      </w:r>
      <w:r>
        <w:t xml:space="preserve"> </w:t>
      </w:r>
      <w:r w:rsidRPr="009C06ED">
        <w:rPr>
          <w:b/>
        </w:rPr>
        <w:t>astreinte financière</w:t>
      </w:r>
      <w:r>
        <w:t xml:space="preserve"> pourra </w:t>
      </w:r>
      <w:r w:rsidR="009B44E0">
        <w:t>accompagn</w:t>
      </w:r>
      <w:r w:rsidR="00137C45">
        <w:t>er</w:t>
      </w:r>
      <w:r>
        <w:t xml:space="preserve"> la sanction</w:t>
      </w:r>
      <w:r w:rsidR="009B44E0">
        <w:t>. L</w:t>
      </w:r>
      <w:r>
        <w:t xml:space="preserve">e montant recommandé est de </w:t>
      </w:r>
      <w:r w:rsidRPr="005B3979">
        <w:rPr>
          <w:b/>
        </w:rPr>
        <w:t>100€ par jour</w:t>
      </w:r>
      <w:r>
        <w:t>.</w:t>
      </w:r>
    </w:p>
    <w:p w14:paraId="42B3BCE1" w14:textId="77777777" w:rsidR="00D14A10" w:rsidRDefault="00D14A10" w:rsidP="00D14A10">
      <w:pPr>
        <w:spacing w:after="0" w:line="240" w:lineRule="auto"/>
        <w:jc w:val="both"/>
      </w:pPr>
    </w:p>
    <w:p w14:paraId="0461EA8B" w14:textId="77777777" w:rsidR="00FD1877" w:rsidRDefault="00D14A10" w:rsidP="00FD1877">
      <w:pPr>
        <w:spacing w:after="0" w:line="240" w:lineRule="auto"/>
        <w:jc w:val="both"/>
        <w:rPr>
          <w:rFonts w:ascii="Calibri" w:hAnsi="Calibri" w:cs="Calibri"/>
          <w:color w:val="000000"/>
          <w:szCs w:val="20"/>
          <w:shd w:val="clear" w:color="auto" w:fill="FFFFFF"/>
        </w:rPr>
      </w:pPr>
      <w:r>
        <w:t>L</w:t>
      </w:r>
      <w:r w:rsidR="00FD1877">
        <w:t xml:space="preserve">a </w:t>
      </w:r>
      <w:r w:rsidR="00FD1877" w:rsidRPr="00FD1877">
        <w:rPr>
          <w:u w:val="single"/>
        </w:rPr>
        <w:t>notification de la sanction</w:t>
      </w:r>
      <w:r w:rsidR="00FD1877">
        <w:t xml:space="preserve"> pourra conten</w:t>
      </w:r>
      <w:r w:rsidR="009C06ED">
        <w:t>ir</w:t>
      </w:r>
      <w:r w:rsidR="00FD1877">
        <w:t xml:space="preserve"> un</w:t>
      </w:r>
      <w:r w:rsidR="00FD1877" w:rsidRPr="00FD1877">
        <w:rPr>
          <w:rFonts w:ascii="Calibri" w:hAnsi="Calibri" w:cs="Calibri"/>
          <w:color w:val="000000"/>
          <w:szCs w:val="20"/>
          <w:shd w:val="clear" w:color="auto" w:fill="FFFFFF"/>
        </w:rPr>
        <w:t xml:space="preserve"> </w:t>
      </w:r>
      <w:r w:rsidR="00FD1877" w:rsidRPr="009C06ED">
        <w:rPr>
          <w:rFonts w:ascii="Calibri" w:hAnsi="Calibri" w:cs="Calibri"/>
          <w:b/>
          <w:color w:val="000000"/>
          <w:szCs w:val="20"/>
          <w:shd w:val="clear" w:color="auto" w:fill="FFFFFF"/>
        </w:rPr>
        <w:t>considérant de motivation</w:t>
      </w:r>
      <w:r w:rsidR="00FD1877" w:rsidRPr="00FD1877">
        <w:rPr>
          <w:rFonts w:ascii="Calibri" w:hAnsi="Calibri" w:cs="Calibri"/>
          <w:color w:val="000000"/>
          <w:szCs w:val="20"/>
          <w:shd w:val="clear" w:color="auto" w:fill="FFFFFF"/>
        </w:rPr>
        <w:t xml:space="preserve"> </w:t>
      </w:r>
      <w:r w:rsidR="00FD1877">
        <w:rPr>
          <w:rFonts w:ascii="Calibri" w:hAnsi="Calibri" w:cs="Calibri"/>
          <w:color w:val="000000"/>
          <w:szCs w:val="20"/>
          <w:shd w:val="clear" w:color="auto" w:fill="FFFFFF"/>
        </w:rPr>
        <w:t>faisant</w:t>
      </w:r>
      <w:r w:rsidR="00FD1877" w:rsidRPr="00FD1877">
        <w:rPr>
          <w:rFonts w:ascii="Calibri" w:hAnsi="Calibri" w:cs="Calibri"/>
          <w:color w:val="000000"/>
          <w:szCs w:val="20"/>
          <w:shd w:val="clear" w:color="auto" w:fill="FFFFFF"/>
        </w:rPr>
        <w:t xml:space="preserve"> état</w:t>
      </w:r>
      <w:r w:rsidR="00FD1877">
        <w:rPr>
          <w:rFonts w:ascii="Calibri" w:hAnsi="Calibri" w:cs="Calibri"/>
          <w:color w:val="000000"/>
          <w:szCs w:val="20"/>
          <w:shd w:val="clear" w:color="auto" w:fill="FFFFFF"/>
        </w:rPr>
        <w:t xml:space="preserve"> :</w:t>
      </w:r>
    </w:p>
    <w:p w14:paraId="3B6F9211" w14:textId="77777777" w:rsidR="00B36149" w:rsidRPr="00B36149" w:rsidRDefault="00B36149" w:rsidP="00B36149">
      <w:pPr>
        <w:pStyle w:val="Paragraphedeliste"/>
        <w:numPr>
          <w:ilvl w:val="0"/>
          <w:numId w:val="4"/>
        </w:numPr>
        <w:spacing w:after="0" w:line="240" w:lineRule="auto"/>
        <w:jc w:val="both"/>
        <w:rPr>
          <w:rFonts w:ascii="Calibri" w:hAnsi="Calibri" w:cs="Calibri"/>
          <w:color w:val="000000"/>
          <w:szCs w:val="20"/>
          <w:shd w:val="clear" w:color="auto" w:fill="FFFFFF"/>
        </w:rPr>
      </w:pPr>
      <w:r>
        <w:rPr>
          <w:rFonts w:ascii="Calibri" w:hAnsi="Calibri" w:cs="Calibri"/>
          <w:color w:val="000000"/>
          <w:szCs w:val="20"/>
          <w:shd w:val="clear" w:color="auto" w:fill="FFFFFF"/>
        </w:rPr>
        <w:t>Du risque d’introduction de médicaments falsifiés dans la chaine pharmaceutique européenne que le pharmacien contrevenant créé.</w:t>
      </w:r>
    </w:p>
    <w:p w14:paraId="42435929" w14:textId="1C364D54" w:rsidR="00FD1877" w:rsidRDefault="00FD1877" w:rsidP="00FD1877">
      <w:pPr>
        <w:pStyle w:val="Paragraphedeliste"/>
        <w:numPr>
          <w:ilvl w:val="0"/>
          <w:numId w:val="4"/>
        </w:numPr>
        <w:spacing w:after="0" w:line="240" w:lineRule="auto"/>
        <w:jc w:val="both"/>
        <w:rPr>
          <w:rFonts w:ascii="Calibri" w:hAnsi="Calibri" w:cs="Calibri"/>
          <w:color w:val="000000"/>
          <w:szCs w:val="20"/>
          <w:shd w:val="clear" w:color="auto" w:fill="FFFFFF"/>
        </w:rPr>
      </w:pPr>
      <w:r>
        <w:rPr>
          <w:rFonts w:ascii="Calibri" w:hAnsi="Calibri" w:cs="Calibri"/>
          <w:color w:val="000000"/>
          <w:szCs w:val="20"/>
          <w:shd w:val="clear" w:color="auto" w:fill="FFFFFF"/>
        </w:rPr>
        <w:t>De l</w:t>
      </w:r>
      <w:r w:rsidRPr="00FD1877">
        <w:rPr>
          <w:rFonts w:ascii="Calibri" w:hAnsi="Calibri" w:cs="Calibri"/>
          <w:color w:val="000000"/>
          <w:szCs w:val="20"/>
          <w:shd w:val="clear" w:color="auto" w:fill="FFFFFF"/>
        </w:rPr>
        <w:t>’ancienneté</w:t>
      </w:r>
      <w:r>
        <w:rPr>
          <w:rFonts w:ascii="Calibri" w:hAnsi="Calibri" w:cs="Calibri"/>
          <w:color w:val="000000"/>
          <w:szCs w:val="20"/>
          <w:shd w:val="clear" w:color="auto" w:fill="FFFFFF"/>
        </w:rPr>
        <w:t xml:space="preserve"> de cette obligation,</w:t>
      </w:r>
    </w:p>
    <w:p w14:paraId="6A4151E6" w14:textId="24EFA622" w:rsidR="007352D3" w:rsidRPr="007352D3" w:rsidRDefault="007352D3" w:rsidP="007352D3">
      <w:pPr>
        <w:spacing w:after="0" w:line="240" w:lineRule="auto"/>
        <w:jc w:val="both"/>
        <w:rPr>
          <w:rFonts w:ascii="Calibri" w:hAnsi="Calibri" w:cs="Calibri"/>
          <w:color w:val="000000"/>
          <w:szCs w:val="20"/>
          <w:shd w:val="clear" w:color="auto" w:fill="FFFFFF"/>
        </w:rPr>
      </w:pPr>
      <w:r w:rsidRPr="007352D3">
        <w:rPr>
          <w:rFonts w:ascii="Calibri" w:hAnsi="Calibri" w:cs="Calibri"/>
          <w:color w:val="000000"/>
          <w:szCs w:val="20"/>
          <w:shd w:val="clear" w:color="auto" w:fill="FFFFFF"/>
        </w:rPr>
        <w:t>Ainsi que le cas échéant,</w:t>
      </w:r>
    </w:p>
    <w:p w14:paraId="2CC06292" w14:textId="77777777" w:rsidR="007E4C39" w:rsidRPr="007E4C39" w:rsidRDefault="007E4C39" w:rsidP="007E4C39">
      <w:pPr>
        <w:pStyle w:val="Paragraphedeliste"/>
        <w:numPr>
          <w:ilvl w:val="0"/>
          <w:numId w:val="4"/>
        </w:numPr>
        <w:spacing w:after="0" w:line="240" w:lineRule="auto"/>
        <w:jc w:val="both"/>
        <w:rPr>
          <w:rFonts w:ascii="Calibri" w:hAnsi="Calibri" w:cs="Calibri"/>
          <w:color w:val="000000"/>
          <w:szCs w:val="20"/>
          <w:shd w:val="clear" w:color="auto" w:fill="FFFFFF"/>
        </w:rPr>
      </w:pPr>
      <w:r>
        <w:rPr>
          <w:rFonts w:ascii="Calibri" w:hAnsi="Calibri" w:cs="Calibri"/>
          <w:color w:val="000000"/>
          <w:szCs w:val="20"/>
          <w:shd w:val="clear" w:color="auto" w:fill="FFFFFF"/>
        </w:rPr>
        <w:t>Du risque d’une</w:t>
      </w:r>
      <w:r w:rsidRPr="00FD1877">
        <w:rPr>
          <w:rFonts w:ascii="Calibri" w:hAnsi="Calibri" w:cs="Calibri"/>
          <w:color w:val="000000"/>
          <w:szCs w:val="20"/>
          <w:shd w:val="clear" w:color="auto" w:fill="FFFFFF"/>
        </w:rPr>
        <w:t xml:space="preserve"> action en manquement contre l’Etat français qui est le seul </w:t>
      </w:r>
      <w:r>
        <w:rPr>
          <w:rFonts w:ascii="Calibri" w:hAnsi="Calibri" w:cs="Calibri"/>
          <w:color w:val="000000"/>
          <w:szCs w:val="20"/>
          <w:shd w:val="clear" w:color="auto" w:fill="FFFFFF"/>
        </w:rPr>
        <w:t xml:space="preserve">dans l’Union européenne </w:t>
      </w:r>
      <w:r w:rsidRPr="00FD1877">
        <w:rPr>
          <w:rFonts w:ascii="Calibri" w:hAnsi="Calibri" w:cs="Calibri"/>
          <w:color w:val="000000"/>
          <w:szCs w:val="20"/>
          <w:shd w:val="clear" w:color="auto" w:fill="FFFFFF"/>
        </w:rPr>
        <w:t>à ne pas être à jour de ses obligations de mise en œuvre de ce dispositif européen de lutte c</w:t>
      </w:r>
      <w:r>
        <w:rPr>
          <w:rFonts w:ascii="Calibri" w:hAnsi="Calibri" w:cs="Calibri"/>
          <w:color w:val="000000"/>
          <w:szCs w:val="20"/>
          <w:shd w:val="clear" w:color="auto" w:fill="FFFFFF"/>
        </w:rPr>
        <w:t>ontre les médicaments falsifiés,</w:t>
      </w:r>
    </w:p>
    <w:p w14:paraId="6B924B5C" w14:textId="77777777" w:rsidR="009B44E0" w:rsidRDefault="00FD1877" w:rsidP="00882373">
      <w:pPr>
        <w:pStyle w:val="Paragraphedeliste"/>
        <w:numPr>
          <w:ilvl w:val="0"/>
          <w:numId w:val="4"/>
        </w:numPr>
        <w:spacing w:after="0" w:line="240" w:lineRule="auto"/>
        <w:jc w:val="both"/>
        <w:rPr>
          <w:rFonts w:ascii="Calibri" w:hAnsi="Calibri" w:cs="Calibri"/>
          <w:color w:val="000000"/>
          <w:szCs w:val="20"/>
          <w:shd w:val="clear" w:color="auto" w:fill="FFFFFF"/>
        </w:rPr>
      </w:pPr>
      <w:r w:rsidRPr="00FD1877">
        <w:rPr>
          <w:rFonts w:ascii="Calibri" w:hAnsi="Calibri" w:cs="Calibri"/>
          <w:color w:val="000000"/>
          <w:szCs w:val="20"/>
          <w:shd w:val="clear" w:color="auto" w:fill="FFFFFF"/>
        </w:rPr>
        <w:t>Des échanges constants qui ont eu lieu</w:t>
      </w:r>
      <w:r w:rsidR="00B36149">
        <w:rPr>
          <w:rFonts w:ascii="Calibri" w:hAnsi="Calibri" w:cs="Calibri"/>
          <w:color w:val="000000"/>
          <w:szCs w:val="20"/>
          <w:shd w:val="clear" w:color="auto" w:fill="FFFFFF"/>
        </w:rPr>
        <w:t xml:space="preserve"> depuis 2017</w:t>
      </w:r>
      <w:r w:rsidRPr="00FD1877">
        <w:rPr>
          <w:rFonts w:ascii="Calibri" w:hAnsi="Calibri" w:cs="Calibri"/>
          <w:color w:val="000000"/>
          <w:szCs w:val="20"/>
          <w:shd w:val="clear" w:color="auto" w:fill="FFFFFF"/>
        </w:rPr>
        <w:t xml:space="preserve"> entre les autorit</w:t>
      </w:r>
      <w:r w:rsidR="00B36149">
        <w:rPr>
          <w:rFonts w:ascii="Calibri" w:hAnsi="Calibri" w:cs="Calibri"/>
          <w:color w:val="000000"/>
          <w:szCs w:val="20"/>
          <w:shd w:val="clear" w:color="auto" w:fill="FFFFFF"/>
        </w:rPr>
        <w:t>és sanitaires et la profession sur les obligations des pharmaciens en matière de sérialisation des médicaments.</w:t>
      </w:r>
    </w:p>
    <w:p w14:paraId="6661FDD5" w14:textId="77777777" w:rsidR="00B36149" w:rsidRPr="00B36149" w:rsidRDefault="00B36149" w:rsidP="00B36149">
      <w:pPr>
        <w:spacing w:after="0" w:line="240" w:lineRule="auto"/>
        <w:ind w:left="360"/>
        <w:jc w:val="both"/>
        <w:rPr>
          <w:rFonts w:ascii="Calibri" w:hAnsi="Calibri" w:cs="Calibri"/>
          <w:color w:val="000000"/>
          <w:szCs w:val="20"/>
          <w:shd w:val="clear" w:color="auto" w:fill="FFFFFF"/>
        </w:rPr>
      </w:pPr>
    </w:p>
    <w:p w14:paraId="5853C67E" w14:textId="77777777" w:rsidR="009B44E0" w:rsidRDefault="009B44E0" w:rsidP="00882373">
      <w:pPr>
        <w:pStyle w:val="Titre2"/>
        <w:numPr>
          <w:ilvl w:val="0"/>
          <w:numId w:val="6"/>
        </w:numPr>
        <w:rPr>
          <w:rFonts w:ascii="Calibri" w:hAnsi="Calibri" w:cs="Calibri"/>
          <w:color w:val="000000"/>
          <w:szCs w:val="20"/>
          <w:shd w:val="clear" w:color="auto" w:fill="FFFFFF"/>
        </w:rPr>
      </w:pPr>
      <w:r w:rsidRPr="00882373">
        <w:rPr>
          <w:b/>
        </w:rPr>
        <w:t>Cumul entre sanctions ordinales et sanctions financières</w:t>
      </w:r>
    </w:p>
    <w:p w14:paraId="20F2C21E" w14:textId="77777777" w:rsidR="009B44E0" w:rsidRPr="00882373" w:rsidRDefault="009B44E0" w:rsidP="00882373">
      <w:pPr>
        <w:spacing w:after="0" w:line="240" w:lineRule="auto"/>
        <w:jc w:val="both"/>
        <w:rPr>
          <w:rFonts w:cstheme="minorHAnsi"/>
          <w:color w:val="000000"/>
          <w:shd w:val="clear" w:color="auto" w:fill="FFFFFF"/>
        </w:rPr>
      </w:pPr>
    </w:p>
    <w:p w14:paraId="1C0DB36C" w14:textId="77777777" w:rsidR="009B44E0" w:rsidRPr="00882373" w:rsidRDefault="009B44E0" w:rsidP="00882373">
      <w:pPr>
        <w:spacing w:after="0" w:line="240" w:lineRule="auto"/>
        <w:jc w:val="both"/>
        <w:rPr>
          <w:rFonts w:cstheme="minorHAnsi"/>
        </w:rPr>
      </w:pPr>
      <w:r w:rsidRPr="00882373">
        <w:rPr>
          <w:rFonts w:cstheme="minorHAnsi"/>
          <w:b/>
        </w:rPr>
        <w:t>Peuvent s’appliquer simultanément une sanction financière prononcée par le directeur général de l’ARS et une sanction disciplinaire infligée par le juge ordinal</w:t>
      </w:r>
      <w:r w:rsidRPr="00882373">
        <w:rPr>
          <w:rFonts w:cstheme="minorHAnsi"/>
        </w:rPr>
        <w:t xml:space="preserve"> au même pharmacien qui ne respecterait pas ses obligations en matière de sérialisation. </w:t>
      </w:r>
    </w:p>
    <w:p w14:paraId="54A8E464" w14:textId="77777777" w:rsidR="009B44E0" w:rsidRPr="00882373" w:rsidRDefault="009B44E0" w:rsidP="00882373">
      <w:pPr>
        <w:spacing w:after="0" w:line="240" w:lineRule="auto"/>
        <w:jc w:val="both"/>
        <w:rPr>
          <w:rFonts w:cstheme="minorHAnsi"/>
        </w:rPr>
      </w:pPr>
    </w:p>
    <w:p w14:paraId="6E4EA5F8" w14:textId="77777777" w:rsidR="009B44E0" w:rsidRPr="00882373" w:rsidRDefault="005851A2" w:rsidP="00882373">
      <w:pPr>
        <w:spacing w:after="0" w:line="240" w:lineRule="auto"/>
        <w:jc w:val="both"/>
        <w:rPr>
          <w:rFonts w:cstheme="minorHAnsi"/>
        </w:rPr>
      </w:pPr>
      <w:r w:rsidRPr="00882373">
        <w:rPr>
          <w:rFonts w:cstheme="minorHAnsi"/>
        </w:rPr>
        <w:t xml:space="preserve">Il est rappelé au point I de l’instruction n° DGS/PP/2019/103 du 30 avril 2019 : </w:t>
      </w:r>
      <w:r w:rsidRPr="00882373">
        <w:rPr>
          <w:rFonts w:cstheme="minorHAnsi"/>
          <w:i/>
        </w:rPr>
        <w:t>« […]</w:t>
      </w:r>
      <w:r w:rsidR="009B44E0" w:rsidRPr="00882373">
        <w:rPr>
          <w:rFonts w:cstheme="minorHAnsi"/>
          <w:i/>
        </w:rPr>
        <w:t xml:space="preserve"> l’interdiction de cumul des sanctions s’applique uniquement lorsque les dispositions</w:t>
      </w:r>
      <w:r w:rsidRPr="00882373">
        <w:rPr>
          <w:rFonts w:cstheme="minorHAnsi"/>
          <w:i/>
        </w:rPr>
        <w:t xml:space="preserve"> </w:t>
      </w:r>
      <w:r w:rsidR="009B44E0" w:rsidRPr="00882373">
        <w:rPr>
          <w:rFonts w:cstheme="minorHAnsi"/>
          <w:i/>
        </w:rPr>
        <w:t xml:space="preserve">sanctionnent les mêmes faits, protègent les mêmes intérêts, </w:t>
      </w:r>
      <w:r w:rsidR="009B44E0" w:rsidRPr="00882373">
        <w:rPr>
          <w:rFonts w:cstheme="minorHAnsi"/>
          <w:i/>
          <w:u w:val="single"/>
        </w:rPr>
        <w:t>prévoient des sanctions de nature</w:t>
      </w:r>
      <w:r w:rsidRPr="00882373">
        <w:rPr>
          <w:rFonts w:cstheme="minorHAnsi"/>
          <w:i/>
          <w:u w:val="single"/>
        </w:rPr>
        <w:t xml:space="preserve"> </w:t>
      </w:r>
      <w:r w:rsidR="009B44E0" w:rsidRPr="00882373">
        <w:rPr>
          <w:rFonts w:cstheme="minorHAnsi"/>
          <w:i/>
          <w:u w:val="single"/>
        </w:rPr>
        <w:t>équivalente et relèvent du même ordre judiciaire</w:t>
      </w:r>
      <w:r w:rsidRPr="00882373">
        <w:rPr>
          <w:rStyle w:val="Appelnotedebasdep"/>
          <w:rFonts w:cstheme="minorHAnsi"/>
          <w:i/>
          <w:u w:val="single"/>
        </w:rPr>
        <w:footnoteReference w:id="3"/>
      </w:r>
      <w:r w:rsidR="009B44E0" w:rsidRPr="00882373">
        <w:rPr>
          <w:rFonts w:cstheme="minorHAnsi"/>
          <w:i/>
        </w:rPr>
        <w:t>. Ainsi, ces conditions cumulatives permettent de</w:t>
      </w:r>
      <w:r w:rsidRPr="00882373">
        <w:rPr>
          <w:rFonts w:cstheme="minorHAnsi"/>
          <w:i/>
        </w:rPr>
        <w:t xml:space="preserve"> </w:t>
      </w:r>
      <w:r w:rsidR="009B44E0" w:rsidRPr="00882373">
        <w:rPr>
          <w:rFonts w:cstheme="minorHAnsi"/>
          <w:i/>
        </w:rPr>
        <w:t>sanctionner des mêmes faits dans le cadre de sanctions financières</w:t>
      </w:r>
      <w:r w:rsidRPr="00882373">
        <w:rPr>
          <w:rFonts w:cstheme="minorHAnsi"/>
          <w:i/>
        </w:rPr>
        <w:t xml:space="preserve"> et de sanctions disciplinaires </w:t>
      </w:r>
      <w:r w:rsidR="009B44E0" w:rsidRPr="00882373">
        <w:rPr>
          <w:rFonts w:cstheme="minorHAnsi"/>
          <w:i/>
        </w:rPr>
        <w:t>dès lors, par exemple, que les sanctions sont de nature différente.</w:t>
      </w:r>
      <w:r w:rsidRPr="00882373">
        <w:rPr>
          <w:rFonts w:cstheme="minorHAnsi"/>
          <w:i/>
        </w:rPr>
        <w:t> »</w:t>
      </w:r>
      <w:r>
        <w:rPr>
          <w:rFonts w:cstheme="minorHAnsi"/>
        </w:rPr>
        <w:t>.</w:t>
      </w:r>
    </w:p>
    <w:p w14:paraId="5A420C89" w14:textId="77777777" w:rsidR="00D14A10" w:rsidRDefault="00D14A10" w:rsidP="00052DD0">
      <w:pPr>
        <w:spacing w:after="0" w:line="240" w:lineRule="auto"/>
        <w:jc w:val="both"/>
      </w:pPr>
    </w:p>
    <w:p w14:paraId="32E7BDE9" w14:textId="77777777" w:rsidR="00373C9E" w:rsidRDefault="00373C9E">
      <w:r>
        <w:br w:type="page"/>
      </w:r>
    </w:p>
    <w:p w14:paraId="42DFA4CC" w14:textId="4DBC815D" w:rsidR="00A34753" w:rsidRDefault="00F2783F" w:rsidP="00AA2F7D">
      <w:pPr>
        <w:pStyle w:val="Titre2"/>
        <w:numPr>
          <w:ilvl w:val="0"/>
          <w:numId w:val="6"/>
        </w:numPr>
        <w:spacing w:line="240" w:lineRule="auto"/>
        <w:jc w:val="both"/>
        <w:rPr>
          <w:b/>
        </w:rPr>
      </w:pPr>
      <w:r w:rsidRPr="00F2783F">
        <w:rPr>
          <w:b/>
        </w:rPr>
        <w:t xml:space="preserve">Actualité sur la mesure législative </w:t>
      </w:r>
      <w:r>
        <w:rPr>
          <w:b/>
        </w:rPr>
        <w:t xml:space="preserve">en cours </w:t>
      </w:r>
      <w:r w:rsidRPr="00F2783F">
        <w:rPr>
          <w:b/>
        </w:rPr>
        <w:t>de sanction financière à destination des pharmaciens ne respectant pas leurs obligations en matière de sérialisation</w:t>
      </w:r>
    </w:p>
    <w:p w14:paraId="53BBB4B6" w14:textId="77777777" w:rsidR="00AA2F7D" w:rsidRPr="00AA2F7D" w:rsidRDefault="00AA2F7D" w:rsidP="005D5A75"/>
    <w:p w14:paraId="059B1089" w14:textId="77777777" w:rsidR="00A557D1" w:rsidRPr="005D5A75" w:rsidRDefault="00A557D1" w:rsidP="00F2783F">
      <w:pPr>
        <w:spacing w:after="0" w:line="240" w:lineRule="auto"/>
        <w:jc w:val="both"/>
        <w:rPr>
          <w:rFonts w:eastAsia="Times New Roman"/>
          <w:color w:val="000000" w:themeColor="text1"/>
        </w:rPr>
      </w:pPr>
      <w:r w:rsidRPr="005D5A75">
        <w:rPr>
          <w:rFonts w:eastAsia="Times New Roman"/>
          <w:color w:val="000000" w:themeColor="text1"/>
        </w:rPr>
        <w:t xml:space="preserve">Pour rappel, la proposition d’une mesure de sanction financière à destination des pharmaciens ne respectant pas leurs obligations en matière de sérialisation dans le </w:t>
      </w:r>
      <w:r w:rsidRPr="005D5A75">
        <w:rPr>
          <w:rFonts w:eastAsia="Times New Roman"/>
          <w:b/>
          <w:bCs/>
          <w:color w:val="000000" w:themeColor="text1"/>
        </w:rPr>
        <w:t xml:space="preserve">PLFSS 2022 </w:t>
      </w:r>
      <w:r w:rsidRPr="005D5A75">
        <w:rPr>
          <w:rFonts w:eastAsia="Times New Roman"/>
          <w:color w:val="000000" w:themeColor="text1"/>
        </w:rPr>
        <w:t>a été censurée par le Conseil Constitutionnel (cavalier législatif).</w:t>
      </w:r>
    </w:p>
    <w:p w14:paraId="28D61C68" w14:textId="77777777" w:rsidR="00A557D1" w:rsidRPr="005D5A75" w:rsidRDefault="00A557D1" w:rsidP="00F2783F">
      <w:pPr>
        <w:spacing w:after="0" w:line="240" w:lineRule="auto"/>
        <w:jc w:val="both"/>
        <w:rPr>
          <w:rFonts w:eastAsia="Times New Roman"/>
          <w:color w:val="000000" w:themeColor="text1"/>
        </w:rPr>
      </w:pPr>
    </w:p>
    <w:p w14:paraId="390C83F2" w14:textId="77777777" w:rsidR="00A557D1" w:rsidRPr="005D5A75" w:rsidRDefault="00A557D1" w:rsidP="00F2783F">
      <w:pPr>
        <w:spacing w:after="0" w:line="240" w:lineRule="auto"/>
        <w:jc w:val="both"/>
        <w:rPr>
          <w:rFonts w:eastAsia="Times New Roman"/>
          <w:b/>
          <w:bCs/>
          <w:color w:val="000000" w:themeColor="text1"/>
        </w:rPr>
      </w:pPr>
      <w:r w:rsidRPr="005D5A75">
        <w:rPr>
          <w:rFonts w:eastAsia="Times New Roman"/>
          <w:color w:val="000000" w:themeColor="text1"/>
        </w:rPr>
        <w:t xml:space="preserve">Suite aux arbitrages sur le </w:t>
      </w:r>
      <w:r w:rsidRPr="005D5A75">
        <w:rPr>
          <w:rFonts w:eastAsia="Times New Roman"/>
          <w:b/>
          <w:bCs/>
          <w:color w:val="000000" w:themeColor="text1"/>
        </w:rPr>
        <w:t>PLFSS 2023</w:t>
      </w:r>
      <w:r w:rsidRPr="005D5A75">
        <w:rPr>
          <w:rFonts w:eastAsia="Times New Roman"/>
          <w:color w:val="000000" w:themeColor="text1"/>
        </w:rPr>
        <w:t>, la mesure de sanction financière à destination des pharmaciens ne respectant pas leurs obligations en matière de sérialisation n’a pas figuré dans le projet de loi</w:t>
      </w:r>
      <w:r w:rsidRPr="005D5A75">
        <w:rPr>
          <w:rFonts w:eastAsia="Times New Roman"/>
          <w:b/>
          <w:bCs/>
          <w:color w:val="000000" w:themeColor="text1"/>
        </w:rPr>
        <w:t xml:space="preserve">. </w:t>
      </w:r>
    </w:p>
    <w:p w14:paraId="302E9D4D" w14:textId="77777777" w:rsidR="00A557D1" w:rsidRPr="005D5A75" w:rsidRDefault="00A557D1" w:rsidP="00F2783F">
      <w:pPr>
        <w:spacing w:after="0" w:line="240" w:lineRule="auto"/>
        <w:jc w:val="both"/>
        <w:rPr>
          <w:rFonts w:eastAsia="Times New Roman"/>
          <w:b/>
          <w:bCs/>
          <w:color w:val="000000" w:themeColor="text1"/>
        </w:rPr>
      </w:pPr>
    </w:p>
    <w:p w14:paraId="4BECB591" w14:textId="1A64C4AD" w:rsidR="00C368FB" w:rsidRDefault="00A557D1" w:rsidP="00F2783F">
      <w:pPr>
        <w:spacing w:after="0" w:line="240" w:lineRule="auto"/>
        <w:jc w:val="both"/>
        <w:rPr>
          <w:rFonts w:eastAsia="Times New Roman"/>
          <w:color w:val="000000" w:themeColor="text1"/>
        </w:rPr>
      </w:pPr>
      <w:r w:rsidRPr="005D5A75">
        <w:rPr>
          <w:rFonts w:eastAsia="Times New Roman"/>
          <w:color w:val="000000" w:themeColor="text1"/>
        </w:rPr>
        <w:t xml:space="preserve">Un autre vecteur législatif a été trouvé et validé pour inscrire la mesure de sanction financière : </w:t>
      </w:r>
      <w:r w:rsidRPr="005D5A75">
        <w:rPr>
          <w:rFonts w:eastAsia="Times New Roman"/>
          <w:b/>
          <w:bCs/>
          <w:color w:val="000000" w:themeColor="text1"/>
        </w:rPr>
        <w:t xml:space="preserve">le prochain projet de loi portant diverses dispositions d'adaptation au droit de l'Union européenne </w:t>
      </w:r>
      <w:r w:rsidRPr="005D5A75">
        <w:rPr>
          <w:rFonts w:eastAsia="Times New Roman"/>
          <w:color w:val="000000" w:themeColor="text1"/>
        </w:rPr>
        <w:t xml:space="preserve">(DDADUE). </w:t>
      </w:r>
      <w:r w:rsidR="00C368FB">
        <w:rPr>
          <w:rFonts w:eastAsia="Times New Roman"/>
          <w:color w:val="000000" w:themeColor="text1"/>
        </w:rPr>
        <w:t xml:space="preserve">Le calendrier d’adoption de ce projet de loi n’est pas encore fixé, une publication à la fin du </w:t>
      </w:r>
      <w:r w:rsidR="00E10326">
        <w:rPr>
          <w:rFonts w:eastAsia="Times New Roman"/>
          <w:color w:val="000000" w:themeColor="text1"/>
        </w:rPr>
        <w:t>premier</w:t>
      </w:r>
      <w:r w:rsidR="00C368FB">
        <w:rPr>
          <w:rFonts w:eastAsia="Times New Roman"/>
          <w:color w:val="000000" w:themeColor="text1"/>
        </w:rPr>
        <w:t xml:space="preserve"> semestre de l’année 2023 est envisageable sous réserve de la fixation des ordres du jour par le Parlement.</w:t>
      </w:r>
    </w:p>
    <w:p w14:paraId="72DA7DA1" w14:textId="22B41740" w:rsidR="00A557D1" w:rsidRPr="005D5A75" w:rsidRDefault="00C368FB" w:rsidP="00F2783F">
      <w:pPr>
        <w:spacing w:after="0" w:line="240" w:lineRule="auto"/>
        <w:jc w:val="both"/>
        <w:rPr>
          <w:rFonts w:eastAsia="Times New Roman"/>
          <w:color w:val="000000" w:themeColor="text1"/>
        </w:rPr>
      </w:pPr>
      <w:r>
        <w:rPr>
          <w:rFonts w:eastAsia="Times New Roman"/>
          <w:color w:val="000000" w:themeColor="text1"/>
        </w:rPr>
        <w:t xml:space="preserve">Cette mesure de sanction sera </w:t>
      </w:r>
      <w:r w:rsidR="00A557D1" w:rsidRPr="005D5A75">
        <w:rPr>
          <w:rFonts w:eastAsia="Times New Roman"/>
          <w:color w:val="000000" w:themeColor="text1"/>
        </w:rPr>
        <w:t>utilisé</w:t>
      </w:r>
      <w:r>
        <w:rPr>
          <w:rFonts w:eastAsia="Times New Roman"/>
          <w:color w:val="000000" w:themeColor="text1"/>
        </w:rPr>
        <w:t>e</w:t>
      </w:r>
      <w:r w:rsidR="00A557D1" w:rsidRPr="005D5A75">
        <w:rPr>
          <w:rFonts w:eastAsia="Times New Roman"/>
          <w:color w:val="000000" w:themeColor="text1"/>
        </w:rPr>
        <w:t xml:space="preserve"> </w:t>
      </w:r>
      <w:r w:rsidR="00A557D1" w:rsidRPr="005D5A75">
        <w:rPr>
          <w:rFonts w:eastAsia="Times New Roman"/>
          <w:b/>
          <w:color w:val="000000" w:themeColor="text1"/>
        </w:rPr>
        <w:t>pour les ultimes récalcitrants.</w:t>
      </w:r>
      <w:r w:rsidR="00A557D1" w:rsidRPr="005D5A75">
        <w:rPr>
          <w:rFonts w:eastAsia="Times New Roman"/>
          <w:color w:val="000000" w:themeColor="text1"/>
        </w:rPr>
        <w:t xml:space="preserve"> </w:t>
      </w:r>
    </w:p>
    <w:p w14:paraId="43127BE7" w14:textId="71ECC50B" w:rsidR="00F2783F" w:rsidRPr="005D5A75" w:rsidRDefault="00F2783F" w:rsidP="00F2783F">
      <w:pPr>
        <w:spacing w:after="0" w:line="240" w:lineRule="auto"/>
        <w:jc w:val="both"/>
        <w:rPr>
          <w:rFonts w:eastAsia="Times New Roman"/>
          <w:color w:val="000000" w:themeColor="text1"/>
        </w:rPr>
      </w:pPr>
      <w:r w:rsidRPr="005D5A75">
        <w:rPr>
          <w:rFonts w:eastAsia="Times New Roman"/>
          <w:color w:val="000000" w:themeColor="text1"/>
        </w:rPr>
        <w:t xml:space="preserve">La DGS reviendra vers les ARS lors de </w:t>
      </w:r>
      <w:r w:rsidR="00C368FB">
        <w:rPr>
          <w:rFonts w:eastAsia="Times New Roman"/>
          <w:color w:val="000000" w:themeColor="text1"/>
        </w:rPr>
        <w:t>l</w:t>
      </w:r>
      <w:r w:rsidRPr="005D5A75">
        <w:rPr>
          <w:rFonts w:eastAsia="Times New Roman"/>
          <w:color w:val="000000" w:themeColor="text1"/>
        </w:rPr>
        <w:t>a publication</w:t>
      </w:r>
      <w:r w:rsidR="00C368FB">
        <w:rPr>
          <w:rFonts w:eastAsia="Times New Roman"/>
          <w:color w:val="000000" w:themeColor="text1"/>
        </w:rPr>
        <w:t xml:space="preserve"> de la loi et de l’élaboration des textes de mise en œuvre</w:t>
      </w:r>
      <w:r w:rsidRPr="005D5A75">
        <w:rPr>
          <w:rFonts w:eastAsia="Times New Roman"/>
          <w:color w:val="000000" w:themeColor="text1"/>
        </w:rPr>
        <w:t>.</w:t>
      </w:r>
    </w:p>
    <w:p w14:paraId="04B79494" w14:textId="77777777" w:rsidR="00B82FFC" w:rsidRPr="005D5A75" w:rsidRDefault="00B82FFC" w:rsidP="00B82FFC">
      <w:pPr>
        <w:spacing w:after="0" w:line="240" w:lineRule="auto"/>
        <w:jc w:val="both"/>
        <w:rPr>
          <w:strike/>
        </w:rPr>
      </w:pPr>
    </w:p>
    <w:sectPr w:rsidR="00B82FFC" w:rsidRPr="005D5A75" w:rsidSect="00882373">
      <w:pgSz w:w="11906" w:h="16838"/>
      <w:pgMar w:top="1417" w:right="1417" w:bottom="1417"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3F583D" w14:textId="77777777" w:rsidR="009F6C77" w:rsidRDefault="009F6C77" w:rsidP="00AC0C2D">
      <w:pPr>
        <w:spacing w:after="0" w:line="240" w:lineRule="auto"/>
      </w:pPr>
      <w:r>
        <w:separator/>
      </w:r>
    </w:p>
  </w:endnote>
  <w:endnote w:type="continuationSeparator" w:id="0">
    <w:p w14:paraId="261738DF" w14:textId="77777777" w:rsidR="009F6C77" w:rsidRDefault="009F6C77" w:rsidP="00AC0C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D10719" w14:textId="77777777" w:rsidR="009F6C77" w:rsidRDefault="009F6C77" w:rsidP="00AC0C2D">
      <w:pPr>
        <w:spacing w:after="0" w:line="240" w:lineRule="auto"/>
      </w:pPr>
      <w:r>
        <w:separator/>
      </w:r>
    </w:p>
  </w:footnote>
  <w:footnote w:type="continuationSeparator" w:id="0">
    <w:p w14:paraId="5391BE21" w14:textId="77777777" w:rsidR="009F6C77" w:rsidRDefault="009F6C77" w:rsidP="00AC0C2D">
      <w:pPr>
        <w:spacing w:after="0" w:line="240" w:lineRule="auto"/>
      </w:pPr>
      <w:r>
        <w:continuationSeparator/>
      </w:r>
    </w:p>
  </w:footnote>
  <w:footnote w:id="1">
    <w:p w14:paraId="2884A2AB" w14:textId="77777777" w:rsidR="00AC0C2D" w:rsidRPr="00882373" w:rsidRDefault="00AC0C2D" w:rsidP="00AC0C2D">
      <w:pPr>
        <w:pStyle w:val="Notedebasdepage"/>
        <w:jc w:val="both"/>
        <w:rPr>
          <w:rFonts w:cstheme="minorHAnsi"/>
          <w:sz w:val="18"/>
          <w:szCs w:val="18"/>
        </w:rPr>
      </w:pPr>
      <w:r w:rsidRPr="00882373">
        <w:rPr>
          <w:rStyle w:val="Appelnotedebasdep"/>
          <w:rFonts w:cstheme="minorHAnsi"/>
          <w:sz w:val="18"/>
          <w:szCs w:val="18"/>
        </w:rPr>
        <w:footnoteRef/>
      </w:r>
      <w:r w:rsidRPr="00882373">
        <w:rPr>
          <w:rFonts w:cstheme="minorHAnsi"/>
          <w:sz w:val="18"/>
          <w:szCs w:val="18"/>
        </w:rPr>
        <w:t xml:space="preserve"> Article 25 du </w:t>
      </w:r>
      <w:hyperlink r:id="rId1" w:history="1">
        <w:r w:rsidRPr="00882373">
          <w:rPr>
            <w:rStyle w:val="Lienhypertexte"/>
            <w:rFonts w:cstheme="minorHAnsi"/>
            <w:sz w:val="18"/>
            <w:szCs w:val="18"/>
          </w:rPr>
          <w:t>règlement délégué (UE) 2016/161 de la commission du 2 octobre 2015</w:t>
        </w:r>
      </w:hyperlink>
      <w:r w:rsidRPr="00882373">
        <w:rPr>
          <w:rFonts w:cstheme="minorHAnsi"/>
          <w:sz w:val="18"/>
          <w:szCs w:val="18"/>
        </w:rPr>
        <w:t xml:space="preserve"> complétant la directive 2001/83/CE du parlement européen et du conseil en fixant les modalités des dispositifs de sécurité figurant sur l'emballage des médicaments à usage humain</w:t>
      </w:r>
    </w:p>
  </w:footnote>
  <w:footnote w:id="2">
    <w:p w14:paraId="03613372" w14:textId="77777777" w:rsidR="00AC0C2D" w:rsidRDefault="00AC0C2D" w:rsidP="00AC0C2D">
      <w:pPr>
        <w:pStyle w:val="Titre1"/>
        <w:spacing w:before="0" w:beforeAutospacing="0" w:after="0" w:afterAutospacing="0"/>
        <w:jc w:val="both"/>
      </w:pPr>
      <w:r w:rsidRPr="00882373">
        <w:rPr>
          <w:rFonts w:asciiTheme="minorHAnsi" w:eastAsiaTheme="minorHAnsi" w:hAnsiTheme="minorHAnsi" w:cstheme="minorHAnsi"/>
          <w:b w:val="0"/>
          <w:bCs w:val="0"/>
          <w:kern w:val="0"/>
          <w:sz w:val="18"/>
          <w:szCs w:val="18"/>
          <w:lang w:eastAsia="en-US"/>
        </w:rPr>
        <w:footnoteRef/>
      </w:r>
      <w:r w:rsidRPr="00882373">
        <w:rPr>
          <w:rFonts w:asciiTheme="minorHAnsi" w:eastAsiaTheme="minorHAnsi" w:hAnsiTheme="minorHAnsi" w:cstheme="minorHAnsi"/>
          <w:b w:val="0"/>
          <w:bCs w:val="0"/>
          <w:kern w:val="0"/>
          <w:sz w:val="18"/>
          <w:szCs w:val="18"/>
          <w:lang w:eastAsia="en-US"/>
        </w:rPr>
        <w:t xml:space="preserve"> Point 4 de l’annexe de </w:t>
      </w:r>
      <w:hyperlink r:id="rId2" w:history="1">
        <w:r w:rsidRPr="00882373">
          <w:rPr>
            <w:rStyle w:val="Lienhypertexte"/>
            <w:rFonts w:asciiTheme="minorHAnsi" w:eastAsiaTheme="minorHAnsi" w:hAnsiTheme="minorHAnsi" w:cstheme="minorHAnsi"/>
            <w:b w:val="0"/>
            <w:bCs w:val="0"/>
            <w:kern w:val="0"/>
            <w:sz w:val="18"/>
            <w:szCs w:val="18"/>
            <w:lang w:eastAsia="en-US"/>
          </w:rPr>
          <w:t>l’arrêté du 28 novembre 2016 relatif aux bonnes pratiques de dispensation des médicaments</w:t>
        </w:r>
      </w:hyperlink>
      <w:r w:rsidRPr="00882373">
        <w:rPr>
          <w:rFonts w:asciiTheme="minorHAnsi" w:eastAsiaTheme="minorHAnsi" w:hAnsiTheme="minorHAnsi" w:cstheme="minorHAnsi"/>
          <w:b w:val="0"/>
          <w:bCs w:val="0"/>
          <w:kern w:val="0"/>
          <w:sz w:val="18"/>
          <w:szCs w:val="18"/>
          <w:lang w:eastAsia="en-US"/>
        </w:rPr>
        <w:t xml:space="preserve"> dans les pharmacies d'officine, les pharmacies mutualistes et les pharmacies de secours minières, mentionnées à l'article L. 5121-5 du code de la santé publique</w:t>
      </w:r>
    </w:p>
  </w:footnote>
  <w:footnote w:id="3">
    <w:p w14:paraId="42FF4E2B" w14:textId="77777777" w:rsidR="005851A2" w:rsidRPr="00882373" w:rsidRDefault="005851A2">
      <w:pPr>
        <w:pStyle w:val="Notedebasdepage"/>
        <w:rPr>
          <w:rFonts w:cstheme="minorHAnsi"/>
        </w:rPr>
      </w:pPr>
      <w:r w:rsidRPr="00882373">
        <w:rPr>
          <w:rStyle w:val="Appelnotedebasdep"/>
          <w:rFonts w:cstheme="minorHAnsi"/>
        </w:rPr>
        <w:footnoteRef/>
      </w:r>
      <w:r w:rsidRPr="00882373">
        <w:rPr>
          <w:rFonts w:cstheme="minorHAnsi"/>
        </w:rPr>
        <w:t xml:space="preserve"> CC, n° 2014-453/454 QPC et 2015-462 QPC</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A0D6C"/>
    <w:multiLevelType w:val="hybridMultilevel"/>
    <w:tmpl w:val="CDD26C6C"/>
    <w:lvl w:ilvl="0" w:tplc="620CF266">
      <w:start w:val="1"/>
      <w:numFmt w:val="upperLetter"/>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 w15:restartNumberingAfterBreak="0">
    <w:nsid w:val="08165F8D"/>
    <w:multiLevelType w:val="hybridMultilevel"/>
    <w:tmpl w:val="67EC45F8"/>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 w15:restartNumberingAfterBreak="0">
    <w:nsid w:val="0F1E2305"/>
    <w:multiLevelType w:val="hybridMultilevel"/>
    <w:tmpl w:val="5394BDB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15:restartNumberingAfterBreak="0">
    <w:nsid w:val="26791853"/>
    <w:multiLevelType w:val="hybridMultilevel"/>
    <w:tmpl w:val="6A40B152"/>
    <w:lvl w:ilvl="0" w:tplc="92949D8C">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6855450"/>
    <w:multiLevelType w:val="hybridMultilevel"/>
    <w:tmpl w:val="74FEC482"/>
    <w:lvl w:ilvl="0" w:tplc="55FCF85C">
      <w:start w:val="4"/>
      <w:numFmt w:val="bullet"/>
      <w:lvlText w:val=""/>
      <w:lvlJc w:val="left"/>
      <w:pPr>
        <w:ind w:left="1776" w:hanging="360"/>
      </w:pPr>
      <w:rPr>
        <w:rFonts w:ascii="Symbol" w:eastAsiaTheme="minorHAnsi" w:hAnsi="Symbol" w:cstheme="minorBidi"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5" w15:restartNumberingAfterBreak="0">
    <w:nsid w:val="430552D5"/>
    <w:multiLevelType w:val="multilevel"/>
    <w:tmpl w:val="1E4A5CA2"/>
    <w:lvl w:ilvl="0">
      <w:start w:val="1"/>
      <w:numFmt w:val="decimal"/>
      <w:lvlText w:val="%1"/>
      <w:lvlJc w:val="left"/>
      <w:pPr>
        <w:ind w:left="360" w:hanging="360"/>
      </w:pPr>
    </w:lvl>
    <w:lvl w:ilvl="1">
      <w:start w:val="1"/>
      <w:numFmt w:val="decimal"/>
      <w:lvlText w:val="%1-%2"/>
      <w:lvlJc w:val="left"/>
      <w:pPr>
        <w:ind w:left="360" w:hanging="360"/>
      </w:pPr>
      <w:rPr>
        <w:b/>
        <w:bCs/>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6" w15:restartNumberingAfterBreak="0">
    <w:nsid w:val="54B45504"/>
    <w:multiLevelType w:val="hybridMultilevel"/>
    <w:tmpl w:val="8556AF7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6B667CD9"/>
    <w:multiLevelType w:val="hybridMultilevel"/>
    <w:tmpl w:val="9202DA52"/>
    <w:lvl w:ilvl="0" w:tplc="F6DA9FA8">
      <w:start w:val="4"/>
      <w:numFmt w:val="bullet"/>
      <w:lvlText w:val=""/>
      <w:lvlJc w:val="left"/>
      <w:pPr>
        <w:ind w:left="720" w:hanging="360"/>
      </w:pPr>
      <w:rPr>
        <w:rFonts w:ascii="Symbol" w:eastAsiaTheme="minorHAnsi" w:hAnsi="Symbol"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41638EB"/>
    <w:multiLevelType w:val="hybridMultilevel"/>
    <w:tmpl w:val="97D09CD8"/>
    <w:lvl w:ilvl="0" w:tplc="5CD02116">
      <w:start w:val="10"/>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87C788A"/>
    <w:multiLevelType w:val="hybridMultilevel"/>
    <w:tmpl w:val="F6280318"/>
    <w:lvl w:ilvl="0" w:tplc="BF5E2A08">
      <w:start w:val="1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7982311B"/>
    <w:multiLevelType w:val="hybridMultilevel"/>
    <w:tmpl w:val="7A9E7252"/>
    <w:lvl w:ilvl="0" w:tplc="34C82A20">
      <w:start w:val="1"/>
      <w:numFmt w:val="decimal"/>
      <w:lvlText w:val="%1."/>
      <w:lvlJc w:val="left"/>
      <w:pPr>
        <w:ind w:left="1068" w:hanging="360"/>
      </w:pPr>
      <w:rPr>
        <w:color w:val="0070C0"/>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1" w15:restartNumberingAfterBreak="0">
    <w:nsid w:val="7B4B36A6"/>
    <w:multiLevelType w:val="hybridMultilevel"/>
    <w:tmpl w:val="59CA313A"/>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1"/>
  </w:num>
  <w:num w:numId="4">
    <w:abstractNumId w:val="9"/>
  </w:num>
  <w:num w:numId="5">
    <w:abstractNumId w:val="8"/>
  </w:num>
  <w:num w:numId="6">
    <w:abstractNumId w:val="10"/>
  </w:num>
  <w:num w:numId="7">
    <w:abstractNumId w:val="4"/>
  </w:num>
  <w:num w:numId="8">
    <w:abstractNumId w:val="7"/>
  </w:num>
  <w:num w:numId="9">
    <w:abstractNumId w:val="0"/>
  </w:num>
  <w:num w:numId="10">
    <w:abstractNumId w:val="6"/>
  </w:num>
  <w:num w:numId="11">
    <w:abstractNumId w:val="2"/>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416D"/>
    <w:rsid w:val="00002401"/>
    <w:rsid w:val="0000483C"/>
    <w:rsid w:val="00014872"/>
    <w:rsid w:val="00026BF3"/>
    <w:rsid w:val="00052DD0"/>
    <w:rsid w:val="000A4D49"/>
    <w:rsid w:val="000C0BD0"/>
    <w:rsid w:val="000D22B3"/>
    <w:rsid w:val="000F4720"/>
    <w:rsid w:val="00127DE9"/>
    <w:rsid w:val="00137C45"/>
    <w:rsid w:val="0014268B"/>
    <w:rsid w:val="0014308C"/>
    <w:rsid w:val="00163C51"/>
    <w:rsid w:val="00175324"/>
    <w:rsid w:val="001840AA"/>
    <w:rsid w:val="001E6E73"/>
    <w:rsid w:val="00221915"/>
    <w:rsid w:val="0022416D"/>
    <w:rsid w:val="00274A32"/>
    <w:rsid w:val="002862F1"/>
    <w:rsid w:val="002A49E9"/>
    <w:rsid w:val="002B0888"/>
    <w:rsid w:val="002B401C"/>
    <w:rsid w:val="002B5061"/>
    <w:rsid w:val="002D45F4"/>
    <w:rsid w:val="00313CFD"/>
    <w:rsid w:val="00373C9E"/>
    <w:rsid w:val="003A2804"/>
    <w:rsid w:val="003A714C"/>
    <w:rsid w:val="003B2905"/>
    <w:rsid w:val="0040418A"/>
    <w:rsid w:val="00410E2C"/>
    <w:rsid w:val="004C23E9"/>
    <w:rsid w:val="004C6F3F"/>
    <w:rsid w:val="004E595C"/>
    <w:rsid w:val="005603D9"/>
    <w:rsid w:val="00560B07"/>
    <w:rsid w:val="00563C4A"/>
    <w:rsid w:val="005851A2"/>
    <w:rsid w:val="005A49C3"/>
    <w:rsid w:val="005A4A70"/>
    <w:rsid w:val="005B3979"/>
    <w:rsid w:val="005D5A75"/>
    <w:rsid w:val="00610BA4"/>
    <w:rsid w:val="00646B36"/>
    <w:rsid w:val="00655E34"/>
    <w:rsid w:val="00664EF1"/>
    <w:rsid w:val="006776EC"/>
    <w:rsid w:val="00683FCB"/>
    <w:rsid w:val="00707098"/>
    <w:rsid w:val="00710848"/>
    <w:rsid w:val="0071581B"/>
    <w:rsid w:val="007352D3"/>
    <w:rsid w:val="00796941"/>
    <w:rsid w:val="007B3152"/>
    <w:rsid w:val="007D6200"/>
    <w:rsid w:val="007E4C39"/>
    <w:rsid w:val="007E7953"/>
    <w:rsid w:val="00800121"/>
    <w:rsid w:val="00874150"/>
    <w:rsid w:val="008809B7"/>
    <w:rsid w:val="00882373"/>
    <w:rsid w:val="008A0EC1"/>
    <w:rsid w:val="008C13DE"/>
    <w:rsid w:val="009209A2"/>
    <w:rsid w:val="00921B8D"/>
    <w:rsid w:val="009277E4"/>
    <w:rsid w:val="0094698D"/>
    <w:rsid w:val="00984058"/>
    <w:rsid w:val="00992EA8"/>
    <w:rsid w:val="009B0A8C"/>
    <w:rsid w:val="009B44E0"/>
    <w:rsid w:val="009B6918"/>
    <w:rsid w:val="009C06ED"/>
    <w:rsid w:val="009C2317"/>
    <w:rsid w:val="009C50B6"/>
    <w:rsid w:val="009F6C77"/>
    <w:rsid w:val="00A022E0"/>
    <w:rsid w:val="00A23A55"/>
    <w:rsid w:val="00A34753"/>
    <w:rsid w:val="00A36D5A"/>
    <w:rsid w:val="00A441F1"/>
    <w:rsid w:val="00A444A0"/>
    <w:rsid w:val="00A47A2F"/>
    <w:rsid w:val="00A506C6"/>
    <w:rsid w:val="00A557D1"/>
    <w:rsid w:val="00A635D0"/>
    <w:rsid w:val="00A65B75"/>
    <w:rsid w:val="00A67D7C"/>
    <w:rsid w:val="00AA2F7D"/>
    <w:rsid w:val="00AC04D6"/>
    <w:rsid w:val="00AC0C2D"/>
    <w:rsid w:val="00AC374A"/>
    <w:rsid w:val="00AF0F4D"/>
    <w:rsid w:val="00AF1929"/>
    <w:rsid w:val="00B11361"/>
    <w:rsid w:val="00B2212B"/>
    <w:rsid w:val="00B33C66"/>
    <w:rsid w:val="00B36149"/>
    <w:rsid w:val="00B3634C"/>
    <w:rsid w:val="00B6265C"/>
    <w:rsid w:val="00B6663E"/>
    <w:rsid w:val="00B8289B"/>
    <w:rsid w:val="00B82FFC"/>
    <w:rsid w:val="00B9073A"/>
    <w:rsid w:val="00B94BA6"/>
    <w:rsid w:val="00BA3653"/>
    <w:rsid w:val="00BE10B7"/>
    <w:rsid w:val="00BE27F9"/>
    <w:rsid w:val="00C368FB"/>
    <w:rsid w:val="00C438A2"/>
    <w:rsid w:val="00C50B27"/>
    <w:rsid w:val="00C52360"/>
    <w:rsid w:val="00C64665"/>
    <w:rsid w:val="00C764EB"/>
    <w:rsid w:val="00CF24A5"/>
    <w:rsid w:val="00D06740"/>
    <w:rsid w:val="00D14A10"/>
    <w:rsid w:val="00D43222"/>
    <w:rsid w:val="00D46FA8"/>
    <w:rsid w:val="00D60250"/>
    <w:rsid w:val="00D67CEE"/>
    <w:rsid w:val="00D93D82"/>
    <w:rsid w:val="00D972C1"/>
    <w:rsid w:val="00DC7EFE"/>
    <w:rsid w:val="00DD5A43"/>
    <w:rsid w:val="00DE1464"/>
    <w:rsid w:val="00DE62EF"/>
    <w:rsid w:val="00E00F96"/>
    <w:rsid w:val="00E10326"/>
    <w:rsid w:val="00E11A3B"/>
    <w:rsid w:val="00E243B2"/>
    <w:rsid w:val="00E56B17"/>
    <w:rsid w:val="00E87594"/>
    <w:rsid w:val="00E95F16"/>
    <w:rsid w:val="00EA3256"/>
    <w:rsid w:val="00EC78A2"/>
    <w:rsid w:val="00ED11AF"/>
    <w:rsid w:val="00F10686"/>
    <w:rsid w:val="00F2783F"/>
    <w:rsid w:val="00F6329F"/>
    <w:rsid w:val="00F81EEB"/>
    <w:rsid w:val="00F90763"/>
    <w:rsid w:val="00FD1877"/>
    <w:rsid w:val="00FF34CE"/>
    <w:rsid w:val="00FF673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5EA5A"/>
  <w15:chartTrackingRefBased/>
  <w15:docId w15:val="{0EB87029-89B8-45A3-BC6C-D662FECD0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link w:val="Titre1Car"/>
    <w:uiPriority w:val="9"/>
    <w:qFormat/>
    <w:rsid w:val="00AC0C2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next w:val="Normal"/>
    <w:link w:val="Titre2Car"/>
    <w:uiPriority w:val="9"/>
    <w:unhideWhenUsed/>
    <w:qFormat/>
    <w:rsid w:val="00B94BA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65B75"/>
    <w:pPr>
      <w:ind w:left="720"/>
      <w:contextualSpacing/>
    </w:pPr>
  </w:style>
  <w:style w:type="paragraph" w:styleId="NormalWeb">
    <w:name w:val="Normal (Web)"/>
    <w:basedOn w:val="Normal"/>
    <w:uiPriority w:val="99"/>
    <w:unhideWhenUsed/>
    <w:rsid w:val="000F4720"/>
    <w:pPr>
      <w:spacing w:before="100" w:beforeAutospacing="1" w:after="100" w:afterAutospacing="1" w:line="240" w:lineRule="auto"/>
    </w:pPr>
    <w:rPr>
      <w:rFonts w:ascii="Times New Roman" w:hAnsi="Times New Roman" w:cs="Times New Roman"/>
      <w:sz w:val="24"/>
      <w:szCs w:val="24"/>
      <w:lang w:eastAsia="fr-FR"/>
    </w:rPr>
  </w:style>
  <w:style w:type="character" w:styleId="Marquedecommentaire">
    <w:name w:val="annotation reference"/>
    <w:basedOn w:val="Policepardfaut"/>
    <w:uiPriority w:val="99"/>
    <w:semiHidden/>
    <w:unhideWhenUsed/>
    <w:rsid w:val="00B6265C"/>
    <w:rPr>
      <w:sz w:val="16"/>
      <w:szCs w:val="16"/>
    </w:rPr>
  </w:style>
  <w:style w:type="paragraph" w:styleId="Commentaire">
    <w:name w:val="annotation text"/>
    <w:basedOn w:val="Normal"/>
    <w:link w:val="CommentaireCar"/>
    <w:uiPriority w:val="99"/>
    <w:unhideWhenUsed/>
    <w:rsid w:val="00B6265C"/>
    <w:pPr>
      <w:spacing w:line="240" w:lineRule="auto"/>
    </w:pPr>
    <w:rPr>
      <w:sz w:val="20"/>
      <w:szCs w:val="20"/>
    </w:rPr>
  </w:style>
  <w:style w:type="character" w:customStyle="1" w:styleId="CommentaireCar">
    <w:name w:val="Commentaire Car"/>
    <w:basedOn w:val="Policepardfaut"/>
    <w:link w:val="Commentaire"/>
    <w:uiPriority w:val="99"/>
    <w:rsid w:val="00B6265C"/>
    <w:rPr>
      <w:sz w:val="20"/>
      <w:szCs w:val="20"/>
    </w:rPr>
  </w:style>
  <w:style w:type="paragraph" w:styleId="Objetducommentaire">
    <w:name w:val="annotation subject"/>
    <w:basedOn w:val="Commentaire"/>
    <w:next w:val="Commentaire"/>
    <w:link w:val="ObjetducommentaireCar"/>
    <w:uiPriority w:val="99"/>
    <w:semiHidden/>
    <w:unhideWhenUsed/>
    <w:rsid w:val="00B6265C"/>
    <w:rPr>
      <w:b/>
      <w:bCs/>
    </w:rPr>
  </w:style>
  <w:style w:type="character" w:customStyle="1" w:styleId="ObjetducommentaireCar">
    <w:name w:val="Objet du commentaire Car"/>
    <w:basedOn w:val="CommentaireCar"/>
    <w:link w:val="Objetducommentaire"/>
    <w:uiPriority w:val="99"/>
    <w:semiHidden/>
    <w:rsid w:val="00B6265C"/>
    <w:rPr>
      <w:b/>
      <w:bCs/>
      <w:sz w:val="20"/>
      <w:szCs w:val="20"/>
    </w:rPr>
  </w:style>
  <w:style w:type="paragraph" w:styleId="Textedebulles">
    <w:name w:val="Balloon Text"/>
    <w:basedOn w:val="Normal"/>
    <w:link w:val="TextedebullesCar"/>
    <w:uiPriority w:val="99"/>
    <w:semiHidden/>
    <w:unhideWhenUsed/>
    <w:rsid w:val="00B6265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B6265C"/>
    <w:rPr>
      <w:rFonts w:ascii="Segoe UI" w:hAnsi="Segoe UI" w:cs="Segoe UI"/>
      <w:sz w:val="18"/>
      <w:szCs w:val="18"/>
    </w:rPr>
  </w:style>
  <w:style w:type="paragraph" w:styleId="Notedebasdepage">
    <w:name w:val="footnote text"/>
    <w:basedOn w:val="Normal"/>
    <w:link w:val="NotedebasdepageCar"/>
    <w:uiPriority w:val="99"/>
    <w:semiHidden/>
    <w:unhideWhenUsed/>
    <w:rsid w:val="00AC0C2D"/>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AC0C2D"/>
    <w:rPr>
      <w:sz w:val="20"/>
      <w:szCs w:val="20"/>
    </w:rPr>
  </w:style>
  <w:style w:type="character" w:styleId="Appelnotedebasdep">
    <w:name w:val="footnote reference"/>
    <w:basedOn w:val="Policepardfaut"/>
    <w:uiPriority w:val="99"/>
    <w:semiHidden/>
    <w:unhideWhenUsed/>
    <w:rsid w:val="00AC0C2D"/>
    <w:rPr>
      <w:vertAlign w:val="superscript"/>
    </w:rPr>
  </w:style>
  <w:style w:type="character" w:customStyle="1" w:styleId="markedcontent">
    <w:name w:val="markedcontent"/>
    <w:basedOn w:val="Policepardfaut"/>
    <w:rsid w:val="00AC0C2D"/>
  </w:style>
  <w:style w:type="character" w:styleId="Lienhypertexte">
    <w:name w:val="Hyperlink"/>
    <w:basedOn w:val="Policepardfaut"/>
    <w:uiPriority w:val="99"/>
    <w:unhideWhenUsed/>
    <w:rsid w:val="00AC0C2D"/>
    <w:rPr>
      <w:color w:val="0563C1" w:themeColor="hyperlink"/>
      <w:u w:val="single"/>
    </w:rPr>
  </w:style>
  <w:style w:type="character" w:customStyle="1" w:styleId="Titre1Car">
    <w:name w:val="Titre 1 Car"/>
    <w:basedOn w:val="Policepardfaut"/>
    <w:link w:val="Titre1"/>
    <w:uiPriority w:val="9"/>
    <w:rsid w:val="00AC0C2D"/>
    <w:rPr>
      <w:rFonts w:ascii="Times New Roman" w:eastAsia="Times New Roman" w:hAnsi="Times New Roman" w:cs="Times New Roman"/>
      <w:b/>
      <w:bCs/>
      <w:kern w:val="36"/>
      <w:sz w:val="48"/>
      <w:szCs w:val="48"/>
      <w:lang w:eastAsia="fr-FR"/>
    </w:rPr>
  </w:style>
  <w:style w:type="character" w:customStyle="1" w:styleId="Titre2Car">
    <w:name w:val="Titre 2 Car"/>
    <w:basedOn w:val="Policepardfaut"/>
    <w:link w:val="Titre2"/>
    <w:uiPriority w:val="9"/>
    <w:rsid w:val="00B94BA6"/>
    <w:rPr>
      <w:rFonts w:asciiTheme="majorHAnsi" w:eastAsiaTheme="majorEastAsia" w:hAnsiTheme="majorHAnsi" w:cstheme="majorBidi"/>
      <w:color w:val="2E74B5" w:themeColor="accent1" w:themeShade="BF"/>
      <w:sz w:val="26"/>
      <w:szCs w:val="26"/>
    </w:rPr>
  </w:style>
  <w:style w:type="paragraph" w:customStyle="1" w:styleId="Default">
    <w:name w:val="Default"/>
    <w:rsid w:val="00052DD0"/>
    <w:pPr>
      <w:autoSpaceDE w:val="0"/>
      <w:autoSpaceDN w:val="0"/>
      <w:adjustRightInd w:val="0"/>
      <w:spacing w:after="0" w:line="240" w:lineRule="auto"/>
    </w:pPr>
    <w:rPr>
      <w:rFonts w:ascii="Times New Roman" w:eastAsiaTheme="minorEastAsia" w:hAnsi="Times New Roman" w:cs="Times New Roman"/>
      <w:color w:val="000000"/>
      <w:sz w:val="24"/>
      <w:szCs w:val="24"/>
      <w:lang w:eastAsia="fr-FR"/>
    </w:rPr>
  </w:style>
  <w:style w:type="character" w:customStyle="1" w:styleId="hgkelc">
    <w:name w:val="hgkelc"/>
    <w:basedOn w:val="Policepardfaut"/>
    <w:rsid w:val="00052DD0"/>
  </w:style>
  <w:style w:type="paragraph" w:styleId="Rvision">
    <w:name w:val="Revision"/>
    <w:hidden/>
    <w:uiPriority w:val="99"/>
    <w:semiHidden/>
    <w:rsid w:val="00D60250"/>
    <w:pPr>
      <w:spacing w:after="0" w:line="240" w:lineRule="auto"/>
    </w:pPr>
  </w:style>
  <w:style w:type="character" w:styleId="Lienhypertextesuivivisit">
    <w:name w:val="FollowedHyperlink"/>
    <w:basedOn w:val="Policepardfaut"/>
    <w:uiPriority w:val="99"/>
    <w:semiHidden/>
    <w:unhideWhenUsed/>
    <w:rsid w:val="00B6663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398902">
      <w:bodyDiv w:val="1"/>
      <w:marLeft w:val="0"/>
      <w:marRight w:val="0"/>
      <w:marTop w:val="0"/>
      <w:marBottom w:val="0"/>
      <w:divBdr>
        <w:top w:val="none" w:sz="0" w:space="0" w:color="auto"/>
        <w:left w:val="none" w:sz="0" w:space="0" w:color="auto"/>
        <w:bottom w:val="none" w:sz="0" w:space="0" w:color="auto"/>
        <w:right w:val="none" w:sz="0" w:space="0" w:color="auto"/>
      </w:divBdr>
    </w:div>
    <w:div w:id="571235241">
      <w:bodyDiv w:val="1"/>
      <w:marLeft w:val="0"/>
      <w:marRight w:val="0"/>
      <w:marTop w:val="0"/>
      <w:marBottom w:val="0"/>
      <w:divBdr>
        <w:top w:val="none" w:sz="0" w:space="0" w:color="auto"/>
        <w:left w:val="none" w:sz="0" w:space="0" w:color="auto"/>
        <w:bottom w:val="none" w:sz="0" w:space="0" w:color="auto"/>
        <w:right w:val="none" w:sz="0" w:space="0" w:color="auto"/>
      </w:divBdr>
    </w:div>
    <w:div w:id="889464752">
      <w:bodyDiv w:val="1"/>
      <w:marLeft w:val="0"/>
      <w:marRight w:val="0"/>
      <w:marTop w:val="0"/>
      <w:marBottom w:val="0"/>
      <w:divBdr>
        <w:top w:val="none" w:sz="0" w:space="0" w:color="auto"/>
        <w:left w:val="none" w:sz="0" w:space="0" w:color="auto"/>
        <w:bottom w:val="none" w:sz="0" w:space="0" w:color="auto"/>
        <w:right w:val="none" w:sz="0" w:space="0" w:color="auto"/>
      </w:divBdr>
    </w:div>
    <w:div w:id="906040590">
      <w:bodyDiv w:val="1"/>
      <w:marLeft w:val="0"/>
      <w:marRight w:val="0"/>
      <w:marTop w:val="0"/>
      <w:marBottom w:val="0"/>
      <w:divBdr>
        <w:top w:val="none" w:sz="0" w:space="0" w:color="auto"/>
        <w:left w:val="none" w:sz="0" w:space="0" w:color="auto"/>
        <w:bottom w:val="none" w:sz="0" w:space="0" w:color="auto"/>
        <w:right w:val="none" w:sz="0" w:space="0" w:color="auto"/>
      </w:divBdr>
    </w:div>
    <w:div w:id="1039667530">
      <w:bodyDiv w:val="1"/>
      <w:marLeft w:val="0"/>
      <w:marRight w:val="0"/>
      <w:marTop w:val="0"/>
      <w:marBottom w:val="0"/>
      <w:divBdr>
        <w:top w:val="none" w:sz="0" w:space="0" w:color="auto"/>
        <w:left w:val="none" w:sz="0" w:space="0" w:color="auto"/>
        <w:bottom w:val="none" w:sz="0" w:space="0" w:color="auto"/>
        <w:right w:val="none" w:sz="0" w:space="0" w:color="auto"/>
      </w:divBdr>
    </w:div>
    <w:div w:id="1160268181">
      <w:bodyDiv w:val="1"/>
      <w:marLeft w:val="0"/>
      <w:marRight w:val="0"/>
      <w:marTop w:val="0"/>
      <w:marBottom w:val="0"/>
      <w:divBdr>
        <w:top w:val="none" w:sz="0" w:space="0" w:color="auto"/>
        <w:left w:val="none" w:sz="0" w:space="0" w:color="auto"/>
        <w:bottom w:val="none" w:sz="0" w:space="0" w:color="auto"/>
        <w:right w:val="none" w:sz="0" w:space="0" w:color="auto"/>
      </w:divBdr>
    </w:div>
    <w:div w:id="1463303852">
      <w:bodyDiv w:val="1"/>
      <w:marLeft w:val="0"/>
      <w:marRight w:val="0"/>
      <w:marTop w:val="0"/>
      <w:marBottom w:val="0"/>
      <w:divBdr>
        <w:top w:val="none" w:sz="0" w:space="0" w:color="auto"/>
        <w:left w:val="none" w:sz="0" w:space="0" w:color="auto"/>
        <w:bottom w:val="none" w:sz="0" w:space="0" w:color="auto"/>
        <w:right w:val="none" w:sz="0" w:space="0" w:color="auto"/>
      </w:divBdr>
    </w:div>
    <w:div w:id="1591236707">
      <w:bodyDiv w:val="1"/>
      <w:marLeft w:val="0"/>
      <w:marRight w:val="0"/>
      <w:marTop w:val="0"/>
      <w:marBottom w:val="0"/>
      <w:divBdr>
        <w:top w:val="none" w:sz="0" w:space="0" w:color="auto"/>
        <w:left w:val="none" w:sz="0" w:space="0" w:color="auto"/>
        <w:bottom w:val="none" w:sz="0" w:space="0" w:color="auto"/>
        <w:right w:val="none" w:sz="0" w:space="0" w:color="auto"/>
      </w:divBdr>
    </w:div>
    <w:div w:id="1840192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gifrance.gouv.fr/codes/article_lc/LEGIARTI000028352000/2022-11-24/" TargetMode="External"/><Relationship Id="rId13" Type="http://schemas.openxmlformats.org/officeDocument/2006/relationships/hyperlink" Target="https://www.legifrance.gouv.fr/codes/article_lc/LEGIARTI000028350751/2022-10-14/" TargetMode="External"/><Relationship Id="rId18" Type="http://schemas.openxmlformats.org/officeDocument/2006/relationships/hyperlink" Target="https://www.legifrance.gouv.fr/circulaire/id/44660" TargetMode="External"/><Relationship Id="rId3" Type="http://schemas.openxmlformats.org/officeDocument/2006/relationships/styles" Target="styles.xml"/><Relationship Id="rId21" Type="http://schemas.openxmlformats.org/officeDocument/2006/relationships/hyperlink" Target="https://www.legifrance.gouv.fr/codes/article_lc/LEGIARTI000028350751/2022-10-14/" TargetMode="External"/><Relationship Id="rId7" Type="http://schemas.openxmlformats.org/officeDocument/2006/relationships/endnotes" Target="endnotes.xml"/><Relationship Id="rId12" Type="http://schemas.openxmlformats.org/officeDocument/2006/relationships/hyperlink" Target="https://www.legifrance.gouv.fr/codes/article_lc/LEGIARTI000042685802/2022-11-24/" TargetMode="External"/><Relationship Id="rId17" Type="http://schemas.openxmlformats.org/officeDocument/2006/relationships/hyperlink" Target="https://www.legifrance.gouv.fr/codes/article_lc/LEGIARTI000028350751/2022-10-14/"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legifrance.gouv.fr/codes/article_lc/LEGIARTI000028350751/2022-10-14/" TargetMode="External"/><Relationship Id="rId20" Type="http://schemas.openxmlformats.org/officeDocument/2006/relationships/hyperlink" Target="https://www.legifrance.gouv.fr/codes/article_lc/LEGIARTI000028350758/2022-10-1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egifrance.gouv.fr/codes/article_lc/LEGIARTI000019108655"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legifrance.gouv.fr/affichCodeArticle.do?cidTexte=LEGITEXT000006072665&amp;idArticle=LEGIARTI000028350746&amp;dateTexte=&amp;categorieLien=cid" TargetMode="External"/><Relationship Id="rId23" Type="http://schemas.openxmlformats.org/officeDocument/2006/relationships/hyperlink" Target="https://www.legifrance.gouv.fr/codes/article_lc/LEGIARTI000028540964" TargetMode="External"/><Relationship Id="rId10" Type="http://schemas.openxmlformats.org/officeDocument/2006/relationships/hyperlink" Target="https://www.legifrance.gouv.fr/codes/article_lc/LEGIARTI000006913663/2022-11-24/" TargetMode="External"/><Relationship Id="rId19" Type="http://schemas.openxmlformats.org/officeDocument/2006/relationships/hyperlink" Target="https://www.legifrance.gouv.fr/codes/article_lc/LEGIARTI000028350751/2022-10-14/" TargetMode="External"/><Relationship Id="rId4" Type="http://schemas.openxmlformats.org/officeDocument/2006/relationships/settings" Target="settings.xml"/><Relationship Id="rId9" Type="http://schemas.openxmlformats.org/officeDocument/2006/relationships/hyperlink" Target="https://www.legifrance.gouv.fr/codes/article_lc/LEGIARTI000006913661" TargetMode="External"/><Relationship Id="rId14" Type="http://schemas.openxmlformats.org/officeDocument/2006/relationships/hyperlink" Target="https://www.legifrance.gouv.fr/affichCodeArticle.do?cidTexte=LEGITEXT000006072665&amp;idArticle=LEGIARTI000020891685&amp;dateTexte=&amp;categorieLien=cid" TargetMode="External"/><Relationship Id="rId22" Type="http://schemas.openxmlformats.org/officeDocument/2006/relationships/hyperlink" Target="https://www.legifrance.gouv.fr/codes/article_lc/LEGIARTI000028540964"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legifrance.gouv.fr/loda/id/JORFTEXT000033507633/2022-10-14/" TargetMode="External"/><Relationship Id="rId1" Type="http://schemas.openxmlformats.org/officeDocument/2006/relationships/hyperlink" Target="https://eur-lex.europa.eu/legal-content/FR/TXT/PDF/?uri=CELEX:32016R0161&amp;from=LV"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EFD22C-8214-42EC-A231-8FF0500C56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2255</Words>
  <Characters>12405</Characters>
  <Application>Microsoft Office Word</Application>
  <DocSecurity>0</DocSecurity>
  <Lines>103</Lines>
  <Paragraphs>29</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14631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BOULEY, Martine (DGS/PP/PP2)</dc:creator>
  <cp:keywords/>
  <dc:description/>
  <cp:lastModifiedBy>BOULEY, Martine (DGS/PP/PP2)</cp:lastModifiedBy>
  <cp:revision>3</cp:revision>
  <dcterms:created xsi:type="dcterms:W3CDTF">2022-12-14T17:43:00Z</dcterms:created>
  <dcterms:modified xsi:type="dcterms:W3CDTF">2022-12-14T17:44:00Z</dcterms:modified>
</cp:coreProperties>
</file>