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54AF" w:rsidRDefault="00BD0E2D" w:rsidP="00F854AF">
      <w:pPr>
        <w:jc w:val="both"/>
        <w:rPr>
          <w:rFonts w:ascii="Marianne" w:hAnsi="Marianne"/>
          <w:b/>
          <w:sz w:val="30"/>
          <w:szCs w:val="30"/>
        </w:rPr>
      </w:pPr>
      <w:r w:rsidRPr="00976986">
        <w:rPr>
          <w:noProof/>
          <w:lang w:eastAsia="fr-FR"/>
        </w:rPr>
        <w:drawing>
          <wp:inline distT="0" distB="0" distL="0" distR="0">
            <wp:extent cx="1701580" cy="996640"/>
            <wp:effectExtent l="0" t="0" r="0" b="0"/>
            <wp:docPr id="2" name="Image 2" descr="Ministère de la Santé et de la Prévention — Wikip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inistère de la Santé et de la Prévention — Wikipéd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9263" cy="1006997"/>
                    </a:xfrm>
                    <a:prstGeom prst="rect">
                      <a:avLst/>
                    </a:prstGeom>
                    <a:noFill/>
                    <a:ln>
                      <a:noFill/>
                    </a:ln>
                  </pic:spPr>
                </pic:pic>
              </a:graphicData>
            </a:graphic>
          </wp:inline>
        </w:drawing>
      </w:r>
    </w:p>
    <w:p w:rsidR="007E3B83" w:rsidRDefault="007E3B83" w:rsidP="00F854AF">
      <w:pPr>
        <w:jc w:val="both"/>
        <w:rPr>
          <w:rFonts w:ascii="Marianne" w:hAnsi="Marianne"/>
          <w:b/>
          <w:sz w:val="30"/>
          <w:szCs w:val="30"/>
        </w:rPr>
      </w:pPr>
    </w:p>
    <w:p w:rsidR="007E3B83" w:rsidRPr="00B649F8" w:rsidRDefault="007E3B83" w:rsidP="007E3B83">
      <w:pPr>
        <w:contextualSpacing/>
        <w:jc w:val="center"/>
        <w:rPr>
          <w:rFonts w:ascii="Marianne" w:hAnsi="Marianne"/>
          <w:b/>
          <w:sz w:val="28"/>
          <w:szCs w:val="20"/>
        </w:rPr>
      </w:pPr>
      <w:r w:rsidRPr="00B649F8">
        <w:rPr>
          <w:rFonts w:ascii="Marianne" w:hAnsi="Marianne"/>
          <w:b/>
          <w:sz w:val="28"/>
          <w:szCs w:val="20"/>
        </w:rPr>
        <w:t xml:space="preserve">Actions </w:t>
      </w:r>
      <w:r>
        <w:rPr>
          <w:rFonts w:ascii="Marianne" w:hAnsi="Marianne"/>
          <w:b/>
          <w:sz w:val="28"/>
          <w:szCs w:val="20"/>
        </w:rPr>
        <w:t xml:space="preserve">à mettre en œuvre face aux grèves </w:t>
      </w:r>
      <w:r w:rsidRPr="00B649F8">
        <w:rPr>
          <w:rFonts w:ascii="Marianne" w:hAnsi="Marianne"/>
          <w:b/>
          <w:sz w:val="28"/>
          <w:szCs w:val="20"/>
        </w:rPr>
        <w:t xml:space="preserve"> </w:t>
      </w:r>
    </w:p>
    <w:p w:rsidR="007E3B83" w:rsidRPr="00B649F8" w:rsidRDefault="007E3B83" w:rsidP="007E3B83">
      <w:pPr>
        <w:contextualSpacing/>
        <w:jc w:val="center"/>
        <w:rPr>
          <w:rFonts w:ascii="Marianne" w:hAnsi="Marianne"/>
          <w:b/>
          <w:sz w:val="28"/>
          <w:szCs w:val="20"/>
        </w:rPr>
      </w:pPr>
      <w:r w:rsidRPr="00B649F8">
        <w:rPr>
          <w:rFonts w:ascii="Marianne" w:hAnsi="Marianne"/>
          <w:b/>
          <w:sz w:val="28"/>
          <w:szCs w:val="20"/>
        </w:rPr>
        <w:t>des laboratoires de biologie médicale</w:t>
      </w:r>
    </w:p>
    <w:p w:rsidR="007E3B83" w:rsidRPr="00B649F8" w:rsidRDefault="007E3B83" w:rsidP="007E3B83">
      <w:pPr>
        <w:contextualSpacing/>
        <w:jc w:val="center"/>
        <w:rPr>
          <w:rFonts w:ascii="Marianne" w:hAnsi="Marianne"/>
          <w:sz w:val="20"/>
          <w:szCs w:val="20"/>
        </w:rPr>
      </w:pPr>
    </w:p>
    <w:p w:rsidR="007E3B83" w:rsidRPr="00B649F8" w:rsidRDefault="007E3B83" w:rsidP="007E3B83">
      <w:pPr>
        <w:contextualSpacing/>
        <w:jc w:val="both"/>
        <w:rPr>
          <w:rFonts w:ascii="Marianne" w:hAnsi="Marianne"/>
          <w:sz w:val="20"/>
          <w:szCs w:val="20"/>
        </w:rPr>
      </w:pPr>
    </w:p>
    <w:p w:rsidR="007E3B83" w:rsidRPr="00B649F8" w:rsidRDefault="007E3B83" w:rsidP="007E3B83">
      <w:pPr>
        <w:contextualSpacing/>
        <w:jc w:val="both"/>
        <w:rPr>
          <w:rFonts w:ascii="Marianne" w:hAnsi="Marianne"/>
          <w:sz w:val="20"/>
          <w:szCs w:val="20"/>
        </w:rPr>
      </w:pPr>
    </w:p>
    <w:p w:rsidR="007E3B83" w:rsidRPr="00A931AA" w:rsidRDefault="007E3B83" w:rsidP="007E3B83">
      <w:pPr>
        <w:contextualSpacing/>
        <w:jc w:val="both"/>
        <w:rPr>
          <w:rFonts w:ascii="Marianne" w:hAnsi="Marianne"/>
          <w:sz w:val="20"/>
          <w:szCs w:val="20"/>
        </w:rPr>
      </w:pPr>
      <w:r w:rsidRPr="00A931AA">
        <w:rPr>
          <w:rFonts w:ascii="Marianne" w:hAnsi="Marianne"/>
          <w:sz w:val="20"/>
          <w:szCs w:val="20"/>
        </w:rPr>
        <w:t>En réaction à l’article 27 du PLFSS 2023 qui prévoit un montant d’économies de 250 millions en 2023 sur les remboursements de biologie médicale, un mouvement de grève reconductible est annoncé à partir du lundi 14 novembre. Ce mouvement a de fortes probabilités d’être assez suivi. Aussi, nous vous demandons de bien vouloir mettre en place les actions détaillées ci-après pour garantir la continuité des soins afin d’éviter notamment toute aggravation des tensions hospitalières.</w:t>
      </w:r>
    </w:p>
    <w:p w:rsidR="007E3B83" w:rsidRPr="00A931AA" w:rsidRDefault="007E3B83" w:rsidP="007E3B83">
      <w:pPr>
        <w:contextualSpacing/>
        <w:jc w:val="both"/>
        <w:rPr>
          <w:rFonts w:ascii="Marianne" w:hAnsi="Marianne"/>
          <w:sz w:val="20"/>
          <w:szCs w:val="20"/>
        </w:rPr>
      </w:pPr>
    </w:p>
    <w:p w:rsidR="007E3B83" w:rsidRPr="00A931AA" w:rsidRDefault="007E3B83" w:rsidP="007E3B83">
      <w:pPr>
        <w:contextualSpacing/>
        <w:jc w:val="both"/>
        <w:rPr>
          <w:rFonts w:ascii="Marianne" w:hAnsi="Marianne"/>
          <w:sz w:val="20"/>
          <w:szCs w:val="20"/>
        </w:rPr>
      </w:pPr>
      <w:r w:rsidRPr="00A931AA">
        <w:rPr>
          <w:rFonts w:ascii="Marianne" w:hAnsi="Marianne"/>
          <w:sz w:val="20"/>
          <w:szCs w:val="20"/>
        </w:rPr>
        <w:t xml:space="preserve">Des éléments de langage sont disponibles à la fin de ce document pour vous aider à répondre aux questions. </w:t>
      </w:r>
    </w:p>
    <w:p w:rsidR="007E3B83" w:rsidRPr="00A931AA" w:rsidRDefault="007E3B83" w:rsidP="007E3B83">
      <w:pPr>
        <w:contextualSpacing/>
        <w:jc w:val="both"/>
        <w:rPr>
          <w:rFonts w:ascii="Marianne" w:hAnsi="Marianne"/>
          <w:sz w:val="20"/>
          <w:szCs w:val="20"/>
        </w:rPr>
      </w:pPr>
    </w:p>
    <w:p w:rsidR="007E3B83" w:rsidRPr="00A931AA" w:rsidRDefault="007E3B83" w:rsidP="007E3B83">
      <w:pPr>
        <w:contextualSpacing/>
        <w:jc w:val="both"/>
        <w:rPr>
          <w:rFonts w:ascii="Marianne" w:hAnsi="Marianne"/>
          <w:sz w:val="20"/>
          <w:szCs w:val="20"/>
        </w:rPr>
      </w:pPr>
      <w:r w:rsidRPr="00A931AA">
        <w:rPr>
          <w:rFonts w:ascii="Marianne" w:hAnsi="Marianne"/>
          <w:sz w:val="20"/>
          <w:szCs w:val="20"/>
        </w:rPr>
        <w:t>Il vous est demandé de contacter les représentants de la biologie médicale de votre région pour faire un point sur la situation à venir en prenant contact avec l’URPS Biologistes de votre région, ou le cas échéant avec les représentants syndicaux des laboratoires de biologie médicale, pour tenter d’estimer le nombre de laboratoires fermés en recensant les préavis de grève et le maintien ou non de modalités d’accueil pour les prises en charge urgentes.</w:t>
      </w:r>
    </w:p>
    <w:p w:rsidR="007E3B83" w:rsidRPr="00A931AA" w:rsidRDefault="007E3B83" w:rsidP="007E3B83">
      <w:pPr>
        <w:contextualSpacing/>
        <w:jc w:val="both"/>
        <w:rPr>
          <w:rFonts w:ascii="Marianne" w:hAnsi="Marianne"/>
          <w:sz w:val="20"/>
          <w:szCs w:val="20"/>
        </w:rPr>
      </w:pPr>
    </w:p>
    <w:p w:rsidR="007E3B83" w:rsidRPr="00A931AA" w:rsidRDefault="007E3B83" w:rsidP="007E3B83">
      <w:pPr>
        <w:contextualSpacing/>
        <w:jc w:val="both"/>
        <w:rPr>
          <w:rFonts w:ascii="Marianne" w:hAnsi="Marianne"/>
          <w:sz w:val="20"/>
          <w:szCs w:val="20"/>
        </w:rPr>
      </w:pPr>
      <w:r w:rsidRPr="00A931AA">
        <w:rPr>
          <w:rFonts w:ascii="Marianne" w:hAnsi="Marianne"/>
          <w:sz w:val="20"/>
          <w:szCs w:val="20"/>
        </w:rPr>
        <w:t>Le Syndicat des Laboratoires de Biologie Clinique</w:t>
      </w:r>
      <w:r w:rsidRPr="00A931AA">
        <w:rPr>
          <w:rFonts w:ascii="Marianne" w:hAnsi="Marianne" w:cs="Arial"/>
          <w:sz w:val="20"/>
          <w:szCs w:val="20"/>
          <w:shd w:val="clear" w:color="auto" w:fill="FFFFFF"/>
        </w:rPr>
        <w:t> </w:t>
      </w:r>
      <w:r w:rsidRPr="00A931AA">
        <w:rPr>
          <w:rFonts w:ascii="Marianne" w:hAnsi="Marianne"/>
          <w:sz w:val="20"/>
          <w:szCs w:val="20"/>
        </w:rPr>
        <w:t xml:space="preserve">a indiqué qu’ils maintiendraient l’activité en lien avec les hospitalisations et les prises en charge en centre de dialyse, mais cela ne vaut pas engagement. </w:t>
      </w:r>
    </w:p>
    <w:p w:rsidR="007E3B83" w:rsidRPr="00A931AA" w:rsidRDefault="007E3B83" w:rsidP="007E3B83">
      <w:pPr>
        <w:contextualSpacing/>
        <w:jc w:val="both"/>
        <w:rPr>
          <w:rFonts w:ascii="Marianne" w:hAnsi="Marianne"/>
          <w:sz w:val="20"/>
          <w:szCs w:val="20"/>
        </w:rPr>
      </w:pPr>
    </w:p>
    <w:p w:rsidR="007E3B83" w:rsidRPr="00A931AA" w:rsidRDefault="007E3B83" w:rsidP="007E3B83">
      <w:pPr>
        <w:pStyle w:val="Corpsdetexte"/>
        <w:contextualSpacing/>
        <w:jc w:val="both"/>
        <w:rPr>
          <w:rFonts w:ascii="Marianne" w:eastAsia="Times New Roman" w:hAnsi="Marianne"/>
        </w:rPr>
      </w:pPr>
      <w:r w:rsidRPr="00A931AA">
        <w:rPr>
          <w:rFonts w:ascii="Marianne" w:hAnsi="Marianne"/>
          <w:szCs w:val="20"/>
        </w:rPr>
        <w:t>Dès lors que vous estimez que le nombre de laboratoires fermés atteint un niveau tel que le report de patients sur les laboratoires ouverts n’est pas tenable au regard des</w:t>
      </w:r>
      <w:r w:rsidRPr="00A931AA">
        <w:rPr>
          <w:rFonts w:ascii="Marianne" w:eastAsia="Times New Roman" w:hAnsi="Marianne"/>
        </w:rPr>
        <w:t xml:space="preserve"> risques d’atteinte à la sécurité des patients et à la continuité des soins</w:t>
      </w:r>
      <w:r w:rsidRPr="00A931AA">
        <w:rPr>
          <w:rFonts w:ascii="Marianne" w:hAnsi="Marianne"/>
          <w:szCs w:val="20"/>
        </w:rPr>
        <w:t>, il vous est demandé de mettre en œuvre des réquisitions selon la procédure détaillée ci-après.</w:t>
      </w:r>
    </w:p>
    <w:p w:rsidR="007E3B83" w:rsidRDefault="007E3B83" w:rsidP="007E3B83">
      <w:pPr>
        <w:contextualSpacing/>
        <w:jc w:val="both"/>
        <w:rPr>
          <w:rFonts w:ascii="Marianne" w:hAnsi="Marianne"/>
          <w:sz w:val="20"/>
          <w:szCs w:val="20"/>
        </w:rPr>
      </w:pPr>
    </w:p>
    <w:p w:rsidR="007E3B83" w:rsidRPr="00A931AA" w:rsidRDefault="007E3B83" w:rsidP="007E3B83">
      <w:pPr>
        <w:contextualSpacing/>
        <w:jc w:val="both"/>
        <w:rPr>
          <w:rFonts w:ascii="Marianne" w:hAnsi="Marianne"/>
          <w:sz w:val="20"/>
          <w:szCs w:val="20"/>
        </w:rPr>
      </w:pPr>
    </w:p>
    <w:p w:rsidR="007E3B83" w:rsidRPr="00A931AA" w:rsidRDefault="007E3B83" w:rsidP="007E3B83">
      <w:pPr>
        <w:pStyle w:val="Paragraphedeliste"/>
        <w:numPr>
          <w:ilvl w:val="0"/>
          <w:numId w:val="47"/>
        </w:numPr>
        <w:jc w:val="both"/>
        <w:rPr>
          <w:rFonts w:ascii="Marianne" w:hAnsi="Marianne"/>
          <w:b/>
          <w:sz w:val="20"/>
          <w:szCs w:val="20"/>
          <w:u w:val="single"/>
        </w:rPr>
      </w:pPr>
      <w:r w:rsidRPr="00A931AA">
        <w:rPr>
          <w:rFonts w:ascii="Marianne" w:hAnsi="Marianne"/>
          <w:b/>
          <w:sz w:val="20"/>
          <w:szCs w:val="20"/>
          <w:u w:val="single"/>
        </w:rPr>
        <w:t>Le fondement juridique applicable</w:t>
      </w:r>
    </w:p>
    <w:p w:rsidR="007E3B83" w:rsidRPr="00A931AA" w:rsidRDefault="007E3B83" w:rsidP="007E3B83">
      <w:pPr>
        <w:contextualSpacing/>
        <w:jc w:val="both"/>
        <w:rPr>
          <w:rFonts w:ascii="Marianne" w:hAnsi="Marianne"/>
          <w:sz w:val="20"/>
          <w:szCs w:val="20"/>
        </w:rPr>
      </w:pPr>
    </w:p>
    <w:p w:rsidR="007E3B83" w:rsidRPr="00A931AA" w:rsidRDefault="007E3B83" w:rsidP="007E3B83">
      <w:pPr>
        <w:contextualSpacing/>
        <w:jc w:val="both"/>
        <w:rPr>
          <w:rFonts w:ascii="Marianne" w:hAnsi="Marianne"/>
          <w:sz w:val="20"/>
          <w:szCs w:val="20"/>
        </w:rPr>
      </w:pPr>
      <w:r w:rsidRPr="00A931AA">
        <w:rPr>
          <w:rFonts w:ascii="Marianne" w:hAnsi="Marianne"/>
          <w:sz w:val="20"/>
          <w:szCs w:val="20"/>
        </w:rPr>
        <w:t xml:space="preserve">2 fondements juridiques pour la mise en œuvre des réquisitions sont envisageables. </w:t>
      </w:r>
    </w:p>
    <w:p w:rsidR="007E3B83" w:rsidRPr="00A931AA" w:rsidRDefault="007E3B83" w:rsidP="007E3B83">
      <w:pPr>
        <w:contextualSpacing/>
        <w:jc w:val="both"/>
        <w:rPr>
          <w:rFonts w:ascii="Marianne" w:hAnsi="Marianne"/>
          <w:sz w:val="20"/>
          <w:szCs w:val="20"/>
        </w:rPr>
      </w:pPr>
    </w:p>
    <w:p w:rsidR="007E3B83" w:rsidRPr="00A931AA" w:rsidRDefault="007E3B83" w:rsidP="007E3B83">
      <w:pPr>
        <w:pStyle w:val="Corpsdetexte"/>
        <w:spacing w:line="240" w:lineRule="auto"/>
        <w:contextualSpacing/>
        <w:jc w:val="both"/>
        <w:rPr>
          <w:rFonts w:ascii="Marianne" w:hAnsi="Marianne" w:cs="Calibri"/>
          <w:szCs w:val="20"/>
          <w:u w:val="single"/>
        </w:rPr>
      </w:pPr>
      <w:r w:rsidRPr="00A931AA">
        <w:rPr>
          <w:rFonts w:ascii="Marianne" w:hAnsi="Marianne" w:cs="Calibri"/>
          <w:szCs w:val="20"/>
          <w:u w:val="single"/>
        </w:rPr>
        <w:t>A/ Le 4° de l’article L. 2215-1 du code général des collectivités territoriales en cas d’« atteinte constatée ou prévisible au bon ordre, à la salubrité, à la tranquillité et à la sécurité publiques»</w:t>
      </w:r>
    </w:p>
    <w:p w:rsidR="007E3B83" w:rsidRPr="00A931AA" w:rsidRDefault="007E3B83" w:rsidP="007E3B83">
      <w:pPr>
        <w:pStyle w:val="Corpsdetexte"/>
        <w:spacing w:line="240" w:lineRule="auto"/>
        <w:contextualSpacing/>
        <w:jc w:val="both"/>
        <w:rPr>
          <w:rFonts w:ascii="Marianne" w:hAnsi="Marianne" w:cs="Calibri"/>
          <w:szCs w:val="20"/>
        </w:rPr>
      </w:pPr>
    </w:p>
    <w:p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Texte :</w:t>
      </w:r>
      <w:r w:rsidRPr="00A931AA">
        <w:rPr>
          <w:rFonts w:ascii="Marianne" w:hAnsi="Marianne" w:cs="Calibri"/>
          <w:szCs w:val="20"/>
        </w:rPr>
        <w:t xml:space="preserve"> Le 4° de l’article </w:t>
      </w:r>
      <w:hyperlink r:id="rId8" w:history="1">
        <w:r w:rsidRPr="00A931AA">
          <w:rPr>
            <w:rStyle w:val="Lienhypertexte"/>
            <w:rFonts w:ascii="Marianne" w:hAnsi="Marianne" w:cs="Calibri"/>
            <w:szCs w:val="20"/>
          </w:rPr>
          <w:t>L. 2215-1</w:t>
        </w:r>
      </w:hyperlink>
      <w:r w:rsidRPr="00A931AA">
        <w:rPr>
          <w:rFonts w:ascii="Marianne" w:hAnsi="Marianne" w:cs="Calibri"/>
          <w:szCs w:val="20"/>
        </w:rPr>
        <w:t xml:space="preserve"> du CGCT prévoit qu’ « </w:t>
      </w:r>
      <w:r w:rsidRPr="00A931AA">
        <w:rPr>
          <w:rFonts w:ascii="Marianne" w:hAnsi="Marianne" w:cs="Calibri"/>
          <w:i/>
          <w:iCs/>
          <w:szCs w:val="20"/>
        </w:rPr>
        <w:t xml:space="preserve">en cas d'urgence, lorsque l'atteinte constatée ou prévisible au bon ordre, à la salubrité, à la tranquillité et à la sécurité publiques l'exige et que les moyens dont dispose le préfet ne permettent plus de poursuivre les objectifs pour lesquels il détient des pouvoirs de police, celui-ci peut, par arrêté motivé, pour toutes les communes du département ou plusieurs ou une seule d'entre elles, réquisitionner tout bien ou service, requérir toute personne nécessaire au fonctionnement de ce service ou à l'usage de ce </w:t>
      </w:r>
      <w:r w:rsidRPr="00A931AA">
        <w:rPr>
          <w:rFonts w:ascii="Marianne" w:hAnsi="Marianne" w:cs="Calibri"/>
          <w:i/>
          <w:iCs/>
          <w:szCs w:val="20"/>
        </w:rPr>
        <w:lastRenderedPageBreak/>
        <w:t>bien et prescrire toute mesure utile jusqu'à ce que l'atteinte à l'ordre public ait pris fin ou que les conditions de son maintien soient assurées </w:t>
      </w:r>
      <w:r w:rsidRPr="00A931AA">
        <w:rPr>
          <w:rFonts w:ascii="Marianne" w:hAnsi="Marianne" w:cs="Calibri"/>
          <w:szCs w:val="20"/>
        </w:rPr>
        <w:t>».</w:t>
      </w:r>
    </w:p>
    <w:p w:rsidR="007E3B83" w:rsidRPr="00A931AA" w:rsidRDefault="007E3B83" w:rsidP="007E3B83">
      <w:pPr>
        <w:pStyle w:val="Corpsdetexte"/>
        <w:spacing w:line="240" w:lineRule="auto"/>
        <w:contextualSpacing/>
        <w:jc w:val="both"/>
        <w:rPr>
          <w:rFonts w:ascii="Marianne" w:hAnsi="Marianne" w:cs="Calibri"/>
          <w:szCs w:val="20"/>
        </w:rPr>
      </w:pPr>
    </w:p>
    <w:p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Procédure :</w:t>
      </w:r>
      <w:r w:rsidRPr="00A931AA">
        <w:rPr>
          <w:rFonts w:ascii="Marianne" w:hAnsi="Marianne" w:cs="Calibri"/>
          <w:szCs w:val="20"/>
        </w:rPr>
        <w:t xml:space="preserve"> C’est le préfet qui décide des réquisitions par un « arrêté motivé » qui « fixe la nature des prestations requises, la durée de la mesure de réquisition ainsi que les modalités de son application ».</w:t>
      </w:r>
    </w:p>
    <w:p w:rsidR="007E3B83" w:rsidRPr="00A931AA" w:rsidRDefault="007E3B83" w:rsidP="007E3B83">
      <w:pPr>
        <w:pStyle w:val="Corpsdetexte"/>
        <w:spacing w:line="240" w:lineRule="auto"/>
        <w:contextualSpacing/>
        <w:jc w:val="both"/>
        <w:rPr>
          <w:rFonts w:ascii="Marianne" w:hAnsi="Marianne" w:cs="Calibri"/>
          <w:szCs w:val="20"/>
        </w:rPr>
      </w:pPr>
    </w:p>
    <w:p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Indemnisation :</w:t>
      </w:r>
      <w:r w:rsidRPr="00A931AA">
        <w:rPr>
          <w:rFonts w:ascii="Marianne" w:hAnsi="Marianne" w:cs="Calibri"/>
          <w:szCs w:val="20"/>
        </w:rPr>
        <w:t xml:space="preserve"> Cette disposition précise que « </w:t>
      </w:r>
      <w:r w:rsidRPr="00A931AA">
        <w:rPr>
          <w:rFonts w:ascii="Marianne" w:hAnsi="Marianne" w:cs="Calibri"/>
          <w:i/>
          <w:iCs/>
          <w:szCs w:val="20"/>
        </w:rPr>
        <w:t>la rétribution par l'Etat de la personne requise ne peut se cumuler avec une rétribution par une autre personne physique ou morale. La rétribution doit uniquement compenser les frais matériels, directs et certains résultant de l'application de l'arrêté de réquisition. Dans le cas d'une réquisition adressée à une entreprise, lorsque la prestation requise est de même nature que celles habituellement fournies à la clientèle, le montant de la rétribution est calculé d'après le prix commercial normal et licite de la prestation</w:t>
      </w:r>
      <w:r w:rsidRPr="00A931AA">
        <w:rPr>
          <w:rFonts w:ascii="Marianne" w:hAnsi="Marianne" w:cs="Calibri"/>
          <w:szCs w:val="20"/>
        </w:rPr>
        <w:t xml:space="preserve"> ». Le remboursement des actes de biologie par l’assurance maladie serait ainsi suffisant et il n’y aurait pas lieu de prévoir d’indemnisation. </w:t>
      </w:r>
    </w:p>
    <w:p w:rsidR="007E3B83" w:rsidRPr="00A931AA" w:rsidRDefault="007E3B83" w:rsidP="007E3B83">
      <w:pPr>
        <w:pStyle w:val="Corpsdetexte"/>
        <w:spacing w:line="240" w:lineRule="auto"/>
        <w:contextualSpacing/>
        <w:jc w:val="both"/>
        <w:rPr>
          <w:rFonts w:ascii="Marianne" w:hAnsi="Marianne" w:cs="Calibri"/>
          <w:szCs w:val="20"/>
        </w:rPr>
      </w:pPr>
    </w:p>
    <w:p w:rsidR="007E3B83" w:rsidRPr="00A931AA" w:rsidRDefault="007E3B83" w:rsidP="007E3B83">
      <w:pPr>
        <w:pStyle w:val="NormalWeb"/>
        <w:widowControl w:val="0"/>
        <w:autoSpaceDE w:val="0"/>
        <w:autoSpaceDN w:val="0"/>
        <w:spacing w:before="0" w:beforeAutospacing="0" w:after="0" w:afterAutospacing="0"/>
        <w:contextualSpacing/>
        <w:jc w:val="both"/>
        <w:rPr>
          <w:rFonts w:ascii="Marianne" w:eastAsiaTheme="minorHAnsi" w:hAnsi="Marianne" w:cs="Calibri"/>
          <w:sz w:val="20"/>
          <w:szCs w:val="20"/>
          <w:lang w:eastAsia="en-US"/>
        </w:rPr>
      </w:pPr>
      <w:r w:rsidRPr="00A931AA">
        <w:rPr>
          <w:rFonts w:ascii="Marianne" w:hAnsi="Marianne" w:cs="Calibri"/>
          <w:sz w:val="20"/>
          <w:szCs w:val="20"/>
        </w:rPr>
        <w:t xml:space="preserve">Cette disposition, utilisée par le passé à de nombreuses reprises, a déjà donné lieu à plusieurs contentieux qui ont permis de mieux appréhender sa portée et la façon dont le juge contrôle la légalité de sa mise en œuvre. La jurisprudence du Conseil d’Etat a ainsi précisé les conditions de fond auxquelles est subordonnée la possibilité de réquisitionner du personnel gréviste sur ce fondement. Il en résulte que : </w:t>
      </w:r>
    </w:p>
    <w:p w:rsidR="007E3B83" w:rsidRPr="00A931AA" w:rsidRDefault="007E3B83" w:rsidP="007E3B83">
      <w:pPr>
        <w:pStyle w:val="NormalWeb"/>
        <w:numPr>
          <w:ilvl w:val="0"/>
          <w:numId w:val="49"/>
        </w:numPr>
        <w:spacing w:before="0" w:beforeAutospacing="0" w:after="0" w:afterAutospacing="0"/>
        <w:contextualSpacing/>
        <w:jc w:val="both"/>
        <w:rPr>
          <w:rStyle w:val="fontstyle01"/>
          <w:rFonts w:ascii="Marianne" w:hAnsi="Marianne" w:cs="Calibri"/>
          <w:color w:val="auto"/>
          <w:sz w:val="20"/>
          <w:szCs w:val="20"/>
        </w:rPr>
      </w:pPr>
      <w:r w:rsidRPr="00A931AA">
        <w:rPr>
          <w:rFonts w:ascii="Marianne" w:hAnsi="Marianne" w:cs="Calibri"/>
          <w:sz w:val="20"/>
          <w:szCs w:val="20"/>
        </w:rPr>
        <w:t xml:space="preserve">l’activité dont relève le personnel </w:t>
      </w:r>
      <w:r w:rsidRPr="00A931AA">
        <w:rPr>
          <w:rStyle w:val="fontstyle01"/>
          <w:rFonts w:ascii="Marianne" w:hAnsi="Marianne" w:cs="Calibri"/>
          <w:color w:val="auto"/>
          <w:sz w:val="20"/>
          <w:szCs w:val="20"/>
        </w:rPr>
        <w:t xml:space="preserve">doit présenter une importance particulière pour le maintien de l’activité économique, la satisfaction des besoins essentiels de la population ou le fonctionnement des services publics ; </w:t>
      </w:r>
    </w:p>
    <w:p w:rsidR="007E3B83" w:rsidRPr="00A931AA" w:rsidRDefault="007E3B83" w:rsidP="007E3B83">
      <w:pPr>
        <w:pStyle w:val="NormalWeb"/>
        <w:numPr>
          <w:ilvl w:val="0"/>
          <w:numId w:val="48"/>
        </w:numPr>
        <w:spacing w:before="0" w:beforeAutospacing="0" w:after="0" w:afterAutospacing="0"/>
        <w:contextualSpacing/>
        <w:jc w:val="both"/>
        <w:rPr>
          <w:rFonts w:ascii="Marianne" w:hAnsi="Marianne" w:cs="Calibri"/>
          <w:sz w:val="20"/>
          <w:szCs w:val="20"/>
        </w:rPr>
      </w:pPr>
      <w:r w:rsidRPr="00A931AA">
        <w:rPr>
          <w:rFonts w:ascii="Marianne" w:hAnsi="Marianne" w:cs="Calibri"/>
          <w:sz w:val="20"/>
          <w:szCs w:val="20"/>
        </w:rPr>
        <w:t xml:space="preserve">il faut qu’il existe une menace pour l’ordre public ; </w:t>
      </w:r>
    </w:p>
    <w:p w:rsidR="007E3B83" w:rsidRPr="00A931AA" w:rsidRDefault="007E3B83" w:rsidP="007E3B83">
      <w:pPr>
        <w:pStyle w:val="NormalWeb"/>
        <w:numPr>
          <w:ilvl w:val="0"/>
          <w:numId w:val="48"/>
        </w:numPr>
        <w:spacing w:before="0" w:beforeAutospacing="0" w:after="0" w:afterAutospacing="0"/>
        <w:contextualSpacing/>
        <w:jc w:val="both"/>
        <w:rPr>
          <w:rFonts w:ascii="Marianne" w:hAnsi="Marianne" w:cs="Calibri"/>
          <w:sz w:val="20"/>
          <w:szCs w:val="20"/>
        </w:rPr>
      </w:pPr>
      <w:r w:rsidRPr="00A931AA">
        <w:rPr>
          <w:rFonts w:ascii="Marianne" w:hAnsi="Marianne" w:cs="Calibri"/>
          <w:sz w:val="20"/>
          <w:szCs w:val="20"/>
        </w:rPr>
        <w:t xml:space="preserve">la mesure doit être imposée par l’urgence ; </w:t>
      </w:r>
    </w:p>
    <w:p w:rsidR="007E3B83" w:rsidRPr="00A931AA" w:rsidRDefault="007E3B83" w:rsidP="007E3B83">
      <w:pPr>
        <w:pStyle w:val="NormalWeb"/>
        <w:numPr>
          <w:ilvl w:val="0"/>
          <w:numId w:val="48"/>
        </w:numPr>
        <w:spacing w:before="0" w:beforeAutospacing="0" w:after="0" w:afterAutospacing="0"/>
        <w:contextualSpacing/>
        <w:jc w:val="both"/>
        <w:rPr>
          <w:rFonts w:ascii="Marianne" w:hAnsi="Marianne" w:cs="Calibri"/>
          <w:sz w:val="20"/>
          <w:szCs w:val="20"/>
        </w:rPr>
      </w:pPr>
      <w:r w:rsidRPr="00A931AA">
        <w:rPr>
          <w:rFonts w:ascii="Marianne" w:hAnsi="Marianne" w:cs="Calibri"/>
          <w:sz w:val="20"/>
          <w:szCs w:val="20"/>
        </w:rPr>
        <w:t xml:space="preserve">elle doit être nécessaire et proportionnée aux impératifs de l’ordre public.  </w:t>
      </w:r>
    </w:p>
    <w:p w:rsidR="007E3B83" w:rsidRPr="00A931AA" w:rsidRDefault="007E3B83" w:rsidP="007E3B83">
      <w:pPr>
        <w:pStyle w:val="Corpsdetexte"/>
        <w:spacing w:line="240" w:lineRule="auto"/>
        <w:contextualSpacing/>
        <w:jc w:val="both"/>
        <w:rPr>
          <w:rFonts w:ascii="Marianne" w:hAnsi="Marianne" w:cs="Calibri"/>
          <w:szCs w:val="20"/>
        </w:rPr>
      </w:pPr>
    </w:p>
    <w:p w:rsidR="007E3B83" w:rsidRPr="00A931AA" w:rsidRDefault="007E3B83" w:rsidP="007E3B83">
      <w:pPr>
        <w:pStyle w:val="Corpsdetexte"/>
        <w:spacing w:line="240" w:lineRule="auto"/>
        <w:contextualSpacing/>
        <w:jc w:val="both"/>
        <w:rPr>
          <w:rFonts w:ascii="Marianne" w:hAnsi="Marianne" w:cs="Calibri"/>
          <w:szCs w:val="20"/>
        </w:rPr>
      </w:pPr>
    </w:p>
    <w:p w:rsidR="007E3B83" w:rsidRPr="00A931AA" w:rsidRDefault="007E3B83" w:rsidP="007E3B83">
      <w:pPr>
        <w:pStyle w:val="Corpsdetexte"/>
        <w:spacing w:line="240" w:lineRule="auto"/>
        <w:contextualSpacing/>
        <w:jc w:val="both"/>
        <w:rPr>
          <w:rFonts w:ascii="Marianne" w:hAnsi="Marianne" w:cs="Calibri"/>
          <w:szCs w:val="20"/>
          <w:u w:val="single"/>
        </w:rPr>
      </w:pPr>
      <w:r w:rsidRPr="00A931AA">
        <w:rPr>
          <w:rFonts w:ascii="Marianne" w:hAnsi="Marianne" w:cs="Calibri"/>
          <w:szCs w:val="20"/>
          <w:u w:val="single"/>
        </w:rPr>
        <w:t>B/ L’article L. 3131-8 du code de la santé publique (CSP) lorsque « la situation sanitaire le justifie »</w:t>
      </w:r>
    </w:p>
    <w:p w:rsidR="007E3B83" w:rsidRPr="00A931AA" w:rsidRDefault="007E3B83" w:rsidP="007E3B83">
      <w:pPr>
        <w:pStyle w:val="Corpsdetexte"/>
        <w:spacing w:line="240" w:lineRule="auto"/>
        <w:contextualSpacing/>
        <w:jc w:val="both"/>
        <w:rPr>
          <w:rFonts w:ascii="Marianne" w:hAnsi="Marianne" w:cs="Calibri"/>
          <w:szCs w:val="20"/>
        </w:rPr>
      </w:pPr>
    </w:p>
    <w:p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Texte :</w:t>
      </w:r>
      <w:r w:rsidRPr="00A931AA">
        <w:rPr>
          <w:rFonts w:ascii="Marianne" w:hAnsi="Marianne" w:cs="Calibri"/>
          <w:szCs w:val="20"/>
        </w:rPr>
        <w:t xml:space="preserve"> L’article </w:t>
      </w:r>
      <w:hyperlink r:id="rId9" w:history="1">
        <w:r w:rsidRPr="00A931AA">
          <w:rPr>
            <w:rStyle w:val="Lienhypertexte"/>
            <w:rFonts w:ascii="Marianne" w:hAnsi="Marianne" w:cs="Calibri"/>
            <w:szCs w:val="20"/>
          </w:rPr>
          <w:t>L. 3131-8</w:t>
        </w:r>
      </w:hyperlink>
      <w:r w:rsidRPr="00A931AA">
        <w:rPr>
          <w:rFonts w:ascii="Marianne" w:hAnsi="Marianne" w:cs="Calibri"/>
          <w:szCs w:val="20"/>
        </w:rPr>
        <w:t xml:space="preserve"> du code de la santé publique dispose que « </w:t>
      </w:r>
      <w:r w:rsidRPr="00A931AA">
        <w:rPr>
          <w:rFonts w:ascii="Marianne" w:hAnsi="Marianne" w:cs="Calibri"/>
          <w:i/>
          <w:iCs/>
          <w:szCs w:val="20"/>
        </w:rPr>
        <w:t>si l'afflux de patients ou de victimes ou la situation sanitaire le justifie, sur proposition du directeur général de l'agence régionale de santé, le représentant de l'Etat dans le département peut procéder aux réquisitions nécessaires de tous biens et services, et notamment requérir le service de tout professionnel de santé, quel que soit son mode d'exercice, et de tout établissement de santé ou établissement médico-social</w:t>
      </w:r>
      <w:r w:rsidRPr="00A931AA">
        <w:rPr>
          <w:rFonts w:ascii="Marianne" w:hAnsi="Marianne" w:cs="Calibri"/>
          <w:szCs w:val="20"/>
        </w:rPr>
        <w:t> ».</w:t>
      </w:r>
    </w:p>
    <w:p w:rsidR="007E3B83" w:rsidRPr="00A931AA" w:rsidRDefault="007E3B83" w:rsidP="007E3B83">
      <w:pPr>
        <w:pStyle w:val="Corpsdetexte"/>
        <w:spacing w:line="240" w:lineRule="auto"/>
        <w:contextualSpacing/>
        <w:jc w:val="both"/>
        <w:rPr>
          <w:rFonts w:ascii="Marianne" w:hAnsi="Marianne" w:cs="Calibri"/>
          <w:szCs w:val="20"/>
        </w:rPr>
      </w:pPr>
    </w:p>
    <w:p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Procédure :</w:t>
      </w:r>
      <w:r w:rsidRPr="00A931AA">
        <w:rPr>
          <w:rFonts w:ascii="Marianne" w:hAnsi="Marianne" w:cs="Calibri"/>
          <w:szCs w:val="20"/>
        </w:rPr>
        <w:t xml:space="preserve"> La réquisition est prononcée par arrêté du préfet de département, sur proposition du DG ARS. Les modalités de mise en œuvre sont prévues aux articles </w:t>
      </w:r>
      <w:hyperlink r:id="rId10" w:anchor="LEGISCTA000033217197" w:history="1">
        <w:r w:rsidRPr="00A931AA">
          <w:rPr>
            <w:rStyle w:val="Lienhypertexte"/>
            <w:rFonts w:ascii="Marianne" w:hAnsi="Marianne" w:cs="Calibri"/>
            <w:szCs w:val="20"/>
          </w:rPr>
          <w:t>R. 3131-4</w:t>
        </w:r>
      </w:hyperlink>
      <w:r w:rsidRPr="00A931AA">
        <w:rPr>
          <w:rFonts w:ascii="Marianne" w:hAnsi="Marianne" w:cs="Calibri"/>
          <w:szCs w:val="20"/>
        </w:rPr>
        <w:t xml:space="preserve"> et suivants du CSP.</w:t>
      </w:r>
    </w:p>
    <w:p w:rsidR="007E3B83" w:rsidRPr="00A931AA" w:rsidRDefault="007E3B83" w:rsidP="007E3B83">
      <w:pPr>
        <w:pStyle w:val="Corpsdetexte"/>
        <w:spacing w:line="240" w:lineRule="auto"/>
        <w:contextualSpacing/>
        <w:jc w:val="both"/>
        <w:rPr>
          <w:rFonts w:ascii="Marianne" w:hAnsi="Marianne" w:cs="Calibri"/>
          <w:szCs w:val="20"/>
        </w:rPr>
      </w:pPr>
    </w:p>
    <w:p w:rsidR="007E3B83" w:rsidRPr="00A931AA" w:rsidRDefault="007E3B83" w:rsidP="007E3B83">
      <w:pPr>
        <w:pStyle w:val="Corpsdetexte"/>
        <w:spacing w:line="240" w:lineRule="auto"/>
        <w:contextualSpacing/>
        <w:jc w:val="both"/>
        <w:rPr>
          <w:rFonts w:ascii="Marianne" w:hAnsi="Marianne" w:cs="Calibri"/>
          <w:szCs w:val="20"/>
          <w:shd w:val="clear" w:color="auto" w:fill="FFFFFF"/>
        </w:rPr>
      </w:pPr>
      <w:r w:rsidRPr="00A931AA">
        <w:rPr>
          <w:rFonts w:ascii="Marianne" w:hAnsi="Marianne" w:cs="Calibri"/>
          <w:szCs w:val="20"/>
        </w:rPr>
        <w:t>Les conditions de fond pour recourir à l’article L. 3131-8, qui concerne spécifiquement les professionnels de santé, sont moins nombreuses et paraissent moins contraignantes que celles exigées par l’article L. 2215-1. En effet, la réquisition n’est pas subordonnée à une condition d’urgence. En outre, il suffit qu’elle soit justifiée par la situation sanitaire pour pouvoir être actionnée. L’article L. 3131-8 ne conditionnant pas les réquisitions à l’existence de « </w:t>
      </w:r>
      <w:r w:rsidRPr="00A931AA">
        <w:rPr>
          <w:rFonts w:ascii="Marianne" w:hAnsi="Marianne" w:cs="Calibri"/>
          <w:szCs w:val="20"/>
          <w:shd w:val="clear" w:color="auto" w:fill="FFFFFF"/>
        </w:rPr>
        <w:t xml:space="preserve">menace sanitaire grave appelant des mesures d'urgence » ou encore de « situation sanitaire exceptionnelle », contrairement à d’autres dispositions du même chapitre Ier relatif aux menaces sanitaires, il est permis de penser que les autorités peuvent ordonner des réquisitions sur cette base, dans des situations sanitaires d’une gravité moindre. </w:t>
      </w:r>
    </w:p>
    <w:p w:rsidR="007E3B83" w:rsidRPr="00A931AA" w:rsidRDefault="007E3B83" w:rsidP="007E3B83">
      <w:pPr>
        <w:pStyle w:val="Corpsdetexte"/>
        <w:spacing w:line="240" w:lineRule="auto"/>
        <w:contextualSpacing/>
        <w:jc w:val="both"/>
        <w:rPr>
          <w:rFonts w:ascii="Marianne" w:hAnsi="Marianne" w:cs="Calibri"/>
          <w:szCs w:val="20"/>
        </w:rPr>
      </w:pPr>
    </w:p>
    <w:p w:rsidR="007E3B83" w:rsidRPr="00A931AA" w:rsidRDefault="007E3B83" w:rsidP="007E3B83">
      <w:pPr>
        <w:pStyle w:val="Corpsdetexte"/>
        <w:spacing w:line="240" w:lineRule="auto"/>
        <w:contextualSpacing/>
        <w:jc w:val="both"/>
        <w:rPr>
          <w:rFonts w:ascii="Marianne" w:hAnsi="Marianne" w:cs="Calibri"/>
          <w:szCs w:val="20"/>
        </w:rPr>
      </w:pPr>
    </w:p>
    <w:p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Indemnisation :</w:t>
      </w:r>
      <w:r w:rsidRPr="00A931AA">
        <w:rPr>
          <w:rFonts w:ascii="Marianne" w:hAnsi="Marianne" w:cs="Calibri"/>
          <w:szCs w:val="20"/>
        </w:rPr>
        <w:t xml:space="preserve"> L’article L. 3131-8 renvoie aux modalités d’indemnisation figurant aux articles L. 2234-1 et suivants du code de la défense.  Dans la mesure où il n’y a pas perte effective, là aussi le remboursement des actes de biologie par l’assurance maladie suffit et il n’y a pas lieu de prévoir d’indemnisation. </w:t>
      </w:r>
    </w:p>
    <w:p w:rsidR="007E3B83" w:rsidRPr="00A931AA" w:rsidRDefault="007E3B83" w:rsidP="007E3B83">
      <w:pPr>
        <w:pStyle w:val="Corpsdetexte"/>
        <w:spacing w:line="240" w:lineRule="auto"/>
        <w:contextualSpacing/>
        <w:jc w:val="both"/>
        <w:rPr>
          <w:rFonts w:ascii="Marianne" w:hAnsi="Marianne" w:cs="Calibri"/>
          <w:szCs w:val="20"/>
        </w:rPr>
      </w:pPr>
    </w:p>
    <w:p w:rsidR="007E3B83" w:rsidRPr="00A931AA" w:rsidRDefault="007E3B83" w:rsidP="007E3B83">
      <w:pPr>
        <w:pStyle w:val="Corpsdetexte"/>
        <w:numPr>
          <w:ilvl w:val="0"/>
          <w:numId w:val="50"/>
        </w:numPr>
        <w:spacing w:line="240" w:lineRule="auto"/>
        <w:contextualSpacing/>
        <w:jc w:val="both"/>
        <w:rPr>
          <w:rFonts w:ascii="Marianne" w:eastAsia="Times New Roman" w:hAnsi="Marianne"/>
        </w:rPr>
      </w:pPr>
      <w:r w:rsidRPr="00A931AA">
        <w:rPr>
          <w:rFonts w:ascii="Marianne" w:eastAsia="Times New Roman" w:hAnsi="Marianne"/>
        </w:rPr>
        <w:t>L’article L. 2215-1 du CGCT a déjà été utilisé à nombreuses reprises pour justifier la réquisition de personnels de santé. Si l’article L. 3131-8 du CSP n’a pas le même recul jurisprudentiel (d’où un risque d’aléa judiciaire), celui-ci semble néanmoins pouvoir être mobilisé, puisqu’on peut considérer que « la situation sanitaire l’exige ».</w:t>
      </w:r>
    </w:p>
    <w:p w:rsidR="007E3B83" w:rsidRPr="00A931AA" w:rsidRDefault="007E3B83" w:rsidP="007E3B83">
      <w:pPr>
        <w:pStyle w:val="Corpsdetexte"/>
        <w:spacing w:line="240" w:lineRule="auto"/>
        <w:contextualSpacing/>
        <w:jc w:val="both"/>
        <w:rPr>
          <w:rFonts w:ascii="Marianne" w:eastAsia="Times New Roman" w:hAnsi="Marianne"/>
        </w:rPr>
      </w:pPr>
    </w:p>
    <w:p w:rsidR="007E3B83" w:rsidRPr="00A931AA" w:rsidRDefault="007E3B83" w:rsidP="007E3B83">
      <w:pPr>
        <w:pStyle w:val="Corpsdetexte"/>
        <w:numPr>
          <w:ilvl w:val="0"/>
          <w:numId w:val="50"/>
        </w:numPr>
        <w:spacing w:line="240" w:lineRule="auto"/>
        <w:contextualSpacing/>
        <w:jc w:val="both"/>
        <w:rPr>
          <w:rFonts w:ascii="Marianne" w:eastAsia="Times New Roman" w:hAnsi="Marianne"/>
        </w:rPr>
      </w:pPr>
      <w:r w:rsidRPr="00A931AA">
        <w:rPr>
          <w:rFonts w:ascii="Marianne" w:eastAsia="Times New Roman" w:hAnsi="Marianne"/>
        </w:rPr>
        <w:t xml:space="preserve">Quel que soit le fondement utilisé, il s’agit en effet de démontrer que la réquisition doit permettre aux patients de pouvoir bénéficier d’analyses biologiques (surtout celles qui doivent être réalisées en urgence) et d’éviter un report de patients sur l’hôpital public déjà sous tension et qui ne pourrait absorber ce flux supplément. Il serait intéressant à cet égard, pour motiver les arrêtés de réquisition, d’indiquer la part d’analyses bio logiques réalisées à l’hôpital et celles réalisées en ville pour objectiver cette raison). </w:t>
      </w:r>
    </w:p>
    <w:p w:rsidR="007E3B83" w:rsidRPr="00A931AA" w:rsidRDefault="007E3B83" w:rsidP="007E3B83">
      <w:pPr>
        <w:pStyle w:val="Paragraphedeliste"/>
        <w:rPr>
          <w:rFonts w:ascii="Marianne" w:eastAsia="Times New Roman" w:hAnsi="Marianne"/>
        </w:rPr>
      </w:pPr>
    </w:p>
    <w:p w:rsidR="007E3B83" w:rsidRPr="00A931AA" w:rsidRDefault="007E3B83" w:rsidP="007E3B83">
      <w:pPr>
        <w:pStyle w:val="Corpsdetexte"/>
        <w:spacing w:line="240" w:lineRule="auto"/>
        <w:ind w:left="720"/>
        <w:contextualSpacing/>
        <w:jc w:val="both"/>
        <w:rPr>
          <w:rFonts w:ascii="Marianne" w:eastAsia="Times New Roman" w:hAnsi="Marianne"/>
        </w:rPr>
      </w:pPr>
      <w:r w:rsidRPr="00A931AA">
        <w:rPr>
          <w:rFonts w:ascii="Marianne" w:eastAsia="Times New Roman" w:hAnsi="Marianne"/>
        </w:rPr>
        <w:t xml:space="preserve">Pour qu’on puisse considérer que la situation exige des réquisitions, il faudrait que le nombre de laboratoires en grève soit suffisamment important par rapport à ceux qui ne le sont pas pour considérer qu’il y a un risque d’atteinte à la sécurité des patients et la continuité des soins, si aucune réquisition n’était prise. </w:t>
      </w:r>
    </w:p>
    <w:p w:rsidR="007E3B83" w:rsidRPr="00A931AA" w:rsidRDefault="007E3B83" w:rsidP="007E3B83">
      <w:pPr>
        <w:pStyle w:val="Corpsdetexte"/>
        <w:spacing w:line="240" w:lineRule="auto"/>
        <w:ind w:left="720"/>
        <w:contextualSpacing/>
        <w:jc w:val="both"/>
        <w:rPr>
          <w:rFonts w:ascii="Marianne" w:eastAsia="Times New Roman" w:hAnsi="Marianne"/>
        </w:rPr>
      </w:pPr>
    </w:p>
    <w:p w:rsidR="007E3B83" w:rsidRPr="00A931AA" w:rsidRDefault="007E3B83" w:rsidP="007E3B83">
      <w:pPr>
        <w:pStyle w:val="Corpsdetexte"/>
        <w:ind w:left="720"/>
        <w:contextualSpacing/>
        <w:jc w:val="both"/>
        <w:rPr>
          <w:rFonts w:ascii="Marianne" w:eastAsia="Times New Roman" w:hAnsi="Marianne"/>
        </w:rPr>
      </w:pPr>
      <w:r w:rsidRPr="00A931AA">
        <w:rPr>
          <w:rFonts w:ascii="Marianne" w:eastAsia="Times New Roman" w:hAnsi="Marianne"/>
        </w:rPr>
        <w:t xml:space="preserve">Il convient de souligner que l’engagement </w:t>
      </w:r>
      <w:r w:rsidRPr="00A931AA">
        <w:rPr>
          <w:rFonts w:ascii="Marianne" w:hAnsi="Marianne"/>
          <w:szCs w:val="20"/>
        </w:rPr>
        <w:t>du Syndicat des Laboratoires de Biologie Clinique</w:t>
      </w:r>
      <w:r w:rsidRPr="00A931AA">
        <w:rPr>
          <w:rFonts w:ascii="Marianne" w:hAnsi="Marianne"/>
          <w:szCs w:val="20"/>
          <w:shd w:val="clear" w:color="auto" w:fill="FFFFFF"/>
        </w:rPr>
        <w:t> </w:t>
      </w:r>
      <w:r w:rsidRPr="00A931AA">
        <w:rPr>
          <w:rFonts w:ascii="Marianne" w:hAnsi="Marianne"/>
          <w:szCs w:val="20"/>
        </w:rPr>
        <w:t>de maintenir l’activité en lien avec les hospitalisations et les prises en charge en centre de dialyse, s’il était effectif, fragiliserait le recours à des réquisitions ou à tout le moins doit être pris en compte pour apprécier le périmètre de la réquisition (cf. infra).</w:t>
      </w:r>
    </w:p>
    <w:p w:rsidR="007E3B83" w:rsidRPr="00A931AA" w:rsidRDefault="007E3B83" w:rsidP="007E3B83">
      <w:pPr>
        <w:pStyle w:val="Corpsdetexte"/>
        <w:ind w:left="708"/>
        <w:contextualSpacing/>
        <w:jc w:val="both"/>
        <w:rPr>
          <w:rFonts w:ascii="Marianne" w:eastAsia="Times New Roman" w:hAnsi="Marianne"/>
        </w:rPr>
      </w:pPr>
    </w:p>
    <w:p w:rsidR="007E3B83" w:rsidRPr="00A931AA" w:rsidRDefault="007E3B83" w:rsidP="007E3B83">
      <w:pPr>
        <w:contextualSpacing/>
        <w:jc w:val="both"/>
        <w:rPr>
          <w:rFonts w:ascii="Marianne" w:hAnsi="Marianne"/>
          <w:sz w:val="20"/>
          <w:szCs w:val="20"/>
        </w:rPr>
      </w:pPr>
    </w:p>
    <w:p w:rsidR="007E3B83" w:rsidRPr="00A931AA" w:rsidRDefault="007E3B83" w:rsidP="007E3B83">
      <w:pPr>
        <w:pStyle w:val="Paragraphedeliste"/>
        <w:numPr>
          <w:ilvl w:val="0"/>
          <w:numId w:val="47"/>
        </w:numPr>
        <w:jc w:val="both"/>
        <w:rPr>
          <w:rFonts w:ascii="Marianne" w:hAnsi="Marianne"/>
          <w:b/>
          <w:sz w:val="20"/>
          <w:szCs w:val="20"/>
          <w:u w:val="single"/>
        </w:rPr>
      </w:pPr>
      <w:r w:rsidRPr="00A931AA">
        <w:rPr>
          <w:rFonts w:ascii="Marianne" w:hAnsi="Marianne"/>
          <w:b/>
          <w:sz w:val="20"/>
          <w:szCs w:val="20"/>
          <w:u w:val="single"/>
        </w:rPr>
        <w:t>Le destinataire de la réquisition</w:t>
      </w:r>
    </w:p>
    <w:p w:rsidR="007E3B83" w:rsidRPr="00A931AA" w:rsidRDefault="007E3B83" w:rsidP="007E3B83">
      <w:pPr>
        <w:contextualSpacing/>
        <w:jc w:val="both"/>
        <w:rPr>
          <w:rFonts w:ascii="Marianne" w:hAnsi="Marianne"/>
          <w:sz w:val="20"/>
          <w:szCs w:val="20"/>
        </w:rPr>
      </w:pPr>
    </w:p>
    <w:p w:rsidR="007E3B83" w:rsidRPr="00A931AA" w:rsidRDefault="007E3B83" w:rsidP="007E3B83">
      <w:pPr>
        <w:contextualSpacing/>
        <w:jc w:val="both"/>
        <w:rPr>
          <w:rFonts w:ascii="Marianne" w:hAnsi="Marianne"/>
          <w:sz w:val="20"/>
          <w:szCs w:val="20"/>
        </w:rPr>
      </w:pPr>
      <w:r w:rsidRPr="00A931AA">
        <w:rPr>
          <w:rFonts w:ascii="Marianne" w:hAnsi="Marianne"/>
          <w:sz w:val="20"/>
          <w:szCs w:val="20"/>
        </w:rPr>
        <w:t xml:space="preserve">Cette grève devrait prendre une forme originale puisque les salariés ne seront pas en grève. La grève devrait en réalité prendre la forme d’une fermeture des laboratoires de biologie médicale. Cependant, certains directeurs de laboratoires de biologie médicale ont également imposé des jours de congés à leurs salariés pour le début de la semaine prochaine. </w:t>
      </w:r>
    </w:p>
    <w:p w:rsidR="007E3B83" w:rsidRPr="00A931AA" w:rsidRDefault="007E3B83" w:rsidP="007E3B83">
      <w:pPr>
        <w:contextualSpacing/>
        <w:jc w:val="both"/>
        <w:rPr>
          <w:rFonts w:ascii="Marianne" w:hAnsi="Marianne"/>
          <w:sz w:val="20"/>
          <w:szCs w:val="20"/>
        </w:rPr>
      </w:pPr>
    </w:p>
    <w:p w:rsidR="007E3B83" w:rsidRPr="00A931AA" w:rsidRDefault="007E3B83" w:rsidP="007E3B83">
      <w:pPr>
        <w:contextualSpacing/>
        <w:jc w:val="both"/>
        <w:rPr>
          <w:rFonts w:ascii="Marianne" w:hAnsi="Marianne"/>
          <w:sz w:val="20"/>
          <w:szCs w:val="20"/>
        </w:rPr>
      </w:pPr>
      <w:r w:rsidRPr="00A931AA">
        <w:rPr>
          <w:rFonts w:ascii="Marianne" w:hAnsi="Marianne"/>
          <w:sz w:val="20"/>
          <w:szCs w:val="20"/>
        </w:rPr>
        <w:t xml:space="preserve">Quelles que soient les modalités de la grève, la réquisition devra être adressée au directeur du laboratoire et aux personnes compétentes pour être réquisitionnées. </w:t>
      </w:r>
    </w:p>
    <w:p w:rsidR="007E3B83" w:rsidRPr="00A931AA" w:rsidRDefault="007E3B83" w:rsidP="007E3B83">
      <w:pPr>
        <w:contextualSpacing/>
        <w:jc w:val="both"/>
        <w:rPr>
          <w:rFonts w:ascii="Marianne" w:hAnsi="Marianne"/>
          <w:sz w:val="20"/>
          <w:szCs w:val="20"/>
        </w:rPr>
      </w:pPr>
    </w:p>
    <w:p w:rsidR="007E3B83" w:rsidRPr="00A931AA" w:rsidRDefault="007E3B83" w:rsidP="007E3B83">
      <w:pPr>
        <w:contextualSpacing/>
        <w:jc w:val="both"/>
        <w:rPr>
          <w:rFonts w:ascii="Marianne" w:hAnsi="Marianne"/>
          <w:sz w:val="20"/>
          <w:szCs w:val="20"/>
        </w:rPr>
      </w:pPr>
    </w:p>
    <w:p w:rsidR="007E3B83" w:rsidRPr="00A931AA" w:rsidRDefault="007E3B83" w:rsidP="007E3B83">
      <w:pPr>
        <w:pStyle w:val="Paragraphedeliste"/>
        <w:numPr>
          <w:ilvl w:val="0"/>
          <w:numId w:val="47"/>
        </w:numPr>
        <w:jc w:val="both"/>
        <w:rPr>
          <w:rFonts w:ascii="Marianne" w:hAnsi="Marianne"/>
          <w:b/>
          <w:sz w:val="20"/>
          <w:szCs w:val="20"/>
          <w:u w:val="single"/>
        </w:rPr>
      </w:pPr>
      <w:r w:rsidRPr="00A931AA">
        <w:rPr>
          <w:rFonts w:ascii="Marianne" w:hAnsi="Marianne"/>
          <w:b/>
          <w:sz w:val="20"/>
          <w:szCs w:val="20"/>
          <w:u w:val="single"/>
        </w:rPr>
        <w:t>Le périmètre et la proportionnalité de la réquisition</w:t>
      </w:r>
    </w:p>
    <w:p w:rsidR="007E3B83" w:rsidRPr="00A931AA" w:rsidRDefault="007E3B83" w:rsidP="007E3B83">
      <w:pPr>
        <w:contextualSpacing/>
        <w:jc w:val="both"/>
        <w:rPr>
          <w:rFonts w:ascii="Marianne" w:hAnsi="Marianne"/>
          <w:sz w:val="20"/>
          <w:szCs w:val="20"/>
        </w:rPr>
      </w:pPr>
    </w:p>
    <w:p w:rsidR="007E3B83" w:rsidRPr="00A931AA" w:rsidRDefault="007E3B83" w:rsidP="007E3B83">
      <w:pPr>
        <w:contextualSpacing/>
        <w:jc w:val="both"/>
        <w:rPr>
          <w:rFonts w:ascii="Marianne" w:hAnsi="Marianne"/>
          <w:sz w:val="20"/>
          <w:szCs w:val="20"/>
        </w:rPr>
      </w:pPr>
      <w:r w:rsidRPr="00A931AA">
        <w:rPr>
          <w:rFonts w:ascii="Marianne" w:hAnsi="Marianne"/>
          <w:sz w:val="20"/>
          <w:szCs w:val="20"/>
        </w:rPr>
        <w:t>Un jugement récent du Tribunal administratif de Rennes</w:t>
      </w:r>
      <w:r w:rsidRPr="00A931AA">
        <w:rPr>
          <w:rStyle w:val="Appelnotedebasdep"/>
          <w:rFonts w:ascii="Marianne" w:hAnsi="Marianne"/>
          <w:sz w:val="20"/>
          <w:szCs w:val="20"/>
        </w:rPr>
        <w:footnoteReference w:id="1"/>
      </w:r>
      <w:r w:rsidRPr="00A931AA">
        <w:rPr>
          <w:rFonts w:ascii="Marianne" w:hAnsi="Marianne"/>
          <w:sz w:val="20"/>
          <w:szCs w:val="20"/>
        </w:rPr>
        <w:t xml:space="preserve"> après des réquisitions de salariés d’un laboratoire de biologie médicale, indique que la réquisition doit avoir pour objet de maintenir un service minimum, mais pas un service normal.</w:t>
      </w:r>
    </w:p>
    <w:p w:rsidR="007E3B83" w:rsidRPr="00A931AA" w:rsidRDefault="007E3B83" w:rsidP="007E3B83">
      <w:pPr>
        <w:contextualSpacing/>
        <w:jc w:val="both"/>
        <w:rPr>
          <w:rFonts w:ascii="Marianne" w:hAnsi="Marianne"/>
          <w:sz w:val="20"/>
          <w:szCs w:val="20"/>
        </w:rPr>
      </w:pPr>
    </w:p>
    <w:p w:rsidR="007E3B83" w:rsidRPr="00A931AA" w:rsidRDefault="007E3B83" w:rsidP="007E3B83">
      <w:pPr>
        <w:contextualSpacing/>
        <w:jc w:val="both"/>
        <w:rPr>
          <w:rFonts w:ascii="Marianne" w:hAnsi="Marianne"/>
          <w:sz w:val="20"/>
          <w:szCs w:val="20"/>
        </w:rPr>
      </w:pPr>
      <w:r w:rsidRPr="00A931AA">
        <w:rPr>
          <w:rFonts w:ascii="Marianne" w:hAnsi="Marianne"/>
          <w:sz w:val="20"/>
          <w:szCs w:val="20"/>
        </w:rPr>
        <w:t xml:space="preserve">Aussi, il vous est demandé de veiller à assurer une proportionnalité dans la mise en œuvre de ces réquisitions. </w:t>
      </w:r>
    </w:p>
    <w:p w:rsidR="007E3B83" w:rsidRPr="00A931AA" w:rsidRDefault="007E3B83" w:rsidP="007E3B83">
      <w:pPr>
        <w:contextualSpacing/>
        <w:jc w:val="both"/>
        <w:rPr>
          <w:rFonts w:ascii="Marianne" w:hAnsi="Marianne"/>
          <w:sz w:val="20"/>
          <w:szCs w:val="20"/>
        </w:rPr>
      </w:pPr>
    </w:p>
    <w:p w:rsidR="007E3B83" w:rsidRPr="00A931AA" w:rsidRDefault="007E3B83" w:rsidP="007E3B83">
      <w:pPr>
        <w:contextualSpacing/>
        <w:jc w:val="both"/>
        <w:rPr>
          <w:rFonts w:ascii="Marianne" w:eastAsia="Times New Roman" w:hAnsi="Marianne" w:cs="Calibri"/>
          <w:sz w:val="20"/>
          <w:szCs w:val="20"/>
        </w:rPr>
      </w:pPr>
      <w:r w:rsidRPr="00A931AA">
        <w:rPr>
          <w:rFonts w:ascii="Marianne" w:eastAsia="Times New Roman" w:hAnsi="Marianne" w:cs="Calibri"/>
          <w:sz w:val="20"/>
          <w:szCs w:val="20"/>
        </w:rPr>
        <w:lastRenderedPageBreak/>
        <w:t xml:space="preserve">Pour que la mesure soit considérée comme proportionnée, il faudrait certainement (en essayant d’anticiper ce que le juge pourrait exiger comme justifications) :  </w:t>
      </w:r>
    </w:p>
    <w:p w:rsidR="007E3B83" w:rsidRPr="00A931AA" w:rsidRDefault="007E3B83" w:rsidP="007E3B83">
      <w:pPr>
        <w:contextualSpacing/>
        <w:jc w:val="both"/>
        <w:rPr>
          <w:rFonts w:ascii="Marianne" w:eastAsia="Times New Roman" w:hAnsi="Marianne" w:cs="Calibri"/>
          <w:sz w:val="20"/>
          <w:szCs w:val="20"/>
        </w:rPr>
      </w:pPr>
      <w:r w:rsidRPr="00A931AA">
        <w:rPr>
          <w:rFonts w:ascii="Marianne" w:eastAsia="Times New Roman" w:hAnsi="Marianne" w:cs="Calibri"/>
          <w:sz w:val="20"/>
          <w:szCs w:val="20"/>
        </w:rPr>
        <w:t>1/ connaître le nombre de laboratoires en grève (ce n’est pas la même chose si tous les laboratoires sont en grève ou seulement un tiers ou si les laboratoires réalisent effectivement les actes les plus urgents) ;</w:t>
      </w:r>
    </w:p>
    <w:p w:rsidR="007E3B83" w:rsidRPr="00A931AA" w:rsidRDefault="007E3B83" w:rsidP="007E3B83">
      <w:pPr>
        <w:contextualSpacing/>
        <w:jc w:val="both"/>
        <w:rPr>
          <w:rFonts w:ascii="Marianne" w:eastAsia="Times New Roman" w:hAnsi="Marianne" w:cs="Calibri"/>
          <w:sz w:val="20"/>
          <w:szCs w:val="20"/>
        </w:rPr>
      </w:pPr>
      <w:r w:rsidRPr="00A931AA">
        <w:rPr>
          <w:rFonts w:ascii="Marianne" w:eastAsia="Times New Roman" w:hAnsi="Marianne" w:cs="Calibri"/>
          <w:sz w:val="20"/>
          <w:szCs w:val="20"/>
        </w:rPr>
        <w:t xml:space="preserve">2/ apprécier la situation au regard de l’échelle pertinente (au niveau du département à tout le moins ou de la circonscription ou d’une autre échelle sanitaire pertinente à déterminer précisément) ; </w:t>
      </w:r>
    </w:p>
    <w:p w:rsidR="007E3B83" w:rsidRPr="00A931AA" w:rsidRDefault="007E3B83" w:rsidP="007E3B83">
      <w:pPr>
        <w:contextualSpacing/>
        <w:jc w:val="both"/>
        <w:rPr>
          <w:rFonts w:ascii="Marianne" w:eastAsia="Times New Roman" w:hAnsi="Marianne" w:cs="Calibri"/>
          <w:sz w:val="20"/>
          <w:szCs w:val="20"/>
        </w:rPr>
      </w:pPr>
      <w:r w:rsidRPr="00A931AA">
        <w:rPr>
          <w:rFonts w:ascii="Marianne" w:eastAsia="Times New Roman" w:hAnsi="Marianne" w:cs="Calibri"/>
          <w:sz w:val="20"/>
          <w:szCs w:val="20"/>
        </w:rPr>
        <w:t xml:space="preserve">3/ avoir une idée du nombre d’actes de biologie qui devraient au minimum être réalisés par jour pour pouvoir fixer sur cette base le nombre de laboratoires qui devraient être réquisitionnés pour les assurer. </w:t>
      </w:r>
    </w:p>
    <w:p w:rsidR="007E3B83" w:rsidRPr="00A931AA" w:rsidRDefault="007E3B83" w:rsidP="007E3B83">
      <w:pPr>
        <w:pStyle w:val="xmsolistparagraph"/>
        <w:ind w:left="0"/>
        <w:rPr>
          <w:rFonts w:ascii="Marianne" w:hAnsi="Marianne" w:cs="Calibri"/>
          <w:sz w:val="20"/>
          <w:szCs w:val="20"/>
        </w:rPr>
      </w:pPr>
    </w:p>
    <w:p w:rsidR="007E3B83" w:rsidRPr="00A931AA" w:rsidRDefault="007E3B83" w:rsidP="007E3B83">
      <w:pPr>
        <w:pStyle w:val="xmsolistparagraph"/>
        <w:ind w:left="0"/>
        <w:jc w:val="both"/>
        <w:rPr>
          <w:rFonts w:ascii="Marianne" w:hAnsi="Marianne"/>
          <w:sz w:val="20"/>
          <w:szCs w:val="20"/>
        </w:rPr>
      </w:pPr>
      <w:r w:rsidRPr="00A931AA">
        <w:rPr>
          <w:rFonts w:ascii="Marianne" w:hAnsi="Marianne" w:cs="Calibri"/>
          <w:sz w:val="20"/>
          <w:szCs w:val="20"/>
        </w:rPr>
        <w:t xml:space="preserve">En cas de recours contentieux, la réquisition sera plus facilement considérée par le juge comme proportionnée si elle pèse sur les laboratoires par roulement afin de lisser la charge. Dans la mesure où une telle solution est peut-être plus difficile à mettre en œuvre de façon opérationnelle et moins lisible pour les patients, il pourrait néanmoins être envisagé de faire peser la charge de la réquisition sur un ou plusieurs laboratoires déterminés. </w:t>
      </w:r>
    </w:p>
    <w:p w:rsidR="007E3B83" w:rsidRPr="00A931AA" w:rsidRDefault="007E3B83" w:rsidP="007E3B83">
      <w:pPr>
        <w:contextualSpacing/>
        <w:jc w:val="both"/>
        <w:rPr>
          <w:rFonts w:ascii="Marianne" w:hAnsi="Marianne"/>
          <w:sz w:val="20"/>
          <w:szCs w:val="20"/>
        </w:rPr>
      </w:pPr>
    </w:p>
    <w:p w:rsidR="007E3B83" w:rsidRPr="00A931AA" w:rsidRDefault="007E3B83" w:rsidP="007E3B83">
      <w:pPr>
        <w:pStyle w:val="xmsonormal"/>
        <w:rPr>
          <w:rFonts w:ascii="Marianne" w:hAnsi="Marianne" w:cstheme="minorBidi"/>
          <w:sz w:val="20"/>
          <w:szCs w:val="20"/>
          <w:lang w:eastAsia="en-US"/>
        </w:rPr>
      </w:pPr>
      <w:r w:rsidRPr="00A931AA">
        <w:rPr>
          <w:rFonts w:ascii="Marianne" w:hAnsi="Marianne"/>
          <w:sz w:val="20"/>
          <w:szCs w:val="20"/>
        </w:rPr>
        <w:t xml:space="preserve">Vous soulignerez aux laboratoires la nécessité d’assurer la continuité pour les actes urgents (notamment pour les établissements de santé, en particulier privés), par exemple sur la base de filières. Il convient aussi de garantir une possibilité d’accès pour répondre aux besoins urgents des patients aussi, notamment pour les analyses qui sont demandés dans le cadre d’hospitalisations, de suivi de pathologies chroniques, de chimiothérapies, ou tout autre motif d’urgence. </w:t>
      </w:r>
    </w:p>
    <w:p w:rsidR="007E3B83" w:rsidRPr="00A931AA" w:rsidRDefault="007E3B83" w:rsidP="007E3B83">
      <w:pPr>
        <w:pStyle w:val="xmsonormal"/>
        <w:rPr>
          <w:rFonts w:ascii="Marianne" w:hAnsi="Marianne"/>
          <w:sz w:val="20"/>
          <w:szCs w:val="20"/>
        </w:rPr>
      </w:pPr>
    </w:p>
    <w:p w:rsidR="007E3B83" w:rsidRPr="00A931AA" w:rsidRDefault="007E3B83" w:rsidP="007E3B83">
      <w:pPr>
        <w:contextualSpacing/>
        <w:jc w:val="both"/>
        <w:rPr>
          <w:rFonts w:ascii="Marianne" w:hAnsi="Marianne"/>
          <w:sz w:val="20"/>
          <w:szCs w:val="20"/>
        </w:rPr>
      </w:pPr>
      <w:r w:rsidRPr="00A931AA">
        <w:rPr>
          <w:rFonts w:ascii="Marianne" w:hAnsi="Marianne"/>
          <w:sz w:val="20"/>
          <w:szCs w:val="20"/>
        </w:rPr>
        <w:t xml:space="preserve">Afin de favoriser la lisibilité de cette organisation perturbée, vous diffuserez la liste des laboratoires ouvertes aux SAMU/SAS de votre région, aux établissements sanitaires et médico-sociaux de votre région ainsi qu’aux différentes URPS des professionnels de santé libéraux afin que tous les acteurs du système de santé puissent orienter les patients et garantir la continuité des soins. </w:t>
      </w:r>
    </w:p>
    <w:p w:rsidR="007E3B83" w:rsidRPr="00B649F8" w:rsidRDefault="007E3B83" w:rsidP="007E3B83">
      <w:pPr>
        <w:contextualSpacing/>
        <w:jc w:val="both"/>
        <w:rPr>
          <w:rFonts w:ascii="Marianne" w:hAnsi="Marianne"/>
          <w:sz w:val="20"/>
          <w:szCs w:val="20"/>
        </w:rPr>
      </w:pPr>
    </w:p>
    <w:p w:rsidR="007E3B83" w:rsidRDefault="007E3B83" w:rsidP="007E3B83">
      <w:pPr>
        <w:contextualSpacing/>
        <w:jc w:val="both"/>
        <w:rPr>
          <w:rFonts w:ascii="Marianne" w:hAnsi="Marianne" w:cs="Calibri"/>
          <w:b/>
          <w:sz w:val="20"/>
          <w:szCs w:val="20"/>
          <w:u w:val="single"/>
        </w:rPr>
      </w:pPr>
    </w:p>
    <w:p w:rsidR="007E3B83" w:rsidRDefault="007E3B83" w:rsidP="007E3B83">
      <w:pPr>
        <w:contextualSpacing/>
        <w:jc w:val="both"/>
        <w:rPr>
          <w:rFonts w:ascii="Marianne" w:hAnsi="Marianne" w:cs="Calibri"/>
          <w:b/>
          <w:sz w:val="20"/>
          <w:szCs w:val="20"/>
          <w:u w:val="single"/>
        </w:rPr>
      </w:pPr>
    </w:p>
    <w:p w:rsidR="007E3B83" w:rsidRDefault="007E3B83" w:rsidP="007E3B83">
      <w:pPr>
        <w:contextualSpacing/>
        <w:jc w:val="both"/>
        <w:rPr>
          <w:rFonts w:ascii="Marianne" w:hAnsi="Marianne" w:cs="Calibri"/>
          <w:b/>
          <w:sz w:val="20"/>
          <w:szCs w:val="20"/>
          <w:u w:val="single"/>
        </w:rPr>
      </w:pPr>
    </w:p>
    <w:p w:rsidR="007E3B83" w:rsidRDefault="007E3B83" w:rsidP="007E3B83">
      <w:pPr>
        <w:contextualSpacing/>
        <w:jc w:val="both"/>
        <w:rPr>
          <w:rFonts w:ascii="Marianne" w:hAnsi="Marianne" w:cs="Calibri"/>
          <w:b/>
          <w:sz w:val="20"/>
          <w:szCs w:val="20"/>
          <w:u w:val="single"/>
        </w:rPr>
      </w:pPr>
    </w:p>
    <w:p w:rsidR="007E3B83" w:rsidRDefault="007E3B83" w:rsidP="007E3B83">
      <w:pPr>
        <w:contextualSpacing/>
        <w:jc w:val="both"/>
        <w:rPr>
          <w:rFonts w:ascii="Marianne" w:hAnsi="Marianne" w:cs="Calibri"/>
          <w:b/>
          <w:sz w:val="20"/>
          <w:szCs w:val="20"/>
          <w:u w:val="single"/>
        </w:rPr>
      </w:pPr>
    </w:p>
    <w:p w:rsidR="007E3B83" w:rsidRDefault="007E3B83" w:rsidP="007E3B83">
      <w:pPr>
        <w:contextualSpacing/>
        <w:jc w:val="both"/>
        <w:rPr>
          <w:rFonts w:ascii="Marianne" w:hAnsi="Marianne" w:cs="Calibri"/>
          <w:b/>
          <w:sz w:val="20"/>
          <w:szCs w:val="20"/>
          <w:u w:val="single"/>
        </w:rPr>
      </w:pPr>
    </w:p>
    <w:p w:rsidR="007E3B83" w:rsidRDefault="007E3B83" w:rsidP="007E3B83">
      <w:pPr>
        <w:contextualSpacing/>
        <w:jc w:val="both"/>
        <w:rPr>
          <w:rFonts w:ascii="Marianne" w:hAnsi="Marianne" w:cs="Calibri"/>
          <w:b/>
          <w:sz w:val="20"/>
          <w:szCs w:val="20"/>
          <w:u w:val="single"/>
        </w:rPr>
      </w:pPr>
    </w:p>
    <w:p w:rsidR="007E3B83" w:rsidRDefault="007E3B83" w:rsidP="007E3B83">
      <w:pPr>
        <w:contextualSpacing/>
        <w:jc w:val="both"/>
        <w:rPr>
          <w:rFonts w:ascii="Marianne" w:hAnsi="Marianne" w:cs="Calibri"/>
          <w:b/>
          <w:sz w:val="20"/>
          <w:szCs w:val="20"/>
          <w:u w:val="single"/>
        </w:rPr>
      </w:pPr>
    </w:p>
    <w:p w:rsidR="007E3B83" w:rsidRDefault="007E3B83" w:rsidP="007E3B83">
      <w:pPr>
        <w:contextualSpacing/>
        <w:jc w:val="both"/>
        <w:rPr>
          <w:rFonts w:ascii="Marianne" w:hAnsi="Marianne" w:cs="Calibri"/>
          <w:b/>
          <w:sz w:val="20"/>
          <w:szCs w:val="20"/>
          <w:u w:val="single"/>
        </w:rPr>
      </w:pPr>
    </w:p>
    <w:p w:rsidR="007E3B83" w:rsidRPr="00B649F8" w:rsidRDefault="007E3B83" w:rsidP="007E3B83">
      <w:pPr>
        <w:contextualSpacing/>
        <w:jc w:val="both"/>
        <w:rPr>
          <w:rFonts w:ascii="Marianne" w:hAnsi="Marianne"/>
          <w:sz w:val="20"/>
          <w:szCs w:val="20"/>
        </w:rPr>
      </w:pPr>
    </w:p>
    <w:p w:rsidR="007E3B83" w:rsidRPr="00B649F8" w:rsidRDefault="007E3B83" w:rsidP="007E3B83">
      <w:pPr>
        <w:contextualSpacing/>
        <w:jc w:val="both"/>
        <w:rPr>
          <w:rFonts w:ascii="Marianne" w:hAnsi="Marianne"/>
          <w:sz w:val="20"/>
          <w:szCs w:val="20"/>
        </w:rPr>
      </w:pPr>
    </w:p>
    <w:p w:rsidR="007E3B83" w:rsidRPr="00B649F8" w:rsidRDefault="007E3B83" w:rsidP="007E3B83">
      <w:pPr>
        <w:contextualSpacing/>
        <w:jc w:val="both"/>
        <w:rPr>
          <w:rFonts w:ascii="Marianne" w:hAnsi="Marianne"/>
          <w:sz w:val="20"/>
          <w:szCs w:val="20"/>
        </w:rPr>
      </w:pPr>
    </w:p>
    <w:p w:rsidR="007E3B83"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b/>
          <w:sz w:val="20"/>
          <w:szCs w:val="20"/>
        </w:rPr>
        <w:sectPr w:rsidR="007E3B83" w:rsidSect="00240121">
          <w:footerReference w:type="default" r:id="rId11"/>
          <w:pgSz w:w="11906" w:h="16838"/>
          <w:pgMar w:top="851" w:right="1417" w:bottom="851" w:left="1417" w:header="708" w:footer="708" w:gutter="0"/>
          <w:cols w:space="708"/>
          <w:docGrid w:linePitch="360"/>
        </w:sectPr>
      </w:pP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b/>
          <w:sz w:val="20"/>
          <w:szCs w:val="20"/>
        </w:rPr>
      </w:pPr>
      <w:r w:rsidRPr="00DD01C2">
        <w:rPr>
          <w:rFonts w:ascii="Marianne" w:hAnsi="Marianne"/>
          <w:b/>
          <w:sz w:val="20"/>
          <w:szCs w:val="20"/>
        </w:rPr>
        <w:lastRenderedPageBreak/>
        <w:t xml:space="preserve">Eléments de langage : </w:t>
      </w:r>
    </w:p>
    <w:p w:rsidR="007E3B83"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DD01C2">
        <w:rPr>
          <w:rFonts w:ascii="Marianne" w:hAnsi="Marianne"/>
          <w:sz w:val="20"/>
          <w:szCs w:val="20"/>
        </w:rPr>
        <w:t>Nous sommes pleinement conscients de l’investissement des biologistes médicaux durant la crise sanitaire. Leur chiffre d’affaires a d’ailleurs connu une croissance exceptionnelle passant de 5,1 milliards d’euros en 2019 à 9,4 milliards d’euros en 2021 soit une hausse de 85 %, portée par les tests de dépistage du Covid 19. La rentabilité du secteur, qui était déjà élevée avant la crise, est montée à plus de 30% en 2021.</w:t>
      </w: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DD01C2">
        <w:rPr>
          <w:rFonts w:ascii="Marianne" w:hAnsi="Marianne"/>
          <w:sz w:val="20"/>
          <w:szCs w:val="20"/>
        </w:rPr>
        <w:t>Nous devons être responsables quant au bon usage de l’argent des cotisations sociales. Nous demandons un effort aux biologistes médicaux dans le cadre de ce PLFSS au regard des forts volumes de remboursements durant la crise sanitaire. L’assurance maladie a démarré des discussions avec les syndicats de biologistes médicaux pour trouver les paramètres permettant un équilibre entre le développement de la biologie médicale et la soutenabilité des finances publiques.</w:t>
      </w: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DD01C2">
        <w:rPr>
          <w:rFonts w:ascii="Marianne" w:hAnsi="Marianne" w:cs="Segoe UI"/>
          <w:color w:val="000000"/>
          <w:sz w:val="20"/>
          <w:szCs w:val="20"/>
          <w:shd w:val="clear" w:color="auto" w:fill="FFFFFF"/>
        </w:rPr>
        <w:t>Une première grève des alimentations dans SI-DEP est intervenue fin octobre. Le ministre de la Santé et de la Prévention, François Braun, et le ministre délégué en charge des Comptes publics, Gabriel Attal, ont adressé à cette occasion une lettre aux syndicats des laboratoires de biologie médicale pour dénoncer une suspension « inadmissible »</w:t>
      </w:r>
      <w:r w:rsidR="00AB7F4B">
        <w:rPr>
          <w:rFonts w:ascii="Marianne" w:hAnsi="Marianne" w:cs="Segoe UI"/>
          <w:color w:val="000000"/>
          <w:sz w:val="20"/>
          <w:szCs w:val="20"/>
          <w:shd w:val="clear" w:color="auto" w:fill="FFFFFF"/>
        </w:rPr>
        <w:t>, en ce qu’elle prend en otage les Français et rend</w:t>
      </w:r>
      <w:r w:rsidRPr="00DD01C2">
        <w:rPr>
          <w:rFonts w:ascii="Marianne" w:hAnsi="Marianne" w:cs="Segoe UI"/>
          <w:color w:val="000000"/>
          <w:sz w:val="20"/>
          <w:szCs w:val="20"/>
          <w:shd w:val="clear" w:color="auto" w:fill="FFFFFF"/>
        </w:rPr>
        <w:t xml:space="preserve"> les autorités aveugles face à la gestion d’une épidémie qui continue de tuer tous les jours. </w:t>
      </w:r>
      <w:bookmarkStart w:id="0" w:name="_GoBack"/>
      <w:bookmarkEnd w:id="0"/>
      <w:r w:rsidRPr="00DD01C2">
        <w:rPr>
          <w:rFonts w:ascii="Marianne" w:hAnsi="Marianne" w:cs="Segoe UI"/>
          <w:color w:val="000000"/>
          <w:sz w:val="20"/>
          <w:szCs w:val="20"/>
          <w:shd w:val="clear" w:color="auto" w:fill="FFFFFF"/>
        </w:rPr>
        <w:t>Les deux ministres ont appelé les laboratoires à la responsabilité et à cesser instamment ce genre de manœuvre.</w:t>
      </w: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DD01C2">
        <w:rPr>
          <w:rFonts w:ascii="Marianne" w:hAnsi="Marianne"/>
          <w:sz w:val="20"/>
          <w:szCs w:val="20"/>
        </w:rPr>
        <w:t xml:space="preserve">C'est un secteur qui a largement profité de la crise COVID et qui est passé de 900 millions de bénéfices en 2019 à 1,6 milliard en 2020 et 3 milliards en 2021. Ces sommes sont l'argent de la Sécurité sociale. </w:t>
      </w: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DD01C2">
        <w:rPr>
          <w:rFonts w:ascii="Marianne" w:hAnsi="Marianne"/>
          <w:sz w:val="20"/>
          <w:szCs w:val="20"/>
        </w:rPr>
        <w:t xml:space="preserve"> </w:t>
      </w: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DD01C2">
        <w:rPr>
          <w:rFonts w:ascii="Marianne" w:hAnsi="Marianne"/>
          <w:sz w:val="20"/>
          <w:szCs w:val="20"/>
        </w:rPr>
        <w:t xml:space="preserve">Personne ne comprendrait que les laboratoires de biologie médicale ne participent pas à l’effort national : tout le monde doit y contribuer pour que notre système de santé et notre Sécurité sociale auxquelles nous sommes tous attachés, puissent vivre et pour que l'on puisse continuer à rembourser les soins de l'ensemble des Français. </w:t>
      </w: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DD01C2">
        <w:rPr>
          <w:rFonts w:ascii="Marianne" w:hAnsi="Marianne"/>
          <w:sz w:val="20"/>
          <w:szCs w:val="20"/>
        </w:rPr>
        <w:t xml:space="preserve"> </w:t>
      </w: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DD01C2">
        <w:rPr>
          <w:rFonts w:ascii="Marianne" w:hAnsi="Marianne"/>
          <w:sz w:val="20"/>
          <w:szCs w:val="20"/>
        </w:rPr>
        <w:t xml:space="preserve">Une réunion de négociation entre l’assurance maladie et les syndicats des laboratoires de biologie médicale s’est tenue lundi 7 novembre. Contrairement à la communication faite par les représentants des laboratoires de biologie, il n’a pas été demandé de nouvelles économies supplémentaires. </w:t>
      </w: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DD01C2">
        <w:rPr>
          <w:rFonts w:ascii="Marianne" w:hAnsi="Marianne"/>
          <w:sz w:val="20"/>
          <w:szCs w:val="20"/>
        </w:rPr>
        <w:t xml:space="preserve">Au contraire, l’assurance maladie a fait de nouvelles propositions incluant une part d’économies sur les tests COVID comme cela avait été proposé par les biologistes eux-mêmes. </w:t>
      </w: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DD01C2">
        <w:rPr>
          <w:rFonts w:ascii="Marianne" w:hAnsi="Marianne"/>
          <w:sz w:val="20"/>
          <w:szCs w:val="20"/>
        </w:rPr>
        <w:t>Les appels à la grève ne sont pas admissibles. On parle d’une contribution de 250 millions d’euros demandée à un secteur qui a perçu plus de 9 milliards d’euros de l’assurance maladie l’an dernier.</w:t>
      </w:r>
    </w:p>
    <w:p w:rsidR="007E3B83" w:rsidRPr="00976986" w:rsidRDefault="007E3B83" w:rsidP="00F854AF">
      <w:pPr>
        <w:jc w:val="both"/>
        <w:rPr>
          <w:rFonts w:ascii="Marianne" w:hAnsi="Marianne"/>
          <w:b/>
          <w:sz w:val="30"/>
          <w:szCs w:val="30"/>
        </w:rPr>
      </w:pPr>
    </w:p>
    <w:sectPr w:rsidR="007E3B83" w:rsidRPr="00976986" w:rsidSect="00240121">
      <w:pgSz w:w="11906" w:h="16838"/>
      <w:pgMar w:top="851"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3C1F" w:rsidRDefault="00AD3C1F" w:rsidP="00973D17">
      <w:r>
        <w:separator/>
      </w:r>
    </w:p>
  </w:endnote>
  <w:endnote w:type="continuationSeparator" w:id="0">
    <w:p w:rsidR="00AD3C1F" w:rsidRDefault="00AD3C1F" w:rsidP="00973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rianne">
    <w:panose1 w:val="02000000000000000000"/>
    <w:charset w:val="00"/>
    <w:family w:val="auto"/>
    <w:pitch w:val="variable"/>
    <w:sig w:usb0="0000000F" w:usb1="00000000" w:usb2="00000000" w:usb3="00000000" w:csb0="00000003"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6888375"/>
      <w:docPartObj>
        <w:docPartGallery w:val="Page Numbers (Bottom of Page)"/>
        <w:docPartUnique/>
      </w:docPartObj>
    </w:sdtPr>
    <w:sdtEndPr>
      <w:rPr>
        <w:rFonts w:ascii="Marianne" w:hAnsi="Marianne"/>
        <w:sz w:val="14"/>
      </w:rPr>
    </w:sdtEndPr>
    <w:sdtContent>
      <w:p w:rsidR="00973D17" w:rsidRPr="00973D17" w:rsidRDefault="00973D17">
        <w:pPr>
          <w:pStyle w:val="Pieddepage"/>
          <w:jc w:val="right"/>
          <w:rPr>
            <w:rFonts w:ascii="Marianne" w:hAnsi="Marianne"/>
            <w:sz w:val="14"/>
          </w:rPr>
        </w:pPr>
        <w:r w:rsidRPr="00973D17">
          <w:rPr>
            <w:rFonts w:ascii="Marianne" w:hAnsi="Marianne"/>
            <w:sz w:val="14"/>
          </w:rPr>
          <w:fldChar w:fldCharType="begin"/>
        </w:r>
        <w:r w:rsidRPr="00973D17">
          <w:rPr>
            <w:rFonts w:ascii="Marianne" w:hAnsi="Marianne"/>
            <w:sz w:val="14"/>
          </w:rPr>
          <w:instrText>PAGE   \* MERGEFORMAT</w:instrText>
        </w:r>
        <w:r w:rsidRPr="00973D17">
          <w:rPr>
            <w:rFonts w:ascii="Marianne" w:hAnsi="Marianne"/>
            <w:sz w:val="14"/>
          </w:rPr>
          <w:fldChar w:fldCharType="separate"/>
        </w:r>
        <w:r w:rsidR="00AB7F4B">
          <w:rPr>
            <w:rFonts w:ascii="Marianne" w:hAnsi="Marianne"/>
            <w:noProof/>
            <w:sz w:val="14"/>
          </w:rPr>
          <w:t>5</w:t>
        </w:r>
        <w:r w:rsidRPr="00973D17">
          <w:rPr>
            <w:rFonts w:ascii="Marianne" w:hAnsi="Marianne"/>
            <w:sz w:val="14"/>
          </w:rPr>
          <w:fldChar w:fldCharType="end"/>
        </w:r>
      </w:p>
    </w:sdtContent>
  </w:sdt>
  <w:p w:rsidR="00973D17" w:rsidRDefault="00973D1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3C1F" w:rsidRDefault="00AD3C1F" w:rsidP="00973D17">
      <w:r>
        <w:separator/>
      </w:r>
    </w:p>
  </w:footnote>
  <w:footnote w:type="continuationSeparator" w:id="0">
    <w:p w:rsidR="00AD3C1F" w:rsidRDefault="00AD3C1F" w:rsidP="00973D17">
      <w:r>
        <w:continuationSeparator/>
      </w:r>
    </w:p>
  </w:footnote>
  <w:footnote w:id="1">
    <w:p w:rsidR="007E3B83" w:rsidRPr="00324445" w:rsidRDefault="007E3B83" w:rsidP="007E3B83">
      <w:pPr>
        <w:pStyle w:val="Notedebasdepage"/>
      </w:pPr>
      <w:r w:rsidRPr="00324445">
        <w:rPr>
          <w:rStyle w:val="Appelnotedebasdep"/>
        </w:rPr>
        <w:footnoteRef/>
      </w:r>
      <w:r w:rsidRPr="00324445">
        <w:t xml:space="preserve"> TA Rennes, ord. de référé, 15 oct. 2022, n°2205246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83260"/>
    <w:multiLevelType w:val="hybridMultilevel"/>
    <w:tmpl w:val="35A8C26A"/>
    <w:lvl w:ilvl="0" w:tplc="040C0015">
      <w:start w:val="1"/>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 w15:restartNumberingAfterBreak="0">
    <w:nsid w:val="035D3338"/>
    <w:multiLevelType w:val="hybridMultilevel"/>
    <w:tmpl w:val="64B4CCD4"/>
    <w:lvl w:ilvl="0" w:tplc="32D0D92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95260E"/>
    <w:multiLevelType w:val="hybridMultilevel"/>
    <w:tmpl w:val="42121F34"/>
    <w:lvl w:ilvl="0" w:tplc="040C0015">
      <w:start w:val="1"/>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 w15:restartNumberingAfterBreak="0">
    <w:nsid w:val="0A156ED1"/>
    <w:multiLevelType w:val="hybridMultilevel"/>
    <w:tmpl w:val="0D04AAEC"/>
    <w:lvl w:ilvl="0" w:tplc="3864AE44">
      <w:start w:val="19"/>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BEB6AFB"/>
    <w:multiLevelType w:val="hybridMultilevel"/>
    <w:tmpl w:val="038675F2"/>
    <w:lvl w:ilvl="0" w:tplc="836082E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F530567"/>
    <w:multiLevelType w:val="hybridMultilevel"/>
    <w:tmpl w:val="ECC28C30"/>
    <w:lvl w:ilvl="0" w:tplc="3864AE44">
      <w:start w:val="19"/>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0C45882"/>
    <w:multiLevelType w:val="hybridMultilevel"/>
    <w:tmpl w:val="993AD47E"/>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1A46B29"/>
    <w:multiLevelType w:val="hybridMultilevel"/>
    <w:tmpl w:val="F2C621A4"/>
    <w:lvl w:ilvl="0" w:tplc="040C0015">
      <w:start w:val="1"/>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8" w15:restartNumberingAfterBreak="0">
    <w:nsid w:val="16783513"/>
    <w:multiLevelType w:val="hybridMultilevel"/>
    <w:tmpl w:val="B00096A4"/>
    <w:lvl w:ilvl="0" w:tplc="AAB6726A">
      <w:start w:val="3"/>
      <w:numFmt w:val="bullet"/>
      <w:lvlText w:val=""/>
      <w:lvlJc w:val="left"/>
      <w:pPr>
        <w:ind w:left="1080" w:hanging="360"/>
      </w:pPr>
      <w:rPr>
        <w:rFonts w:ascii="Wingdings" w:eastAsiaTheme="minorHAnsi" w:hAnsi="Wingdings"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18CB4931"/>
    <w:multiLevelType w:val="hybridMultilevel"/>
    <w:tmpl w:val="848C98C6"/>
    <w:lvl w:ilvl="0" w:tplc="040C0011">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0" w15:restartNumberingAfterBreak="0">
    <w:nsid w:val="18D25690"/>
    <w:multiLevelType w:val="hybridMultilevel"/>
    <w:tmpl w:val="F1726476"/>
    <w:lvl w:ilvl="0" w:tplc="E3B08C5A">
      <w:start w:val="1"/>
      <w:numFmt w:val="decimal"/>
      <w:lvlText w:val="%1."/>
      <w:lvlJc w:val="left"/>
      <w:pPr>
        <w:ind w:left="1770" w:hanging="360"/>
      </w:pPr>
      <w:rPr>
        <w:rFonts w:hint="default"/>
      </w:rPr>
    </w:lvl>
    <w:lvl w:ilvl="1" w:tplc="040C0019" w:tentative="1">
      <w:start w:val="1"/>
      <w:numFmt w:val="lowerLetter"/>
      <w:lvlText w:val="%2."/>
      <w:lvlJc w:val="left"/>
      <w:pPr>
        <w:ind w:left="2490" w:hanging="360"/>
      </w:pPr>
    </w:lvl>
    <w:lvl w:ilvl="2" w:tplc="040C001B" w:tentative="1">
      <w:start w:val="1"/>
      <w:numFmt w:val="lowerRoman"/>
      <w:lvlText w:val="%3."/>
      <w:lvlJc w:val="right"/>
      <w:pPr>
        <w:ind w:left="3210" w:hanging="180"/>
      </w:pPr>
    </w:lvl>
    <w:lvl w:ilvl="3" w:tplc="040C000F" w:tentative="1">
      <w:start w:val="1"/>
      <w:numFmt w:val="decimal"/>
      <w:lvlText w:val="%4."/>
      <w:lvlJc w:val="left"/>
      <w:pPr>
        <w:ind w:left="3930" w:hanging="360"/>
      </w:pPr>
    </w:lvl>
    <w:lvl w:ilvl="4" w:tplc="040C0019" w:tentative="1">
      <w:start w:val="1"/>
      <w:numFmt w:val="lowerLetter"/>
      <w:lvlText w:val="%5."/>
      <w:lvlJc w:val="left"/>
      <w:pPr>
        <w:ind w:left="4650" w:hanging="360"/>
      </w:pPr>
    </w:lvl>
    <w:lvl w:ilvl="5" w:tplc="040C001B" w:tentative="1">
      <w:start w:val="1"/>
      <w:numFmt w:val="lowerRoman"/>
      <w:lvlText w:val="%6."/>
      <w:lvlJc w:val="right"/>
      <w:pPr>
        <w:ind w:left="5370" w:hanging="180"/>
      </w:pPr>
    </w:lvl>
    <w:lvl w:ilvl="6" w:tplc="040C000F" w:tentative="1">
      <w:start w:val="1"/>
      <w:numFmt w:val="decimal"/>
      <w:lvlText w:val="%7."/>
      <w:lvlJc w:val="left"/>
      <w:pPr>
        <w:ind w:left="6090" w:hanging="360"/>
      </w:pPr>
    </w:lvl>
    <w:lvl w:ilvl="7" w:tplc="040C0019" w:tentative="1">
      <w:start w:val="1"/>
      <w:numFmt w:val="lowerLetter"/>
      <w:lvlText w:val="%8."/>
      <w:lvlJc w:val="left"/>
      <w:pPr>
        <w:ind w:left="6810" w:hanging="360"/>
      </w:pPr>
    </w:lvl>
    <w:lvl w:ilvl="8" w:tplc="040C001B" w:tentative="1">
      <w:start w:val="1"/>
      <w:numFmt w:val="lowerRoman"/>
      <w:lvlText w:val="%9."/>
      <w:lvlJc w:val="right"/>
      <w:pPr>
        <w:ind w:left="7530" w:hanging="180"/>
      </w:pPr>
    </w:lvl>
  </w:abstractNum>
  <w:abstractNum w:abstractNumId="11" w15:restartNumberingAfterBreak="0">
    <w:nsid w:val="19BE4602"/>
    <w:multiLevelType w:val="hybridMultilevel"/>
    <w:tmpl w:val="F724E8FC"/>
    <w:lvl w:ilvl="0" w:tplc="4C109558">
      <w:start w:val="1"/>
      <w:numFmt w:val="bullet"/>
      <w:lvlText w:val="-"/>
      <w:lvlJc w:val="left"/>
      <w:pPr>
        <w:ind w:left="720" w:hanging="360"/>
      </w:pPr>
      <w:rPr>
        <w:rFonts w:ascii="Corbel" w:eastAsiaTheme="minorHAnsi" w:hAnsi="Corbe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AE45190"/>
    <w:multiLevelType w:val="hybridMultilevel"/>
    <w:tmpl w:val="4F8CFD84"/>
    <w:lvl w:ilvl="0" w:tplc="52C4AC30">
      <w:start w:val="5"/>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2414BC2"/>
    <w:multiLevelType w:val="hybridMultilevel"/>
    <w:tmpl w:val="CD1EA6C8"/>
    <w:lvl w:ilvl="0" w:tplc="546C428E">
      <w:start w:val="3"/>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26B0D1D"/>
    <w:multiLevelType w:val="hybridMultilevel"/>
    <w:tmpl w:val="A3EE6586"/>
    <w:lvl w:ilvl="0" w:tplc="F0129FA2">
      <w:start w:val="4"/>
      <w:numFmt w:val="bullet"/>
      <w:lvlText w:val=""/>
      <w:lvlJc w:val="left"/>
      <w:pPr>
        <w:ind w:left="1428" w:hanging="360"/>
      </w:pPr>
      <w:rPr>
        <w:rFonts w:ascii="Wingdings" w:eastAsiaTheme="minorHAnsi" w:hAnsi="Wingdings" w:cstheme="minorBidi"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5" w15:restartNumberingAfterBreak="0">
    <w:nsid w:val="2653099E"/>
    <w:multiLevelType w:val="hybridMultilevel"/>
    <w:tmpl w:val="F544E7B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6DC0CE9"/>
    <w:multiLevelType w:val="hybridMultilevel"/>
    <w:tmpl w:val="F6522B56"/>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7" w15:restartNumberingAfterBreak="0">
    <w:nsid w:val="2BC31CD7"/>
    <w:multiLevelType w:val="hybridMultilevel"/>
    <w:tmpl w:val="20802B58"/>
    <w:lvl w:ilvl="0" w:tplc="3864AE44">
      <w:start w:val="19"/>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D72184B"/>
    <w:multiLevelType w:val="hybridMultilevel"/>
    <w:tmpl w:val="F3F81952"/>
    <w:lvl w:ilvl="0" w:tplc="A86CA3A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9" w15:restartNumberingAfterBreak="0">
    <w:nsid w:val="2EC20718"/>
    <w:multiLevelType w:val="hybridMultilevel"/>
    <w:tmpl w:val="C4B00954"/>
    <w:lvl w:ilvl="0" w:tplc="040C000B">
      <w:start w:val="1"/>
      <w:numFmt w:val="bullet"/>
      <w:lvlText w:val=""/>
      <w:lvlJc w:val="left"/>
      <w:pPr>
        <w:ind w:left="773" w:hanging="360"/>
      </w:pPr>
      <w:rPr>
        <w:rFonts w:ascii="Wingdings" w:hAnsi="Wingdings" w:hint="default"/>
      </w:rPr>
    </w:lvl>
    <w:lvl w:ilvl="1" w:tplc="040C0003" w:tentative="1">
      <w:start w:val="1"/>
      <w:numFmt w:val="bullet"/>
      <w:lvlText w:val="o"/>
      <w:lvlJc w:val="left"/>
      <w:pPr>
        <w:ind w:left="1493" w:hanging="360"/>
      </w:pPr>
      <w:rPr>
        <w:rFonts w:ascii="Courier New" w:hAnsi="Courier New" w:cs="Courier New" w:hint="default"/>
      </w:rPr>
    </w:lvl>
    <w:lvl w:ilvl="2" w:tplc="040C0005" w:tentative="1">
      <w:start w:val="1"/>
      <w:numFmt w:val="bullet"/>
      <w:lvlText w:val=""/>
      <w:lvlJc w:val="left"/>
      <w:pPr>
        <w:ind w:left="2213" w:hanging="360"/>
      </w:pPr>
      <w:rPr>
        <w:rFonts w:ascii="Wingdings" w:hAnsi="Wingdings" w:hint="default"/>
      </w:rPr>
    </w:lvl>
    <w:lvl w:ilvl="3" w:tplc="040C0001" w:tentative="1">
      <w:start w:val="1"/>
      <w:numFmt w:val="bullet"/>
      <w:lvlText w:val=""/>
      <w:lvlJc w:val="left"/>
      <w:pPr>
        <w:ind w:left="2933" w:hanging="360"/>
      </w:pPr>
      <w:rPr>
        <w:rFonts w:ascii="Symbol" w:hAnsi="Symbol" w:hint="default"/>
      </w:rPr>
    </w:lvl>
    <w:lvl w:ilvl="4" w:tplc="040C0003" w:tentative="1">
      <w:start w:val="1"/>
      <w:numFmt w:val="bullet"/>
      <w:lvlText w:val="o"/>
      <w:lvlJc w:val="left"/>
      <w:pPr>
        <w:ind w:left="3653" w:hanging="360"/>
      </w:pPr>
      <w:rPr>
        <w:rFonts w:ascii="Courier New" w:hAnsi="Courier New" w:cs="Courier New" w:hint="default"/>
      </w:rPr>
    </w:lvl>
    <w:lvl w:ilvl="5" w:tplc="040C0005" w:tentative="1">
      <w:start w:val="1"/>
      <w:numFmt w:val="bullet"/>
      <w:lvlText w:val=""/>
      <w:lvlJc w:val="left"/>
      <w:pPr>
        <w:ind w:left="4373" w:hanging="360"/>
      </w:pPr>
      <w:rPr>
        <w:rFonts w:ascii="Wingdings" w:hAnsi="Wingdings" w:hint="default"/>
      </w:rPr>
    </w:lvl>
    <w:lvl w:ilvl="6" w:tplc="040C0001" w:tentative="1">
      <w:start w:val="1"/>
      <w:numFmt w:val="bullet"/>
      <w:lvlText w:val=""/>
      <w:lvlJc w:val="left"/>
      <w:pPr>
        <w:ind w:left="5093" w:hanging="360"/>
      </w:pPr>
      <w:rPr>
        <w:rFonts w:ascii="Symbol" w:hAnsi="Symbol" w:hint="default"/>
      </w:rPr>
    </w:lvl>
    <w:lvl w:ilvl="7" w:tplc="040C0003" w:tentative="1">
      <w:start w:val="1"/>
      <w:numFmt w:val="bullet"/>
      <w:lvlText w:val="o"/>
      <w:lvlJc w:val="left"/>
      <w:pPr>
        <w:ind w:left="5813" w:hanging="360"/>
      </w:pPr>
      <w:rPr>
        <w:rFonts w:ascii="Courier New" w:hAnsi="Courier New" w:cs="Courier New" w:hint="default"/>
      </w:rPr>
    </w:lvl>
    <w:lvl w:ilvl="8" w:tplc="040C0005" w:tentative="1">
      <w:start w:val="1"/>
      <w:numFmt w:val="bullet"/>
      <w:lvlText w:val=""/>
      <w:lvlJc w:val="left"/>
      <w:pPr>
        <w:ind w:left="6533" w:hanging="360"/>
      </w:pPr>
      <w:rPr>
        <w:rFonts w:ascii="Wingdings" w:hAnsi="Wingdings" w:hint="default"/>
      </w:rPr>
    </w:lvl>
  </w:abstractNum>
  <w:abstractNum w:abstractNumId="20" w15:restartNumberingAfterBreak="0">
    <w:nsid w:val="2F2A0F11"/>
    <w:multiLevelType w:val="hybridMultilevel"/>
    <w:tmpl w:val="EDD0D75A"/>
    <w:lvl w:ilvl="0" w:tplc="040C000F">
      <w:start w:val="1"/>
      <w:numFmt w:val="decimal"/>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35F4125F"/>
    <w:multiLevelType w:val="hybridMultilevel"/>
    <w:tmpl w:val="1070091E"/>
    <w:lvl w:ilvl="0" w:tplc="040C0015">
      <w:start w:val="1"/>
      <w:numFmt w:val="upperLetter"/>
      <w:lvlText w:val="%1."/>
      <w:lvlJc w:val="left"/>
      <w:pPr>
        <w:ind w:left="106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2" w15:restartNumberingAfterBreak="0">
    <w:nsid w:val="36E232AE"/>
    <w:multiLevelType w:val="hybridMultilevel"/>
    <w:tmpl w:val="06040474"/>
    <w:lvl w:ilvl="0" w:tplc="84CE6B2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375E62C2"/>
    <w:multiLevelType w:val="hybridMultilevel"/>
    <w:tmpl w:val="C254C706"/>
    <w:lvl w:ilvl="0" w:tplc="6B20311E">
      <w:start w:val="5"/>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AFA44CC"/>
    <w:multiLevelType w:val="hybridMultilevel"/>
    <w:tmpl w:val="6C98997A"/>
    <w:lvl w:ilvl="0" w:tplc="B3928032">
      <w:start w:val="1"/>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3DF35F59"/>
    <w:multiLevelType w:val="hybridMultilevel"/>
    <w:tmpl w:val="52FE370E"/>
    <w:lvl w:ilvl="0" w:tplc="57BA171E">
      <w:start w:val="1"/>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6" w15:restartNumberingAfterBreak="0">
    <w:nsid w:val="3F295BC4"/>
    <w:multiLevelType w:val="hybridMultilevel"/>
    <w:tmpl w:val="6FC659E4"/>
    <w:lvl w:ilvl="0" w:tplc="6A8CF4AE">
      <w:start w:val="3"/>
      <w:numFmt w:val="bullet"/>
      <w:lvlText w:val=""/>
      <w:lvlJc w:val="left"/>
      <w:pPr>
        <w:ind w:left="1776" w:hanging="360"/>
      </w:pPr>
      <w:rPr>
        <w:rFonts w:ascii="Wingdings" w:eastAsiaTheme="minorHAnsi" w:hAnsi="Wingdings" w:cstheme="minorBidi" w:hint="default"/>
      </w:rPr>
    </w:lvl>
    <w:lvl w:ilvl="1" w:tplc="040C0003">
      <w:start w:val="1"/>
      <w:numFmt w:val="bullet"/>
      <w:lvlText w:val="o"/>
      <w:lvlJc w:val="left"/>
      <w:pPr>
        <w:ind w:left="2496" w:hanging="360"/>
      </w:pPr>
      <w:rPr>
        <w:rFonts w:ascii="Courier New" w:hAnsi="Courier New" w:cs="Courier New" w:hint="default"/>
      </w:rPr>
    </w:lvl>
    <w:lvl w:ilvl="2" w:tplc="040C0005">
      <w:start w:val="1"/>
      <w:numFmt w:val="bullet"/>
      <w:lvlText w:val=""/>
      <w:lvlJc w:val="left"/>
      <w:pPr>
        <w:ind w:left="3216" w:hanging="360"/>
      </w:pPr>
      <w:rPr>
        <w:rFonts w:ascii="Wingdings" w:hAnsi="Wingdings" w:hint="default"/>
      </w:rPr>
    </w:lvl>
    <w:lvl w:ilvl="3" w:tplc="040C0001">
      <w:start w:val="1"/>
      <w:numFmt w:val="bullet"/>
      <w:lvlText w:val=""/>
      <w:lvlJc w:val="left"/>
      <w:pPr>
        <w:ind w:left="3936" w:hanging="360"/>
      </w:pPr>
      <w:rPr>
        <w:rFonts w:ascii="Symbol" w:hAnsi="Symbol" w:hint="default"/>
      </w:rPr>
    </w:lvl>
    <w:lvl w:ilvl="4" w:tplc="040C0003">
      <w:start w:val="1"/>
      <w:numFmt w:val="bullet"/>
      <w:lvlText w:val="o"/>
      <w:lvlJc w:val="left"/>
      <w:pPr>
        <w:ind w:left="4656" w:hanging="360"/>
      </w:pPr>
      <w:rPr>
        <w:rFonts w:ascii="Courier New" w:hAnsi="Courier New" w:cs="Courier New" w:hint="default"/>
      </w:rPr>
    </w:lvl>
    <w:lvl w:ilvl="5" w:tplc="040C0005">
      <w:start w:val="1"/>
      <w:numFmt w:val="bullet"/>
      <w:lvlText w:val=""/>
      <w:lvlJc w:val="left"/>
      <w:pPr>
        <w:ind w:left="5376" w:hanging="360"/>
      </w:pPr>
      <w:rPr>
        <w:rFonts w:ascii="Wingdings" w:hAnsi="Wingdings" w:hint="default"/>
      </w:rPr>
    </w:lvl>
    <w:lvl w:ilvl="6" w:tplc="040C0001">
      <w:start w:val="1"/>
      <w:numFmt w:val="bullet"/>
      <w:lvlText w:val=""/>
      <w:lvlJc w:val="left"/>
      <w:pPr>
        <w:ind w:left="6096" w:hanging="360"/>
      </w:pPr>
      <w:rPr>
        <w:rFonts w:ascii="Symbol" w:hAnsi="Symbol" w:hint="default"/>
      </w:rPr>
    </w:lvl>
    <w:lvl w:ilvl="7" w:tplc="040C0003">
      <w:start w:val="1"/>
      <w:numFmt w:val="bullet"/>
      <w:lvlText w:val="o"/>
      <w:lvlJc w:val="left"/>
      <w:pPr>
        <w:ind w:left="6816" w:hanging="360"/>
      </w:pPr>
      <w:rPr>
        <w:rFonts w:ascii="Courier New" w:hAnsi="Courier New" w:cs="Courier New" w:hint="default"/>
      </w:rPr>
    </w:lvl>
    <w:lvl w:ilvl="8" w:tplc="040C0005">
      <w:start w:val="1"/>
      <w:numFmt w:val="bullet"/>
      <w:lvlText w:val=""/>
      <w:lvlJc w:val="left"/>
      <w:pPr>
        <w:ind w:left="7536" w:hanging="360"/>
      </w:pPr>
      <w:rPr>
        <w:rFonts w:ascii="Wingdings" w:hAnsi="Wingdings" w:hint="default"/>
      </w:rPr>
    </w:lvl>
  </w:abstractNum>
  <w:abstractNum w:abstractNumId="27" w15:restartNumberingAfterBreak="0">
    <w:nsid w:val="4124399F"/>
    <w:multiLevelType w:val="hybridMultilevel"/>
    <w:tmpl w:val="9BC66506"/>
    <w:lvl w:ilvl="0" w:tplc="32D0D92A">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8" w15:restartNumberingAfterBreak="0">
    <w:nsid w:val="420334A8"/>
    <w:multiLevelType w:val="hybridMultilevel"/>
    <w:tmpl w:val="FAD20DD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43223B5D"/>
    <w:multiLevelType w:val="hybridMultilevel"/>
    <w:tmpl w:val="19FAF1EE"/>
    <w:lvl w:ilvl="0" w:tplc="54E2E1F8">
      <w:start w:val="1"/>
      <w:numFmt w:val="decimal"/>
      <w:pStyle w:val="Titre1"/>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437355AC"/>
    <w:multiLevelType w:val="hybridMultilevel"/>
    <w:tmpl w:val="38324B22"/>
    <w:lvl w:ilvl="0" w:tplc="D7B85DA0">
      <w:start w:val="1"/>
      <w:numFmt w:val="bullet"/>
      <w:lvlText w:val=""/>
      <w:lvlJc w:val="left"/>
      <w:pPr>
        <w:ind w:left="1776" w:hanging="360"/>
      </w:pPr>
      <w:rPr>
        <w:rFonts w:ascii="Wingdings" w:eastAsiaTheme="minorHAnsi" w:hAnsi="Wingdings" w:cstheme="minorBidi" w:hint="default"/>
      </w:rPr>
    </w:lvl>
    <w:lvl w:ilvl="1" w:tplc="040C0003">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31" w15:restartNumberingAfterBreak="0">
    <w:nsid w:val="437A5246"/>
    <w:multiLevelType w:val="hybridMultilevel"/>
    <w:tmpl w:val="1960CEF0"/>
    <w:lvl w:ilvl="0" w:tplc="040C0019">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2" w15:restartNumberingAfterBreak="0">
    <w:nsid w:val="4AC239C3"/>
    <w:multiLevelType w:val="hybridMultilevel"/>
    <w:tmpl w:val="1AA48DBE"/>
    <w:lvl w:ilvl="0" w:tplc="3620E31A">
      <w:start w:val="1"/>
      <w:numFmt w:val="lowerLetter"/>
      <w:lvlText w:val="%1."/>
      <w:lvlJc w:val="left"/>
      <w:pPr>
        <w:ind w:left="1065" w:hanging="360"/>
      </w:pPr>
      <w:rPr>
        <w:rFonts w:ascii="Marianne" w:eastAsiaTheme="minorHAnsi" w:hAnsi="Marianne" w:cstheme="minorBidi"/>
      </w:rPr>
    </w:lvl>
    <w:lvl w:ilvl="1" w:tplc="040C0019" w:tentative="1">
      <w:start w:val="1"/>
      <w:numFmt w:val="lowerLetter"/>
      <w:lvlText w:val="%2."/>
      <w:lvlJc w:val="left"/>
      <w:pPr>
        <w:ind w:left="1785" w:hanging="360"/>
      </w:pPr>
    </w:lvl>
    <w:lvl w:ilvl="2" w:tplc="040C001B" w:tentative="1">
      <w:start w:val="1"/>
      <w:numFmt w:val="lowerRoman"/>
      <w:lvlText w:val="%3."/>
      <w:lvlJc w:val="right"/>
      <w:pPr>
        <w:ind w:left="2505" w:hanging="180"/>
      </w:pPr>
    </w:lvl>
    <w:lvl w:ilvl="3" w:tplc="040C000F" w:tentative="1">
      <w:start w:val="1"/>
      <w:numFmt w:val="decimal"/>
      <w:lvlText w:val="%4."/>
      <w:lvlJc w:val="left"/>
      <w:pPr>
        <w:ind w:left="3225" w:hanging="360"/>
      </w:pPr>
    </w:lvl>
    <w:lvl w:ilvl="4" w:tplc="040C0019" w:tentative="1">
      <w:start w:val="1"/>
      <w:numFmt w:val="lowerLetter"/>
      <w:lvlText w:val="%5."/>
      <w:lvlJc w:val="left"/>
      <w:pPr>
        <w:ind w:left="3945" w:hanging="360"/>
      </w:pPr>
    </w:lvl>
    <w:lvl w:ilvl="5" w:tplc="040C001B" w:tentative="1">
      <w:start w:val="1"/>
      <w:numFmt w:val="lowerRoman"/>
      <w:lvlText w:val="%6."/>
      <w:lvlJc w:val="right"/>
      <w:pPr>
        <w:ind w:left="4665" w:hanging="180"/>
      </w:pPr>
    </w:lvl>
    <w:lvl w:ilvl="6" w:tplc="040C000F" w:tentative="1">
      <w:start w:val="1"/>
      <w:numFmt w:val="decimal"/>
      <w:lvlText w:val="%7."/>
      <w:lvlJc w:val="left"/>
      <w:pPr>
        <w:ind w:left="5385" w:hanging="360"/>
      </w:pPr>
    </w:lvl>
    <w:lvl w:ilvl="7" w:tplc="040C0019" w:tentative="1">
      <w:start w:val="1"/>
      <w:numFmt w:val="lowerLetter"/>
      <w:lvlText w:val="%8."/>
      <w:lvlJc w:val="left"/>
      <w:pPr>
        <w:ind w:left="6105" w:hanging="360"/>
      </w:pPr>
    </w:lvl>
    <w:lvl w:ilvl="8" w:tplc="040C001B" w:tentative="1">
      <w:start w:val="1"/>
      <w:numFmt w:val="lowerRoman"/>
      <w:lvlText w:val="%9."/>
      <w:lvlJc w:val="right"/>
      <w:pPr>
        <w:ind w:left="6825" w:hanging="180"/>
      </w:pPr>
    </w:lvl>
  </w:abstractNum>
  <w:abstractNum w:abstractNumId="33" w15:restartNumberingAfterBreak="0">
    <w:nsid w:val="564F5B5B"/>
    <w:multiLevelType w:val="hybridMultilevel"/>
    <w:tmpl w:val="6656604C"/>
    <w:lvl w:ilvl="0" w:tplc="26222BE6">
      <w:start w:val="1"/>
      <w:numFmt w:val="lowerRoman"/>
      <w:lvlText w:val="%1)"/>
      <w:lvlJc w:val="left"/>
      <w:pPr>
        <w:ind w:left="2133" w:hanging="720"/>
      </w:pPr>
      <w:rPr>
        <w:rFonts w:hint="default"/>
      </w:rPr>
    </w:lvl>
    <w:lvl w:ilvl="1" w:tplc="040C0019" w:tentative="1">
      <w:start w:val="1"/>
      <w:numFmt w:val="lowerLetter"/>
      <w:lvlText w:val="%2."/>
      <w:lvlJc w:val="left"/>
      <w:pPr>
        <w:ind w:left="2493" w:hanging="360"/>
      </w:pPr>
    </w:lvl>
    <w:lvl w:ilvl="2" w:tplc="040C001B" w:tentative="1">
      <w:start w:val="1"/>
      <w:numFmt w:val="lowerRoman"/>
      <w:lvlText w:val="%3."/>
      <w:lvlJc w:val="right"/>
      <w:pPr>
        <w:ind w:left="3213" w:hanging="180"/>
      </w:pPr>
    </w:lvl>
    <w:lvl w:ilvl="3" w:tplc="040C000F" w:tentative="1">
      <w:start w:val="1"/>
      <w:numFmt w:val="decimal"/>
      <w:lvlText w:val="%4."/>
      <w:lvlJc w:val="left"/>
      <w:pPr>
        <w:ind w:left="3933" w:hanging="360"/>
      </w:pPr>
    </w:lvl>
    <w:lvl w:ilvl="4" w:tplc="040C0019" w:tentative="1">
      <w:start w:val="1"/>
      <w:numFmt w:val="lowerLetter"/>
      <w:lvlText w:val="%5."/>
      <w:lvlJc w:val="left"/>
      <w:pPr>
        <w:ind w:left="4653" w:hanging="360"/>
      </w:pPr>
    </w:lvl>
    <w:lvl w:ilvl="5" w:tplc="040C001B" w:tentative="1">
      <w:start w:val="1"/>
      <w:numFmt w:val="lowerRoman"/>
      <w:lvlText w:val="%6."/>
      <w:lvlJc w:val="right"/>
      <w:pPr>
        <w:ind w:left="5373" w:hanging="180"/>
      </w:pPr>
    </w:lvl>
    <w:lvl w:ilvl="6" w:tplc="040C000F" w:tentative="1">
      <w:start w:val="1"/>
      <w:numFmt w:val="decimal"/>
      <w:lvlText w:val="%7."/>
      <w:lvlJc w:val="left"/>
      <w:pPr>
        <w:ind w:left="6093" w:hanging="360"/>
      </w:pPr>
    </w:lvl>
    <w:lvl w:ilvl="7" w:tplc="040C0019" w:tentative="1">
      <w:start w:val="1"/>
      <w:numFmt w:val="lowerLetter"/>
      <w:lvlText w:val="%8."/>
      <w:lvlJc w:val="left"/>
      <w:pPr>
        <w:ind w:left="6813" w:hanging="360"/>
      </w:pPr>
    </w:lvl>
    <w:lvl w:ilvl="8" w:tplc="040C001B" w:tentative="1">
      <w:start w:val="1"/>
      <w:numFmt w:val="lowerRoman"/>
      <w:lvlText w:val="%9."/>
      <w:lvlJc w:val="right"/>
      <w:pPr>
        <w:ind w:left="7533" w:hanging="180"/>
      </w:pPr>
    </w:lvl>
  </w:abstractNum>
  <w:abstractNum w:abstractNumId="34" w15:restartNumberingAfterBreak="0">
    <w:nsid w:val="56DC0467"/>
    <w:multiLevelType w:val="hybridMultilevel"/>
    <w:tmpl w:val="40988FC0"/>
    <w:lvl w:ilvl="0" w:tplc="4CFA7EFE">
      <w:start w:val="7"/>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7825128"/>
    <w:multiLevelType w:val="hybridMultilevel"/>
    <w:tmpl w:val="D9922E36"/>
    <w:lvl w:ilvl="0" w:tplc="FE7C8EE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6" w15:restartNumberingAfterBreak="0">
    <w:nsid w:val="586E2ED4"/>
    <w:multiLevelType w:val="hybridMultilevel"/>
    <w:tmpl w:val="4CE2D9E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8D35ECF"/>
    <w:multiLevelType w:val="hybridMultilevel"/>
    <w:tmpl w:val="A3B28B9E"/>
    <w:lvl w:ilvl="0" w:tplc="1D2C6CCE">
      <w:start w:val="1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5B022810"/>
    <w:multiLevelType w:val="hybridMultilevel"/>
    <w:tmpl w:val="5712B708"/>
    <w:lvl w:ilvl="0" w:tplc="D45A1688">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63A61EA4"/>
    <w:multiLevelType w:val="hybridMultilevel"/>
    <w:tmpl w:val="3620F99C"/>
    <w:lvl w:ilvl="0" w:tplc="AC92CC10">
      <w:start w:val="3"/>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6A75B04"/>
    <w:multiLevelType w:val="hybridMultilevel"/>
    <w:tmpl w:val="DFAA343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675D1569"/>
    <w:multiLevelType w:val="hybridMultilevel"/>
    <w:tmpl w:val="C6B0FF86"/>
    <w:lvl w:ilvl="0" w:tplc="C2583580">
      <w:numFmt w:val="bullet"/>
      <w:lvlText w:val="-"/>
      <w:lvlJc w:val="left"/>
      <w:pPr>
        <w:ind w:left="1065" w:hanging="360"/>
      </w:pPr>
      <w:rPr>
        <w:rFonts w:ascii="Corbel" w:eastAsiaTheme="minorHAnsi" w:hAnsi="Corbel"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2" w15:restartNumberingAfterBreak="0">
    <w:nsid w:val="68DB610C"/>
    <w:multiLevelType w:val="hybridMultilevel"/>
    <w:tmpl w:val="B6CC37BE"/>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6ED478AB"/>
    <w:multiLevelType w:val="hybridMultilevel"/>
    <w:tmpl w:val="5C42C3F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15:restartNumberingAfterBreak="0">
    <w:nsid w:val="71D846B9"/>
    <w:multiLevelType w:val="hybridMultilevel"/>
    <w:tmpl w:val="67602958"/>
    <w:lvl w:ilvl="0" w:tplc="E4B6BB50">
      <w:start w:val="1"/>
      <w:numFmt w:val="low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45" w15:restartNumberingAfterBreak="0">
    <w:nsid w:val="726E3FD1"/>
    <w:multiLevelType w:val="hybridMultilevel"/>
    <w:tmpl w:val="9ABC8E96"/>
    <w:lvl w:ilvl="0" w:tplc="E342EC2A">
      <w:start w:val="2"/>
      <w:numFmt w:val="bullet"/>
      <w:lvlText w:val=""/>
      <w:lvlJc w:val="left"/>
      <w:pPr>
        <w:ind w:left="1776" w:hanging="360"/>
      </w:pPr>
      <w:rPr>
        <w:rFonts w:ascii="Wingdings" w:eastAsiaTheme="minorHAnsi" w:hAnsi="Wingdings" w:cstheme="minorBidi"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46" w15:restartNumberingAfterBreak="0">
    <w:nsid w:val="763E727D"/>
    <w:multiLevelType w:val="hybridMultilevel"/>
    <w:tmpl w:val="AA04E2FA"/>
    <w:lvl w:ilvl="0" w:tplc="4C0848EA">
      <w:start w:val="2"/>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91E4B03"/>
    <w:multiLevelType w:val="hybridMultilevel"/>
    <w:tmpl w:val="D08C032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15:restartNumberingAfterBreak="0">
    <w:nsid w:val="797D1395"/>
    <w:multiLevelType w:val="hybridMultilevel"/>
    <w:tmpl w:val="F348BDA8"/>
    <w:lvl w:ilvl="0" w:tplc="C7F210C6">
      <w:start w:val="1"/>
      <w:numFmt w:val="bullet"/>
      <w:lvlText w:val="-"/>
      <w:lvlJc w:val="left"/>
      <w:pPr>
        <w:ind w:left="360" w:hanging="360"/>
      </w:pPr>
      <w:rPr>
        <w:rFonts w:ascii="Calibri" w:eastAsiaTheme="minorHAns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9" w15:restartNumberingAfterBreak="0">
    <w:nsid w:val="7F983469"/>
    <w:multiLevelType w:val="hybridMultilevel"/>
    <w:tmpl w:val="B794337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49"/>
  </w:num>
  <w:num w:numId="2">
    <w:abstractNumId w:val="28"/>
  </w:num>
  <w:num w:numId="3">
    <w:abstractNumId w:val="25"/>
  </w:num>
  <w:num w:numId="4">
    <w:abstractNumId w:val="7"/>
  </w:num>
  <w:num w:numId="5">
    <w:abstractNumId w:val="21"/>
  </w:num>
  <w:num w:numId="6">
    <w:abstractNumId w:val="14"/>
  </w:num>
  <w:num w:numId="7">
    <w:abstractNumId w:val="2"/>
  </w:num>
  <w:num w:numId="8">
    <w:abstractNumId w:val="11"/>
  </w:num>
  <w:num w:numId="9">
    <w:abstractNumId w:val="35"/>
  </w:num>
  <w:num w:numId="10">
    <w:abstractNumId w:val="20"/>
  </w:num>
  <w:num w:numId="11">
    <w:abstractNumId w:val="39"/>
  </w:num>
  <w:num w:numId="12">
    <w:abstractNumId w:val="8"/>
  </w:num>
  <w:num w:numId="13">
    <w:abstractNumId w:val="0"/>
  </w:num>
  <w:num w:numId="14">
    <w:abstractNumId w:val="41"/>
  </w:num>
  <w:num w:numId="15">
    <w:abstractNumId w:val="43"/>
  </w:num>
  <w:num w:numId="16">
    <w:abstractNumId w:val="24"/>
  </w:num>
  <w:num w:numId="17">
    <w:abstractNumId w:val="18"/>
  </w:num>
  <w:num w:numId="18">
    <w:abstractNumId w:val="45"/>
  </w:num>
  <w:num w:numId="19">
    <w:abstractNumId w:val="10"/>
  </w:num>
  <w:num w:numId="20">
    <w:abstractNumId w:val="32"/>
  </w:num>
  <w:num w:numId="21">
    <w:abstractNumId w:val="44"/>
  </w:num>
  <w:num w:numId="22">
    <w:abstractNumId w:val="31"/>
  </w:num>
  <w:num w:numId="23">
    <w:abstractNumId w:val="42"/>
  </w:num>
  <w:num w:numId="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6"/>
  </w:num>
  <w:num w:numId="26">
    <w:abstractNumId w:val="30"/>
  </w:num>
  <w:num w:numId="27">
    <w:abstractNumId w:val="12"/>
  </w:num>
  <w:num w:numId="28">
    <w:abstractNumId w:val="40"/>
  </w:num>
  <w:num w:numId="29">
    <w:abstractNumId w:val="33"/>
  </w:num>
  <w:num w:numId="30">
    <w:abstractNumId w:val="27"/>
  </w:num>
  <w:num w:numId="31">
    <w:abstractNumId w:val="37"/>
  </w:num>
  <w:num w:numId="32">
    <w:abstractNumId w:val="9"/>
  </w:num>
  <w:num w:numId="33">
    <w:abstractNumId w:val="3"/>
  </w:num>
  <w:num w:numId="34">
    <w:abstractNumId w:val="5"/>
  </w:num>
  <w:num w:numId="35">
    <w:abstractNumId w:val="17"/>
  </w:num>
  <w:num w:numId="36">
    <w:abstractNumId w:val="47"/>
  </w:num>
  <w:num w:numId="37">
    <w:abstractNumId w:val="34"/>
  </w:num>
  <w:num w:numId="38">
    <w:abstractNumId w:val="23"/>
  </w:num>
  <w:num w:numId="39">
    <w:abstractNumId w:val="1"/>
  </w:num>
  <w:num w:numId="40">
    <w:abstractNumId w:val="6"/>
  </w:num>
  <w:num w:numId="41">
    <w:abstractNumId w:val="38"/>
  </w:num>
  <w:num w:numId="42">
    <w:abstractNumId w:val="19"/>
  </w:num>
  <w:num w:numId="43">
    <w:abstractNumId w:val="29"/>
  </w:num>
  <w:num w:numId="44">
    <w:abstractNumId w:val="48"/>
  </w:num>
  <w:num w:numId="45">
    <w:abstractNumId w:val="36"/>
  </w:num>
  <w:num w:numId="46">
    <w:abstractNumId w:val="13"/>
  </w:num>
  <w:num w:numId="47">
    <w:abstractNumId w:val="15"/>
  </w:num>
  <w:num w:numId="48">
    <w:abstractNumId w:val="4"/>
  </w:num>
  <w:num w:numId="49">
    <w:abstractNumId w:val="22"/>
  </w:num>
  <w:num w:numId="50">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EC2"/>
    <w:rsid w:val="00010AA0"/>
    <w:rsid w:val="00023A3B"/>
    <w:rsid w:val="00025E42"/>
    <w:rsid w:val="00035789"/>
    <w:rsid w:val="00084033"/>
    <w:rsid w:val="00085DA8"/>
    <w:rsid w:val="000C5F95"/>
    <w:rsid w:val="000E5424"/>
    <w:rsid w:val="000F5163"/>
    <w:rsid w:val="00113A59"/>
    <w:rsid w:val="00126A3B"/>
    <w:rsid w:val="00146FFD"/>
    <w:rsid w:val="001B283D"/>
    <w:rsid w:val="001C29A4"/>
    <w:rsid w:val="001C7B78"/>
    <w:rsid w:val="001E60AA"/>
    <w:rsid w:val="00226142"/>
    <w:rsid w:val="00233887"/>
    <w:rsid w:val="00240121"/>
    <w:rsid w:val="0024289D"/>
    <w:rsid w:val="00255CE1"/>
    <w:rsid w:val="00281E86"/>
    <w:rsid w:val="00286F1B"/>
    <w:rsid w:val="002C1AA4"/>
    <w:rsid w:val="002D1D7E"/>
    <w:rsid w:val="0031191B"/>
    <w:rsid w:val="00330785"/>
    <w:rsid w:val="0035483D"/>
    <w:rsid w:val="00360C57"/>
    <w:rsid w:val="003C72BC"/>
    <w:rsid w:val="003D6D9C"/>
    <w:rsid w:val="003E7119"/>
    <w:rsid w:val="00400744"/>
    <w:rsid w:val="00401D24"/>
    <w:rsid w:val="004029E4"/>
    <w:rsid w:val="00446D4A"/>
    <w:rsid w:val="00453E29"/>
    <w:rsid w:val="00455EE8"/>
    <w:rsid w:val="00496CF9"/>
    <w:rsid w:val="004A7385"/>
    <w:rsid w:val="004B4FF1"/>
    <w:rsid w:val="004C6849"/>
    <w:rsid w:val="004D28E8"/>
    <w:rsid w:val="004D5A6B"/>
    <w:rsid w:val="004E4D9B"/>
    <w:rsid w:val="004E671A"/>
    <w:rsid w:val="004F21D4"/>
    <w:rsid w:val="0058156D"/>
    <w:rsid w:val="005903F0"/>
    <w:rsid w:val="00595E10"/>
    <w:rsid w:val="005A5D9F"/>
    <w:rsid w:val="005B336B"/>
    <w:rsid w:val="005C459B"/>
    <w:rsid w:val="005F1302"/>
    <w:rsid w:val="00656DEF"/>
    <w:rsid w:val="00685EFB"/>
    <w:rsid w:val="006871A5"/>
    <w:rsid w:val="006B2261"/>
    <w:rsid w:val="006C3BD9"/>
    <w:rsid w:val="006C6E88"/>
    <w:rsid w:val="006E6ECE"/>
    <w:rsid w:val="00733B61"/>
    <w:rsid w:val="00736B06"/>
    <w:rsid w:val="007515D2"/>
    <w:rsid w:val="007644C7"/>
    <w:rsid w:val="007729B3"/>
    <w:rsid w:val="007E3B83"/>
    <w:rsid w:val="007E5D87"/>
    <w:rsid w:val="00800E9F"/>
    <w:rsid w:val="00823E6C"/>
    <w:rsid w:val="008505AF"/>
    <w:rsid w:val="00851E76"/>
    <w:rsid w:val="008A09B4"/>
    <w:rsid w:val="008A1D7E"/>
    <w:rsid w:val="008A4068"/>
    <w:rsid w:val="008A496E"/>
    <w:rsid w:val="008B456C"/>
    <w:rsid w:val="008D3210"/>
    <w:rsid w:val="008D5495"/>
    <w:rsid w:val="008D7613"/>
    <w:rsid w:val="008E085F"/>
    <w:rsid w:val="008F40DA"/>
    <w:rsid w:val="00953AFC"/>
    <w:rsid w:val="00967A43"/>
    <w:rsid w:val="00973D17"/>
    <w:rsid w:val="00976986"/>
    <w:rsid w:val="00983FC2"/>
    <w:rsid w:val="009B33F1"/>
    <w:rsid w:val="009B5E16"/>
    <w:rsid w:val="009C26B3"/>
    <w:rsid w:val="009F6CD3"/>
    <w:rsid w:val="00A01971"/>
    <w:rsid w:val="00A0476D"/>
    <w:rsid w:val="00A307A1"/>
    <w:rsid w:val="00A34CD6"/>
    <w:rsid w:val="00A6435E"/>
    <w:rsid w:val="00A71EC2"/>
    <w:rsid w:val="00A74517"/>
    <w:rsid w:val="00A801AB"/>
    <w:rsid w:val="00A9325F"/>
    <w:rsid w:val="00AA2B66"/>
    <w:rsid w:val="00AB502B"/>
    <w:rsid w:val="00AB7F4B"/>
    <w:rsid w:val="00AD3C1F"/>
    <w:rsid w:val="00AE5583"/>
    <w:rsid w:val="00B14B0D"/>
    <w:rsid w:val="00B23097"/>
    <w:rsid w:val="00B87E2E"/>
    <w:rsid w:val="00BC3E07"/>
    <w:rsid w:val="00BD0E2D"/>
    <w:rsid w:val="00BD5A1D"/>
    <w:rsid w:val="00C02C8A"/>
    <w:rsid w:val="00C17A13"/>
    <w:rsid w:val="00C3229F"/>
    <w:rsid w:val="00C33B33"/>
    <w:rsid w:val="00C351CF"/>
    <w:rsid w:val="00C4761D"/>
    <w:rsid w:val="00C55C11"/>
    <w:rsid w:val="00C61708"/>
    <w:rsid w:val="00CF5087"/>
    <w:rsid w:val="00D04448"/>
    <w:rsid w:val="00D046FD"/>
    <w:rsid w:val="00D06DD3"/>
    <w:rsid w:val="00D17F8D"/>
    <w:rsid w:val="00D301E0"/>
    <w:rsid w:val="00D527A1"/>
    <w:rsid w:val="00D55DA9"/>
    <w:rsid w:val="00D625A2"/>
    <w:rsid w:val="00D7609C"/>
    <w:rsid w:val="00D830F0"/>
    <w:rsid w:val="00DA1875"/>
    <w:rsid w:val="00DA25AF"/>
    <w:rsid w:val="00E03A30"/>
    <w:rsid w:val="00E11A39"/>
    <w:rsid w:val="00E57004"/>
    <w:rsid w:val="00E82AE6"/>
    <w:rsid w:val="00ED3281"/>
    <w:rsid w:val="00F104D4"/>
    <w:rsid w:val="00F10EC1"/>
    <w:rsid w:val="00F3189A"/>
    <w:rsid w:val="00F40EA9"/>
    <w:rsid w:val="00F53229"/>
    <w:rsid w:val="00F55EDD"/>
    <w:rsid w:val="00F854AF"/>
    <w:rsid w:val="00FD585A"/>
    <w:rsid w:val="00FF3504"/>
    <w:rsid w:val="00FF7FF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ED27B"/>
  <w15:chartTrackingRefBased/>
  <w15:docId w15:val="{2CCD2877-6A8A-4F7A-A803-407E0B183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rbel" w:eastAsiaTheme="minorHAnsi" w:hAnsi="Corbel" w:cstheme="minorBidi"/>
        <w:sz w:val="22"/>
        <w:szCs w:val="22"/>
        <w:lang w:val="fr-F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7644C7"/>
    <w:pPr>
      <w:keepNext/>
      <w:keepLines/>
      <w:numPr>
        <w:numId w:val="43"/>
      </w:numPr>
      <w:spacing w:before="360" w:after="120" w:line="259" w:lineRule="auto"/>
      <w:outlineLvl w:val="0"/>
    </w:pPr>
    <w:rPr>
      <w:rFonts w:asciiTheme="majorHAnsi" w:eastAsiaTheme="majorEastAsia" w:hAnsiTheme="majorHAnsi" w:cstheme="majorBidi"/>
      <w:b/>
      <w:szCs w:val="32"/>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71EC2"/>
    <w:pPr>
      <w:ind w:left="720"/>
      <w:contextualSpacing/>
    </w:pPr>
  </w:style>
  <w:style w:type="paragraph" w:styleId="Textedebulles">
    <w:name w:val="Balloon Text"/>
    <w:basedOn w:val="Normal"/>
    <w:link w:val="TextedebullesCar"/>
    <w:uiPriority w:val="99"/>
    <w:semiHidden/>
    <w:unhideWhenUsed/>
    <w:rsid w:val="00A01971"/>
    <w:rPr>
      <w:rFonts w:ascii="Segoe UI" w:hAnsi="Segoe UI" w:cs="Segoe UI"/>
      <w:sz w:val="18"/>
      <w:szCs w:val="18"/>
    </w:rPr>
  </w:style>
  <w:style w:type="character" w:customStyle="1" w:styleId="TextedebullesCar">
    <w:name w:val="Texte de bulles Car"/>
    <w:basedOn w:val="Policepardfaut"/>
    <w:link w:val="Textedebulles"/>
    <w:uiPriority w:val="99"/>
    <w:semiHidden/>
    <w:rsid w:val="00A01971"/>
    <w:rPr>
      <w:rFonts w:ascii="Segoe UI" w:hAnsi="Segoe UI" w:cs="Segoe UI"/>
      <w:sz w:val="18"/>
      <w:szCs w:val="18"/>
    </w:rPr>
  </w:style>
  <w:style w:type="paragraph" w:styleId="En-tte">
    <w:name w:val="header"/>
    <w:basedOn w:val="Normal"/>
    <w:link w:val="En-tteCar"/>
    <w:uiPriority w:val="99"/>
    <w:unhideWhenUsed/>
    <w:rsid w:val="00973D17"/>
    <w:pPr>
      <w:tabs>
        <w:tab w:val="center" w:pos="4536"/>
        <w:tab w:val="right" w:pos="9072"/>
      </w:tabs>
    </w:pPr>
  </w:style>
  <w:style w:type="character" w:customStyle="1" w:styleId="En-tteCar">
    <w:name w:val="En-tête Car"/>
    <w:basedOn w:val="Policepardfaut"/>
    <w:link w:val="En-tte"/>
    <w:uiPriority w:val="99"/>
    <w:rsid w:val="00973D17"/>
  </w:style>
  <w:style w:type="paragraph" w:styleId="Pieddepage">
    <w:name w:val="footer"/>
    <w:basedOn w:val="Normal"/>
    <w:link w:val="PieddepageCar"/>
    <w:uiPriority w:val="99"/>
    <w:unhideWhenUsed/>
    <w:rsid w:val="00973D17"/>
    <w:pPr>
      <w:tabs>
        <w:tab w:val="center" w:pos="4536"/>
        <w:tab w:val="right" w:pos="9072"/>
      </w:tabs>
    </w:pPr>
  </w:style>
  <w:style w:type="character" w:customStyle="1" w:styleId="PieddepageCar">
    <w:name w:val="Pied de page Car"/>
    <w:basedOn w:val="Policepardfaut"/>
    <w:link w:val="Pieddepage"/>
    <w:uiPriority w:val="99"/>
    <w:rsid w:val="00973D17"/>
  </w:style>
  <w:style w:type="paragraph" w:customStyle="1" w:styleId="Default">
    <w:name w:val="Default"/>
    <w:rsid w:val="000C5F95"/>
    <w:pPr>
      <w:autoSpaceDE w:val="0"/>
      <w:autoSpaceDN w:val="0"/>
      <w:adjustRightInd w:val="0"/>
    </w:pPr>
    <w:rPr>
      <w:rFonts w:ascii="Calibri" w:hAnsi="Calibri" w:cs="Calibri"/>
      <w:color w:val="000000"/>
      <w:sz w:val="24"/>
      <w:szCs w:val="24"/>
    </w:rPr>
  </w:style>
  <w:style w:type="character" w:customStyle="1" w:styleId="surligne">
    <w:name w:val="surligne"/>
    <w:basedOn w:val="Policepardfaut"/>
    <w:rsid w:val="00DA25AF"/>
  </w:style>
  <w:style w:type="paragraph" w:styleId="Sansinterligne">
    <w:name w:val="No Spacing"/>
    <w:qFormat/>
    <w:rsid w:val="00D7609C"/>
    <w:rPr>
      <w:rFonts w:asciiTheme="minorHAnsi" w:hAnsiTheme="minorHAnsi"/>
    </w:rPr>
  </w:style>
  <w:style w:type="character" w:customStyle="1" w:styleId="Titre1Car">
    <w:name w:val="Titre 1 Car"/>
    <w:basedOn w:val="Policepardfaut"/>
    <w:link w:val="Titre1"/>
    <w:uiPriority w:val="9"/>
    <w:rsid w:val="007644C7"/>
    <w:rPr>
      <w:rFonts w:asciiTheme="majorHAnsi" w:eastAsiaTheme="majorEastAsia" w:hAnsiTheme="majorHAnsi" w:cstheme="majorBidi"/>
      <w:b/>
      <w:szCs w:val="32"/>
      <w:u w:val="single"/>
    </w:rPr>
  </w:style>
  <w:style w:type="table" w:styleId="Grilledutableau">
    <w:name w:val="Table Grid"/>
    <w:basedOn w:val="TableauNormal"/>
    <w:uiPriority w:val="39"/>
    <w:rsid w:val="007644C7"/>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7644C7"/>
    <w:rPr>
      <w:color w:val="0000FF"/>
      <w:u w:val="single"/>
    </w:rPr>
  </w:style>
  <w:style w:type="paragraph" w:styleId="Notedebasdepage">
    <w:name w:val="footnote text"/>
    <w:basedOn w:val="Normal"/>
    <w:link w:val="NotedebasdepageCar"/>
    <w:uiPriority w:val="99"/>
    <w:semiHidden/>
    <w:unhideWhenUsed/>
    <w:rsid w:val="007644C7"/>
    <w:rPr>
      <w:rFonts w:asciiTheme="minorHAnsi" w:hAnsiTheme="minorHAnsi"/>
      <w:sz w:val="20"/>
      <w:szCs w:val="20"/>
    </w:rPr>
  </w:style>
  <w:style w:type="character" w:customStyle="1" w:styleId="NotedebasdepageCar">
    <w:name w:val="Note de bas de page Car"/>
    <w:basedOn w:val="Policepardfaut"/>
    <w:link w:val="Notedebasdepage"/>
    <w:uiPriority w:val="99"/>
    <w:semiHidden/>
    <w:rsid w:val="007644C7"/>
    <w:rPr>
      <w:rFonts w:asciiTheme="minorHAnsi" w:hAnsiTheme="minorHAnsi"/>
      <w:sz w:val="20"/>
      <w:szCs w:val="20"/>
    </w:rPr>
  </w:style>
  <w:style w:type="character" w:styleId="Appelnotedebasdep">
    <w:name w:val="footnote reference"/>
    <w:basedOn w:val="Policepardfaut"/>
    <w:uiPriority w:val="99"/>
    <w:semiHidden/>
    <w:unhideWhenUsed/>
    <w:rsid w:val="007644C7"/>
    <w:rPr>
      <w:vertAlign w:val="superscript"/>
    </w:rPr>
  </w:style>
  <w:style w:type="character" w:styleId="Lienhypertextesuivivisit">
    <w:name w:val="FollowedHyperlink"/>
    <w:basedOn w:val="Policepardfaut"/>
    <w:uiPriority w:val="99"/>
    <w:semiHidden/>
    <w:unhideWhenUsed/>
    <w:rsid w:val="004E671A"/>
    <w:rPr>
      <w:color w:val="954F72" w:themeColor="followedHyperlink"/>
      <w:u w:val="single"/>
    </w:rPr>
  </w:style>
  <w:style w:type="paragraph" w:styleId="Corpsdetexte">
    <w:name w:val="Body Text"/>
    <w:basedOn w:val="Normal"/>
    <w:link w:val="CorpsdetexteCar"/>
    <w:uiPriority w:val="1"/>
    <w:qFormat/>
    <w:rsid w:val="007E3B83"/>
    <w:pPr>
      <w:widowControl w:val="0"/>
      <w:autoSpaceDE w:val="0"/>
      <w:autoSpaceDN w:val="0"/>
      <w:spacing w:line="276" w:lineRule="auto"/>
    </w:pPr>
    <w:rPr>
      <w:rFonts w:ascii="Arial" w:hAnsi="Arial" w:cs="Arial"/>
      <w:sz w:val="20"/>
    </w:rPr>
  </w:style>
  <w:style w:type="character" w:customStyle="1" w:styleId="CorpsdetexteCar">
    <w:name w:val="Corps de texte Car"/>
    <w:basedOn w:val="Policepardfaut"/>
    <w:link w:val="Corpsdetexte"/>
    <w:uiPriority w:val="1"/>
    <w:rsid w:val="007E3B83"/>
    <w:rPr>
      <w:rFonts w:ascii="Arial" w:hAnsi="Arial" w:cs="Arial"/>
      <w:sz w:val="20"/>
    </w:rPr>
  </w:style>
  <w:style w:type="paragraph" w:styleId="NormalWeb">
    <w:name w:val="Normal (Web)"/>
    <w:basedOn w:val="Normal"/>
    <w:uiPriority w:val="99"/>
    <w:unhideWhenUsed/>
    <w:rsid w:val="007E3B83"/>
    <w:pPr>
      <w:spacing w:before="100" w:beforeAutospacing="1" w:after="100" w:afterAutospacing="1"/>
    </w:pPr>
    <w:rPr>
      <w:rFonts w:ascii="Times New Roman" w:eastAsia="Times New Roman" w:hAnsi="Times New Roman" w:cs="Times New Roman"/>
      <w:sz w:val="24"/>
      <w:szCs w:val="24"/>
      <w:lang w:eastAsia="fr-FR"/>
    </w:rPr>
  </w:style>
  <w:style w:type="character" w:customStyle="1" w:styleId="fontstyle01">
    <w:name w:val="fontstyle01"/>
    <w:basedOn w:val="Policepardfaut"/>
    <w:rsid w:val="007E3B83"/>
    <w:rPr>
      <w:rFonts w:ascii="TimesNewRomanPSMT" w:hAnsi="TimesNewRomanPSMT" w:hint="default"/>
      <w:b w:val="0"/>
      <w:bCs w:val="0"/>
      <w:i w:val="0"/>
      <w:iCs w:val="0"/>
      <w:color w:val="000000"/>
      <w:sz w:val="24"/>
      <w:szCs w:val="24"/>
    </w:rPr>
  </w:style>
  <w:style w:type="paragraph" w:customStyle="1" w:styleId="xmsonormal">
    <w:name w:val="x_msonormal"/>
    <w:basedOn w:val="Normal"/>
    <w:rsid w:val="007E3B83"/>
    <w:rPr>
      <w:rFonts w:ascii="Times New Roman" w:hAnsi="Times New Roman" w:cs="Times New Roman"/>
      <w:sz w:val="24"/>
      <w:szCs w:val="24"/>
      <w:lang w:eastAsia="fr-FR"/>
    </w:rPr>
  </w:style>
  <w:style w:type="paragraph" w:customStyle="1" w:styleId="xmsolistparagraph">
    <w:name w:val="x_msolistparagraph"/>
    <w:basedOn w:val="Normal"/>
    <w:rsid w:val="007E3B83"/>
    <w:pPr>
      <w:ind w:left="720"/>
    </w:pPr>
    <w:rPr>
      <w:rFonts w:ascii="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1474298">
      <w:bodyDiv w:val="1"/>
      <w:marLeft w:val="0"/>
      <w:marRight w:val="0"/>
      <w:marTop w:val="0"/>
      <w:marBottom w:val="0"/>
      <w:divBdr>
        <w:top w:val="none" w:sz="0" w:space="0" w:color="auto"/>
        <w:left w:val="none" w:sz="0" w:space="0" w:color="auto"/>
        <w:bottom w:val="none" w:sz="0" w:space="0" w:color="auto"/>
        <w:right w:val="none" w:sz="0" w:space="0" w:color="auto"/>
      </w:divBdr>
    </w:div>
    <w:div w:id="304241535">
      <w:bodyDiv w:val="1"/>
      <w:marLeft w:val="0"/>
      <w:marRight w:val="0"/>
      <w:marTop w:val="0"/>
      <w:marBottom w:val="0"/>
      <w:divBdr>
        <w:top w:val="none" w:sz="0" w:space="0" w:color="auto"/>
        <w:left w:val="none" w:sz="0" w:space="0" w:color="auto"/>
        <w:bottom w:val="none" w:sz="0" w:space="0" w:color="auto"/>
        <w:right w:val="none" w:sz="0" w:space="0" w:color="auto"/>
      </w:divBdr>
    </w:div>
    <w:div w:id="348876309">
      <w:bodyDiv w:val="1"/>
      <w:marLeft w:val="0"/>
      <w:marRight w:val="0"/>
      <w:marTop w:val="0"/>
      <w:marBottom w:val="0"/>
      <w:divBdr>
        <w:top w:val="none" w:sz="0" w:space="0" w:color="auto"/>
        <w:left w:val="none" w:sz="0" w:space="0" w:color="auto"/>
        <w:bottom w:val="none" w:sz="0" w:space="0" w:color="auto"/>
        <w:right w:val="none" w:sz="0" w:space="0" w:color="auto"/>
      </w:divBdr>
    </w:div>
    <w:div w:id="911619198">
      <w:bodyDiv w:val="1"/>
      <w:marLeft w:val="0"/>
      <w:marRight w:val="0"/>
      <w:marTop w:val="0"/>
      <w:marBottom w:val="0"/>
      <w:divBdr>
        <w:top w:val="none" w:sz="0" w:space="0" w:color="auto"/>
        <w:left w:val="none" w:sz="0" w:space="0" w:color="auto"/>
        <w:bottom w:val="none" w:sz="0" w:space="0" w:color="auto"/>
        <w:right w:val="none" w:sz="0" w:space="0" w:color="auto"/>
      </w:divBdr>
    </w:div>
    <w:div w:id="119951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france.gouv.fr/codes/article_lc/LEGIARTI000006390227/"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legifrance.gouv.fr/codes/section_lc/LEGITEXT000006072665/LEGISCTA000033217194?idSecParent=LEGISCTA000006178568&amp;anchor=LEGISCTA000033217197" TargetMode="External"/><Relationship Id="rId4" Type="http://schemas.openxmlformats.org/officeDocument/2006/relationships/webSettings" Target="webSettings.xml"/><Relationship Id="rId9" Type="http://schemas.openxmlformats.org/officeDocument/2006/relationships/hyperlink" Target="https://www.legifrance.gouv.fr/codes/article_lc/LEGIARTI000041748545/"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2186</Words>
  <Characters>12028</Characters>
  <Application>Microsoft Office Word</Application>
  <DocSecurity>0</DocSecurity>
  <Lines>100</Lines>
  <Paragraphs>28</Paragraphs>
  <ScaleCrop>false</ScaleCrop>
  <HeadingPairs>
    <vt:vector size="2" baseType="variant">
      <vt:variant>
        <vt:lpstr>Titre</vt:lpstr>
      </vt:variant>
      <vt:variant>
        <vt:i4>1</vt:i4>
      </vt:variant>
    </vt:vector>
  </HeadingPairs>
  <TitlesOfParts>
    <vt:vector size="1" baseType="lpstr">
      <vt:lpstr/>
    </vt:vector>
  </TitlesOfParts>
  <Company>BPT/DNUM</Company>
  <LinksUpToDate>false</LinksUpToDate>
  <CharactersWithSpaces>14186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BEGUE, Romain (CAB/SANTE)</dc:creator>
  <cp:keywords/>
  <dc:description/>
  <cp:lastModifiedBy>BOUSQUET-BERARD, Carole (CAB/SANTE)</cp:lastModifiedBy>
  <cp:revision>2</cp:revision>
  <cp:lastPrinted>2022-06-30T00:09:00Z</cp:lastPrinted>
  <dcterms:created xsi:type="dcterms:W3CDTF">2022-11-10T10:48:00Z</dcterms:created>
  <dcterms:modified xsi:type="dcterms:W3CDTF">2022-11-10T10:48:00Z</dcterms:modified>
</cp:coreProperties>
</file>