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EF0" w:rsidRDefault="00F40EF0" w:rsidP="00F40EF0">
      <w:pPr>
        <w:spacing w:after="0"/>
        <w:jc w:val="center"/>
        <w:rPr>
          <w:rFonts w:ascii="Arial" w:hAnsi="Arial" w:cs="Arial"/>
          <w:b/>
        </w:rPr>
      </w:pPr>
      <w:r w:rsidRPr="00F40EF0">
        <w:rPr>
          <w:rFonts w:ascii="Arial" w:hAnsi="Arial" w:cs="Arial"/>
          <w:b/>
        </w:rPr>
        <w:t xml:space="preserve">OBJECTIFS NATIONAUX ET REGIONAUX </w:t>
      </w:r>
    </w:p>
    <w:p w:rsidR="00F40EF0" w:rsidRDefault="00F40EF0" w:rsidP="00F40EF0">
      <w:pPr>
        <w:spacing w:after="0"/>
        <w:jc w:val="center"/>
        <w:rPr>
          <w:rFonts w:ascii="Arial" w:hAnsi="Arial" w:cs="Arial"/>
          <w:b/>
        </w:rPr>
      </w:pPr>
      <w:r w:rsidRPr="00F40EF0">
        <w:rPr>
          <w:rFonts w:ascii="Arial" w:hAnsi="Arial" w:cs="Arial"/>
          <w:b/>
        </w:rPr>
        <w:t xml:space="preserve">DANS LE CADRE DU NOUVEAU PLAN MINISTERIEL </w:t>
      </w:r>
    </w:p>
    <w:p w:rsidR="00F40EF0" w:rsidRPr="00F40EF0" w:rsidRDefault="00F40EF0" w:rsidP="00F40EF0">
      <w:pPr>
        <w:spacing w:after="0"/>
        <w:jc w:val="center"/>
        <w:rPr>
          <w:rFonts w:ascii="Arial" w:hAnsi="Arial" w:cs="Arial"/>
          <w:b/>
        </w:rPr>
      </w:pPr>
      <w:r w:rsidRPr="00F40EF0">
        <w:rPr>
          <w:rFonts w:ascii="Arial" w:hAnsi="Arial" w:cs="Arial"/>
          <w:b/>
        </w:rPr>
        <w:t>POUR LE PRELEVEMENT ET LA GREFFE D’ORGANES ET DE TISSUS</w:t>
      </w:r>
    </w:p>
    <w:p w:rsidR="00F40EF0" w:rsidRPr="00F40EF0" w:rsidRDefault="00F40EF0" w:rsidP="00F40EF0">
      <w:pPr>
        <w:spacing w:after="0"/>
        <w:jc w:val="center"/>
        <w:rPr>
          <w:rFonts w:ascii="Arial" w:hAnsi="Arial" w:cs="Arial"/>
          <w:b/>
        </w:rPr>
      </w:pPr>
      <w:r w:rsidRPr="00F40EF0">
        <w:rPr>
          <w:rFonts w:ascii="Arial" w:hAnsi="Arial" w:cs="Arial"/>
          <w:b/>
        </w:rPr>
        <w:t>_____________</w:t>
      </w:r>
    </w:p>
    <w:p w:rsidR="00F40EF0" w:rsidRPr="00F40EF0" w:rsidRDefault="00F40EF0" w:rsidP="00F40EF0">
      <w:pPr>
        <w:spacing w:after="0"/>
        <w:jc w:val="center"/>
        <w:rPr>
          <w:rFonts w:ascii="Arial" w:hAnsi="Arial" w:cs="Arial"/>
          <w:b/>
        </w:rPr>
      </w:pPr>
    </w:p>
    <w:p w:rsidR="00F40EF0" w:rsidRDefault="00F40EF0" w:rsidP="00F40EF0">
      <w:pPr>
        <w:spacing w:after="0"/>
        <w:rPr>
          <w:rFonts w:ascii="Arial" w:hAnsi="Arial" w:cs="Arial"/>
        </w:rPr>
      </w:pPr>
    </w:p>
    <w:p w:rsidR="005013A0" w:rsidRDefault="005013A0" w:rsidP="00F40EF0">
      <w:pPr>
        <w:spacing w:after="0"/>
        <w:jc w:val="both"/>
        <w:rPr>
          <w:rFonts w:ascii="Arial" w:hAnsi="Arial" w:cs="Arial"/>
        </w:rPr>
      </w:pPr>
    </w:p>
    <w:p w:rsidR="00726B43" w:rsidRDefault="00F40EF0" w:rsidP="00F40EF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Le nouveau plan ministériel pour le prélèvement et la greffe d’organes et de tissus définit plusieurs objectifs quantifiés à l’échelle nationale</w:t>
      </w:r>
      <w:r w:rsidR="005013A0">
        <w:rPr>
          <w:rFonts w:ascii="Arial" w:hAnsi="Arial" w:cs="Arial"/>
        </w:rPr>
        <w:t xml:space="preserve"> p. 4). Ces objectifs nationaux</w:t>
      </w:r>
      <w:r>
        <w:rPr>
          <w:rFonts w:ascii="Arial" w:hAnsi="Arial" w:cs="Arial"/>
        </w:rPr>
        <w:t xml:space="preserve"> doivent permettre de situer,</w:t>
      </w:r>
      <w:r w:rsidR="005013A0">
        <w:rPr>
          <w:rFonts w:ascii="Arial" w:hAnsi="Arial" w:cs="Arial"/>
        </w:rPr>
        <w:t xml:space="preserve"> de 2022 à 2026</w:t>
      </w:r>
      <w:r>
        <w:rPr>
          <w:rFonts w:ascii="Arial" w:hAnsi="Arial" w:cs="Arial"/>
        </w:rPr>
        <w:t>,</w:t>
      </w:r>
      <w:r w:rsidR="005013A0">
        <w:rPr>
          <w:rFonts w:ascii="Arial" w:hAnsi="Arial" w:cs="Arial"/>
        </w:rPr>
        <w:t xml:space="preserve"> soit pendant toute la durée du plan,</w:t>
      </w:r>
      <w:r>
        <w:rPr>
          <w:rFonts w:ascii="Arial" w:hAnsi="Arial" w:cs="Arial"/>
        </w:rPr>
        <w:t xml:space="preserve"> l’évolution du niveau d’activité </w:t>
      </w:r>
      <w:r w:rsidR="005013A0">
        <w:rPr>
          <w:rFonts w:ascii="Arial" w:hAnsi="Arial" w:cs="Arial"/>
        </w:rPr>
        <w:t xml:space="preserve">en matière de transplantation </w:t>
      </w:r>
      <w:r>
        <w:rPr>
          <w:rFonts w:ascii="Arial" w:hAnsi="Arial" w:cs="Arial"/>
        </w:rPr>
        <w:t xml:space="preserve">et, le cas échéant, de prendre des mesures correctrices. </w:t>
      </w:r>
    </w:p>
    <w:p w:rsidR="00F40EF0" w:rsidRDefault="00F40EF0" w:rsidP="00F40EF0">
      <w:pPr>
        <w:spacing w:after="0"/>
        <w:jc w:val="both"/>
        <w:rPr>
          <w:rFonts w:ascii="Arial" w:hAnsi="Arial" w:cs="Arial"/>
        </w:rPr>
      </w:pPr>
    </w:p>
    <w:p w:rsidR="00F40EF0" w:rsidRDefault="005616F9" w:rsidP="00F40EF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F40EF0">
        <w:rPr>
          <w:rFonts w:ascii="Arial" w:hAnsi="Arial" w:cs="Arial"/>
        </w:rPr>
        <w:t xml:space="preserve">es objectifs nationaux </w:t>
      </w:r>
      <w:r>
        <w:rPr>
          <w:rFonts w:ascii="Arial" w:hAnsi="Arial" w:cs="Arial"/>
        </w:rPr>
        <w:t xml:space="preserve">prévus par le nouveau plan </w:t>
      </w:r>
      <w:r w:rsidR="00F40EF0">
        <w:rPr>
          <w:rFonts w:ascii="Arial" w:hAnsi="Arial" w:cs="Arial"/>
        </w:rPr>
        <w:t xml:space="preserve">concernent, </w:t>
      </w:r>
      <w:r>
        <w:rPr>
          <w:rFonts w:ascii="Arial" w:hAnsi="Arial" w:cs="Arial"/>
        </w:rPr>
        <w:t>en premier lieu</w:t>
      </w:r>
      <w:r w:rsidR="00F40EF0">
        <w:rPr>
          <w:rFonts w:ascii="Arial" w:hAnsi="Arial" w:cs="Arial"/>
        </w:rPr>
        <w:t>, le nombre annuel de donneurs en état de mort encéphalique ayant fait l’objet d’</w:t>
      </w:r>
      <w:r w:rsidR="005013A0">
        <w:rPr>
          <w:rFonts w:ascii="Arial" w:hAnsi="Arial" w:cs="Arial"/>
        </w:rPr>
        <w:t xml:space="preserve">au moins </w:t>
      </w:r>
      <w:r w:rsidR="00F40EF0">
        <w:rPr>
          <w:rFonts w:ascii="Arial" w:hAnsi="Arial" w:cs="Arial"/>
        </w:rPr>
        <w:t xml:space="preserve">un prélèvement </w:t>
      </w:r>
      <w:r w:rsidR="005013A0">
        <w:rPr>
          <w:rFonts w:ascii="Arial" w:hAnsi="Arial" w:cs="Arial"/>
        </w:rPr>
        <w:t xml:space="preserve">d’organes </w:t>
      </w:r>
      <w:r w:rsidR="00F40EF0">
        <w:rPr>
          <w:rFonts w:ascii="Arial" w:hAnsi="Arial" w:cs="Arial"/>
        </w:rPr>
        <w:t xml:space="preserve">et le nombre et le nombre annuel de greffes réalisées, lesquels devront, l’un et l’autre, se situer dans un « couloir de croissance » que le plan définit. </w:t>
      </w:r>
      <w:r w:rsidR="00067F43">
        <w:rPr>
          <w:rFonts w:ascii="Arial" w:hAnsi="Arial" w:cs="Arial"/>
        </w:rPr>
        <w:t xml:space="preserve">Ce couloir de croissance, délimité par une trajectoire cible basse et une trajectoire cible haute, permet </w:t>
      </w:r>
      <w:r>
        <w:rPr>
          <w:rFonts w:ascii="Arial" w:hAnsi="Arial" w:cs="Arial"/>
        </w:rPr>
        <w:t xml:space="preserve">notamment </w:t>
      </w:r>
      <w:r w:rsidR="00067F43">
        <w:rPr>
          <w:rFonts w:ascii="Arial" w:hAnsi="Arial" w:cs="Arial"/>
        </w:rPr>
        <w:t xml:space="preserve">de tenir compte de facteurs exogènes à la filière qui pourraient, le cas échéant, avoir un impact défavorable sur le niveau d’activité attendu. </w:t>
      </w:r>
    </w:p>
    <w:p w:rsidR="00067F43" w:rsidRDefault="00067F43" w:rsidP="00F40EF0">
      <w:pPr>
        <w:spacing w:after="0"/>
        <w:jc w:val="both"/>
        <w:rPr>
          <w:rFonts w:ascii="Arial" w:hAnsi="Arial" w:cs="Arial"/>
        </w:rPr>
      </w:pPr>
    </w:p>
    <w:p w:rsidR="00067F43" w:rsidRDefault="00067F43" w:rsidP="00F40EF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Les objectifs </w:t>
      </w:r>
      <w:r w:rsidR="005616F9">
        <w:rPr>
          <w:rFonts w:ascii="Arial" w:hAnsi="Arial" w:cs="Arial"/>
        </w:rPr>
        <w:t>nationaux</w:t>
      </w:r>
      <w:r>
        <w:rPr>
          <w:rFonts w:ascii="Arial" w:hAnsi="Arial" w:cs="Arial"/>
        </w:rPr>
        <w:t xml:space="preserve"> visent, </w:t>
      </w:r>
      <w:r w:rsidR="005616F9">
        <w:rPr>
          <w:rFonts w:ascii="Arial" w:hAnsi="Arial" w:cs="Arial"/>
        </w:rPr>
        <w:t>en second lieu</w:t>
      </w:r>
      <w:r>
        <w:rPr>
          <w:rFonts w:ascii="Arial" w:hAnsi="Arial" w:cs="Arial"/>
        </w:rPr>
        <w:t xml:space="preserve">, la proportion de greffe réalisées à partir de greffons prélevés dans le cadre du protocole « Maastricht III », qui devra atteindre 15% en 2026, et la proportion de greffes rénales réalisées à partir d’un donneur vivant, </w:t>
      </w:r>
      <w:r w:rsidR="005616F9">
        <w:rPr>
          <w:rFonts w:ascii="Arial" w:hAnsi="Arial" w:cs="Arial"/>
        </w:rPr>
        <w:t>laquelle</w:t>
      </w:r>
      <w:r>
        <w:rPr>
          <w:rFonts w:ascii="Arial" w:hAnsi="Arial" w:cs="Arial"/>
        </w:rPr>
        <w:t xml:space="preserve"> devra s’établir à 20% à l’échéance du plan. </w:t>
      </w:r>
    </w:p>
    <w:p w:rsidR="00067F43" w:rsidRDefault="00067F43" w:rsidP="00F40EF0">
      <w:pPr>
        <w:spacing w:after="0"/>
        <w:jc w:val="both"/>
        <w:rPr>
          <w:rFonts w:ascii="Arial" w:hAnsi="Arial" w:cs="Arial"/>
        </w:rPr>
      </w:pPr>
    </w:p>
    <w:p w:rsidR="00067F43" w:rsidRDefault="00067F43" w:rsidP="00F40EF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</w:t>
      </w:r>
      <w:r w:rsidR="005616F9">
        <w:rPr>
          <w:rFonts w:ascii="Arial" w:hAnsi="Arial" w:cs="Arial"/>
        </w:rPr>
        <w:t>parallèle</w:t>
      </w:r>
      <w:r>
        <w:rPr>
          <w:rFonts w:ascii="Arial" w:hAnsi="Arial" w:cs="Arial"/>
        </w:rPr>
        <w:t xml:space="preserve"> de ces objectifs nationaux, le plan prévoit, sans les définir à proprement parler, des objectifs quantifiés régionaux. Dans le cadre de la méthode de déploiement </w:t>
      </w:r>
      <w:r w:rsidR="005616F9">
        <w:rPr>
          <w:rFonts w:ascii="Arial" w:hAnsi="Arial" w:cs="Arial"/>
        </w:rPr>
        <w:t xml:space="preserve">du plan </w:t>
      </w:r>
      <w:r>
        <w:rPr>
          <w:rFonts w:ascii="Arial" w:hAnsi="Arial" w:cs="Arial"/>
        </w:rPr>
        <w:t xml:space="preserve">(p. 8), il est ainsi précisé que </w:t>
      </w:r>
      <w:r w:rsidR="008E325F" w:rsidRPr="008E325F">
        <w:rPr>
          <w:rFonts w:ascii="Arial" w:hAnsi="Arial" w:cs="Arial"/>
          <w:i/>
        </w:rPr>
        <w:t>« [la] somme des objectifs régionaux, qui viendra s’intégrer dans le couloir de croissance défini à l’échelle nationale, fournira un état de l’activité de prélèvement et de greffe précis et fidèle à la réalité de terrain »</w:t>
      </w:r>
      <w:r w:rsidR="008E325F">
        <w:rPr>
          <w:rFonts w:ascii="Arial" w:hAnsi="Arial" w:cs="Arial"/>
        </w:rPr>
        <w:t xml:space="preserve">. </w:t>
      </w:r>
    </w:p>
    <w:p w:rsidR="008E325F" w:rsidRDefault="008E325F" w:rsidP="00F40EF0">
      <w:pPr>
        <w:spacing w:after="0"/>
        <w:jc w:val="both"/>
        <w:rPr>
          <w:rFonts w:ascii="Arial" w:hAnsi="Arial" w:cs="Arial"/>
        </w:rPr>
      </w:pPr>
    </w:p>
    <w:p w:rsidR="008E325F" w:rsidRDefault="005013A0" w:rsidP="00F40EF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C’est dans la ligne ainsi définie que l’Agence de la biomédecine s’est employée à définir, pour chaque région du territoire national, des couloirs de croissance</w:t>
      </w:r>
      <w:r w:rsidR="005616F9">
        <w:rPr>
          <w:rFonts w:ascii="Arial" w:hAnsi="Arial" w:cs="Arial"/>
        </w:rPr>
        <w:t> </w:t>
      </w:r>
      <w:r>
        <w:rPr>
          <w:rFonts w:ascii="Arial" w:hAnsi="Arial" w:cs="Arial"/>
        </w:rPr>
        <w:t>ayant valeur d’objectif régional. Ces couloirs de croissance, qui figurent en annexe à la présente note pour ce qui concerne votre région, concernent les quatre paramètres suivants :</w:t>
      </w:r>
    </w:p>
    <w:p w:rsidR="005013A0" w:rsidRDefault="005013A0" w:rsidP="00F40EF0">
      <w:pPr>
        <w:spacing w:after="0"/>
        <w:jc w:val="both"/>
        <w:rPr>
          <w:rFonts w:ascii="Arial" w:hAnsi="Arial" w:cs="Arial"/>
        </w:rPr>
      </w:pPr>
    </w:p>
    <w:p w:rsidR="005013A0" w:rsidRDefault="005013A0" w:rsidP="005013A0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le</w:t>
      </w:r>
      <w:proofErr w:type="gramEnd"/>
      <w:r>
        <w:rPr>
          <w:rFonts w:ascii="Arial" w:hAnsi="Arial" w:cs="Arial"/>
        </w:rPr>
        <w:t xml:space="preserve"> nombre annuel de greffes réalisées</w:t>
      </w:r>
      <w:r w:rsidR="005616F9">
        <w:rPr>
          <w:rFonts w:ascii="Arial" w:hAnsi="Arial" w:cs="Arial"/>
        </w:rPr>
        <w:t xml:space="preserve"> dans la région</w:t>
      </w:r>
      <w:r>
        <w:rPr>
          <w:rFonts w:ascii="Arial" w:hAnsi="Arial" w:cs="Arial"/>
        </w:rPr>
        <w:t xml:space="preserve"> ;</w:t>
      </w:r>
    </w:p>
    <w:p w:rsidR="005013A0" w:rsidRDefault="005013A0" w:rsidP="005013A0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le</w:t>
      </w:r>
      <w:proofErr w:type="gramEnd"/>
      <w:r>
        <w:rPr>
          <w:rFonts w:ascii="Arial" w:hAnsi="Arial" w:cs="Arial"/>
        </w:rPr>
        <w:t xml:space="preserve"> nombre annuel de donneurs en état de mort encéphalique ayant fait l’objet d’au moins un prélèvement d’organes</w:t>
      </w:r>
      <w:r w:rsidR="005616F9">
        <w:rPr>
          <w:rFonts w:ascii="Arial" w:hAnsi="Arial" w:cs="Arial"/>
        </w:rPr>
        <w:t xml:space="preserve"> sur le territoire régional</w:t>
      </w:r>
      <w:r>
        <w:rPr>
          <w:rFonts w:ascii="Arial" w:hAnsi="Arial" w:cs="Arial"/>
        </w:rPr>
        <w:t> ;</w:t>
      </w:r>
    </w:p>
    <w:p w:rsidR="005013A0" w:rsidRDefault="005013A0" w:rsidP="005013A0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le</w:t>
      </w:r>
      <w:proofErr w:type="gramEnd"/>
      <w:r>
        <w:rPr>
          <w:rFonts w:ascii="Arial" w:hAnsi="Arial" w:cs="Arial"/>
        </w:rPr>
        <w:t xml:space="preserve"> nombre annuel de donneur</w:t>
      </w:r>
      <w:r w:rsidR="005616F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ayant fait l’objet d’au moins au moins un prélèvement d’organes dans le cadre du protocole « Maastricht III » </w:t>
      </w:r>
      <w:r w:rsidR="005616F9">
        <w:rPr>
          <w:rFonts w:ascii="Arial" w:hAnsi="Arial" w:cs="Arial"/>
        </w:rPr>
        <w:t>sur le territoire régional</w:t>
      </w:r>
      <w:bookmarkStart w:id="0" w:name="_GoBack"/>
      <w:bookmarkEnd w:id="0"/>
      <w:r w:rsidR="005616F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;</w:t>
      </w:r>
    </w:p>
    <w:p w:rsidR="005013A0" w:rsidRDefault="005013A0" w:rsidP="005013A0">
      <w:pPr>
        <w:pStyle w:val="Paragraphedeliste"/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le</w:t>
      </w:r>
      <w:proofErr w:type="gramEnd"/>
      <w:r>
        <w:rPr>
          <w:rFonts w:ascii="Arial" w:hAnsi="Arial" w:cs="Arial"/>
        </w:rPr>
        <w:t xml:space="preserve"> nombre annuel de greffes rénales réalisées à partir d’un donneur vivant</w:t>
      </w:r>
      <w:r w:rsidR="005616F9">
        <w:rPr>
          <w:rFonts w:ascii="Arial" w:hAnsi="Arial" w:cs="Arial"/>
        </w:rPr>
        <w:t xml:space="preserve"> dans la région</w:t>
      </w:r>
      <w:r>
        <w:rPr>
          <w:rFonts w:ascii="Arial" w:hAnsi="Arial" w:cs="Arial"/>
        </w:rPr>
        <w:t xml:space="preserve">. </w:t>
      </w:r>
    </w:p>
    <w:p w:rsidR="005013A0" w:rsidRDefault="005013A0" w:rsidP="005013A0">
      <w:pPr>
        <w:spacing w:after="0"/>
        <w:jc w:val="both"/>
        <w:rPr>
          <w:rFonts w:ascii="Arial" w:hAnsi="Arial" w:cs="Arial"/>
        </w:rPr>
      </w:pPr>
    </w:p>
    <w:p w:rsidR="005013A0" w:rsidRPr="005013A0" w:rsidRDefault="005013A0" w:rsidP="005013A0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Ces couloirs de croissance ont été définis à partir des données d’activité régionale de l’année 2021 et des hypothèses de progression retenues à l’échelle nationale. Les équipes de l’Agence de la biomédecine se tiennent à la disposition des agences régionales de santé qui le souhaitent pour préciser la méthodologie retenue et répondre à toute question qui se poserait. </w:t>
      </w:r>
    </w:p>
    <w:sectPr w:rsidR="005013A0" w:rsidRPr="005013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C54FA"/>
    <w:multiLevelType w:val="hybridMultilevel"/>
    <w:tmpl w:val="EF3A1E3E"/>
    <w:lvl w:ilvl="0" w:tplc="A02423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F0"/>
    <w:rsid w:val="00067F43"/>
    <w:rsid w:val="005013A0"/>
    <w:rsid w:val="005616F9"/>
    <w:rsid w:val="00726B43"/>
    <w:rsid w:val="008E325F"/>
    <w:rsid w:val="00F40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75C64"/>
  <w15:chartTrackingRefBased/>
  <w15:docId w15:val="{F11A0DA5-D44E-4E63-98E0-23815806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013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473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de la biomedecine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CORTOT-BOUCHER Emmanuelle</dc:creator>
  <cp:keywords/>
  <dc:description/>
  <cp:lastModifiedBy>CORTOT-BOUCHER Emmanuelle</cp:lastModifiedBy>
  <cp:revision>2</cp:revision>
  <dcterms:created xsi:type="dcterms:W3CDTF">2022-06-21T16:10:00Z</dcterms:created>
  <dcterms:modified xsi:type="dcterms:W3CDTF">2022-06-21T16:46:00Z</dcterms:modified>
</cp:coreProperties>
</file>