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06ECE" w14:textId="4B417D89" w:rsidR="00C03F8B" w:rsidRPr="00DB5464" w:rsidRDefault="00DB5464" w:rsidP="006E3581">
      <w:pPr>
        <w:spacing w:after="0" w:line="240" w:lineRule="auto"/>
        <w:jc w:val="center"/>
        <w:rPr>
          <w:rFonts w:ascii="Marianne" w:hAnsi="Marianne"/>
          <w:b/>
          <w:bCs/>
          <w:sz w:val="24"/>
          <w:szCs w:val="24"/>
          <w:u w:val="single"/>
        </w:rPr>
      </w:pPr>
      <w:r w:rsidRPr="00DB5464">
        <w:rPr>
          <w:rFonts w:ascii="Marianne" w:hAnsi="Marianne"/>
          <w:b/>
          <w:bCs/>
          <w:sz w:val="24"/>
          <w:szCs w:val="24"/>
          <w:u w:val="single"/>
        </w:rPr>
        <w:t>Ré</w:t>
      </w:r>
      <w:r w:rsidR="000E7778" w:rsidRPr="00DB5464">
        <w:rPr>
          <w:rFonts w:ascii="Marianne" w:hAnsi="Marianne"/>
          <w:b/>
          <w:bCs/>
          <w:sz w:val="24"/>
          <w:szCs w:val="24"/>
          <w:u w:val="single"/>
        </w:rPr>
        <w:t>union nationale ARS – mise en œuvre du dispositif « territoires fragiles »</w:t>
      </w:r>
    </w:p>
    <w:p w14:paraId="166C533A" w14:textId="004F27F3" w:rsidR="00DB5464" w:rsidRDefault="00DB5464" w:rsidP="006E3581">
      <w:pPr>
        <w:spacing w:after="0" w:line="240" w:lineRule="auto"/>
        <w:jc w:val="center"/>
        <w:rPr>
          <w:rFonts w:ascii="Marianne" w:hAnsi="Marianne"/>
          <w:b/>
          <w:bCs/>
          <w:u w:val="single"/>
        </w:rPr>
      </w:pPr>
      <w:r w:rsidRPr="00DB5464">
        <w:rPr>
          <w:rFonts w:ascii="Marianne" w:hAnsi="Marianne"/>
          <w:b/>
          <w:bCs/>
          <w:sz w:val="24"/>
          <w:szCs w:val="24"/>
          <w:u w:val="single"/>
        </w:rPr>
        <w:t>Questions-réponses - o</w:t>
      </w:r>
      <w:r w:rsidRPr="00DB5464">
        <w:rPr>
          <w:rFonts w:ascii="Marianne" w:hAnsi="Marianne"/>
          <w:b/>
          <w:bCs/>
          <w:u w:val="single"/>
        </w:rPr>
        <w:t>ctobre 2024</w:t>
      </w:r>
    </w:p>
    <w:p w14:paraId="0E84B72D" w14:textId="77777777" w:rsidR="00DB5464" w:rsidRPr="00DB5464" w:rsidRDefault="00DB5464" w:rsidP="006E3581">
      <w:pPr>
        <w:spacing w:after="0" w:line="240" w:lineRule="auto"/>
        <w:jc w:val="center"/>
        <w:rPr>
          <w:rFonts w:ascii="Marianne" w:hAnsi="Marianne"/>
          <w:b/>
          <w:bCs/>
        </w:rPr>
      </w:pPr>
    </w:p>
    <w:p w14:paraId="2B3468E9" w14:textId="77777777" w:rsidR="006E3581" w:rsidRDefault="006E3581" w:rsidP="006E3581">
      <w:pPr>
        <w:pStyle w:val="Paragraphedeliste"/>
        <w:jc w:val="both"/>
        <w:rPr>
          <w:rFonts w:ascii="Marianne" w:hAnsi="Marianne"/>
          <w:b/>
          <w:bCs/>
          <w:sz w:val="20"/>
          <w:szCs w:val="20"/>
        </w:rPr>
      </w:pPr>
    </w:p>
    <w:p w14:paraId="2738F71D" w14:textId="258A35B5" w:rsidR="00C42AFD" w:rsidRPr="006E3581" w:rsidRDefault="00C42AFD" w:rsidP="006E3581">
      <w:pPr>
        <w:spacing w:after="0" w:line="240" w:lineRule="auto"/>
        <w:jc w:val="both"/>
        <w:rPr>
          <w:rFonts w:ascii="Marianne" w:hAnsi="Marianne"/>
          <w:b/>
          <w:bCs/>
        </w:rPr>
      </w:pPr>
      <w:r w:rsidRPr="005156A7">
        <w:rPr>
          <w:rFonts w:ascii="Marianne" w:hAnsi="Marianne"/>
          <w:b/>
          <w:bCs/>
          <w:highlight w:val="lightGray"/>
        </w:rPr>
        <w:t>Sur la maille territoriale retenue (TVS) :</w:t>
      </w:r>
    </w:p>
    <w:p w14:paraId="1121E3F0" w14:textId="3A2B8E43" w:rsidR="00740397" w:rsidRDefault="00740397" w:rsidP="006E3581">
      <w:pPr>
        <w:spacing w:after="0" w:line="240" w:lineRule="auto"/>
        <w:jc w:val="both"/>
        <w:rPr>
          <w:rFonts w:ascii="Marianne" w:hAnsi="Marianne"/>
          <w:sz w:val="20"/>
          <w:szCs w:val="20"/>
        </w:rPr>
      </w:pPr>
      <w:r>
        <w:rPr>
          <w:rFonts w:ascii="Marianne" w:hAnsi="Marianne"/>
          <w:sz w:val="20"/>
          <w:szCs w:val="20"/>
        </w:rPr>
        <w:t xml:space="preserve">La maille territoriale retenue (TVS) </w:t>
      </w:r>
      <w:r w:rsidR="001D54F3">
        <w:rPr>
          <w:rFonts w:ascii="Marianne" w:hAnsi="Marianne"/>
          <w:sz w:val="20"/>
          <w:szCs w:val="20"/>
        </w:rPr>
        <w:t>pose des difficultés à</w:t>
      </w:r>
      <w:r w:rsidR="00F36E88">
        <w:rPr>
          <w:rFonts w:ascii="Marianne" w:hAnsi="Marianne"/>
          <w:sz w:val="20"/>
          <w:szCs w:val="20"/>
        </w:rPr>
        <w:t xml:space="preserve"> certaines ARS</w:t>
      </w:r>
      <w:r w:rsidR="001D54F3">
        <w:rPr>
          <w:rFonts w:ascii="Marianne" w:hAnsi="Marianne"/>
          <w:sz w:val="20"/>
          <w:szCs w:val="20"/>
        </w:rPr>
        <w:t>. E</w:t>
      </w:r>
      <w:r w:rsidR="00F36E88">
        <w:rPr>
          <w:rFonts w:ascii="Marianne" w:hAnsi="Marianne"/>
          <w:sz w:val="20"/>
          <w:szCs w:val="20"/>
        </w:rPr>
        <w:t xml:space="preserve">xemples : </w:t>
      </w:r>
      <w:r>
        <w:rPr>
          <w:rFonts w:ascii="Marianne" w:hAnsi="Marianne"/>
          <w:sz w:val="20"/>
          <w:szCs w:val="20"/>
        </w:rPr>
        <w:t>certaines officines situées dans des communes hors TVS fragiles ne peuvent pas bénéficier des aides / l’ensemble du TVS est considéré comme fragile alors que la majeure partie des officines du TVS n’ont pas de difficulté</w:t>
      </w:r>
      <w:r w:rsidR="00F36E88">
        <w:rPr>
          <w:rFonts w:ascii="Marianne" w:hAnsi="Marianne"/>
          <w:sz w:val="20"/>
          <w:szCs w:val="20"/>
        </w:rPr>
        <w:t xml:space="preserve"> ce qui sature le plafond régional</w:t>
      </w:r>
      <w:r w:rsidR="005156A7">
        <w:rPr>
          <w:rFonts w:ascii="Marianne" w:hAnsi="Marianne"/>
          <w:sz w:val="20"/>
          <w:szCs w:val="20"/>
        </w:rPr>
        <w:t xml:space="preserve">. </w:t>
      </w:r>
    </w:p>
    <w:p w14:paraId="0995D031" w14:textId="77777777" w:rsidR="00740397" w:rsidRDefault="00740397" w:rsidP="006E3581">
      <w:pPr>
        <w:spacing w:after="0" w:line="240" w:lineRule="auto"/>
        <w:jc w:val="both"/>
        <w:rPr>
          <w:rFonts w:ascii="Marianne" w:hAnsi="Marianne"/>
          <w:sz w:val="20"/>
          <w:szCs w:val="20"/>
        </w:rPr>
      </w:pPr>
    </w:p>
    <w:p w14:paraId="6A8F812C" w14:textId="730007B3" w:rsidR="001C5C68" w:rsidRPr="006E3581" w:rsidRDefault="001C5C68" w:rsidP="006E3581">
      <w:pPr>
        <w:spacing w:after="0" w:line="240" w:lineRule="auto"/>
        <w:jc w:val="both"/>
        <w:rPr>
          <w:rFonts w:ascii="Marianne" w:hAnsi="Marianne"/>
          <w:i/>
          <w:iCs/>
          <w:sz w:val="20"/>
          <w:szCs w:val="20"/>
        </w:rPr>
      </w:pPr>
      <w:r w:rsidRPr="006E3581">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6E3581">
        <w:rPr>
          <w:rFonts w:ascii="Marianne" w:hAnsi="Marianne"/>
          <w:i/>
          <w:iCs/>
          <w:sz w:val="20"/>
          <w:szCs w:val="20"/>
        </w:rPr>
        <w:t xml:space="preserve"> : </w:t>
      </w:r>
      <w:r w:rsidR="00740397">
        <w:rPr>
          <w:rFonts w:ascii="Marianne" w:hAnsi="Marianne"/>
          <w:i/>
          <w:iCs/>
          <w:sz w:val="20"/>
          <w:szCs w:val="20"/>
        </w:rPr>
        <w:t xml:space="preserve">la DGOS invite les ARS, sur la base des réponses techniques apportées pendant la réunion nationale, à effectuer des </w:t>
      </w:r>
      <w:r w:rsidR="001D54F3">
        <w:rPr>
          <w:rFonts w:ascii="Marianne" w:hAnsi="Marianne"/>
          <w:b/>
          <w:bCs/>
          <w:i/>
          <w:iCs/>
          <w:sz w:val="20"/>
          <w:szCs w:val="20"/>
        </w:rPr>
        <w:t>projections</w:t>
      </w:r>
      <w:r w:rsidR="00740397" w:rsidRPr="001D54F3">
        <w:rPr>
          <w:rFonts w:ascii="Marianne" w:hAnsi="Marianne"/>
          <w:b/>
          <w:bCs/>
          <w:i/>
          <w:iCs/>
          <w:sz w:val="20"/>
          <w:szCs w:val="20"/>
        </w:rPr>
        <w:t xml:space="preserve"> de TVS fragiles et de pharmacies</w:t>
      </w:r>
      <w:r w:rsidR="00740397">
        <w:rPr>
          <w:rFonts w:ascii="Marianne" w:hAnsi="Marianne"/>
          <w:i/>
          <w:iCs/>
          <w:sz w:val="20"/>
          <w:szCs w:val="20"/>
        </w:rPr>
        <w:t xml:space="preserve"> susceptibles de percevoir l’aide financière de la Cnam. En fonction des retours des ARS, la DGOS pourra proposer des ajustements (possibilité d’introduire une dérogation à l’échelle de la commune dans certains cas). Pour autant, la DGOS n’a pas vocation à modifier </w:t>
      </w:r>
      <w:r w:rsidR="001D54F3">
        <w:rPr>
          <w:rFonts w:ascii="Marianne" w:hAnsi="Marianne"/>
          <w:i/>
          <w:iCs/>
          <w:sz w:val="20"/>
          <w:szCs w:val="20"/>
        </w:rPr>
        <w:t xml:space="preserve">ni </w:t>
      </w:r>
      <w:r w:rsidR="00740397">
        <w:rPr>
          <w:rFonts w:ascii="Marianne" w:hAnsi="Marianne"/>
          <w:i/>
          <w:iCs/>
          <w:sz w:val="20"/>
          <w:szCs w:val="20"/>
        </w:rPr>
        <w:t xml:space="preserve">les textes législatifs </w:t>
      </w:r>
      <w:r w:rsidR="001D54F3">
        <w:rPr>
          <w:rFonts w:ascii="Marianne" w:hAnsi="Marianne"/>
          <w:i/>
          <w:iCs/>
          <w:sz w:val="20"/>
          <w:szCs w:val="20"/>
        </w:rPr>
        <w:t>ni les textes</w:t>
      </w:r>
      <w:r w:rsidR="00740397">
        <w:rPr>
          <w:rFonts w:ascii="Marianne" w:hAnsi="Marianne"/>
          <w:i/>
          <w:iCs/>
          <w:sz w:val="20"/>
          <w:szCs w:val="20"/>
        </w:rPr>
        <w:t xml:space="preserve"> réglementaires qui résultent d’un processus long de concertation</w:t>
      </w:r>
      <w:r w:rsidR="005156A7">
        <w:rPr>
          <w:rFonts w:ascii="Marianne" w:hAnsi="Marianne"/>
          <w:i/>
          <w:iCs/>
          <w:sz w:val="20"/>
          <w:szCs w:val="20"/>
        </w:rPr>
        <w:t xml:space="preserve">, notamment des ARS. </w:t>
      </w:r>
    </w:p>
    <w:p w14:paraId="718BA2FF" w14:textId="77777777" w:rsidR="001C5C68" w:rsidRDefault="001C5C68" w:rsidP="006E3581">
      <w:pPr>
        <w:spacing w:after="0" w:line="240" w:lineRule="auto"/>
        <w:jc w:val="both"/>
        <w:rPr>
          <w:rFonts w:ascii="Marianne" w:hAnsi="Marianne"/>
          <w:sz w:val="20"/>
          <w:szCs w:val="20"/>
        </w:rPr>
      </w:pPr>
    </w:p>
    <w:p w14:paraId="30CD3332" w14:textId="6AABAC8C" w:rsidR="006E3581" w:rsidRPr="006E3581" w:rsidRDefault="006E3581" w:rsidP="006E3581">
      <w:pPr>
        <w:spacing w:after="0" w:line="240" w:lineRule="auto"/>
        <w:jc w:val="both"/>
        <w:rPr>
          <w:rFonts w:ascii="Marianne" w:hAnsi="Marianne"/>
          <w:b/>
          <w:bCs/>
        </w:rPr>
      </w:pPr>
      <w:r w:rsidRPr="005156A7">
        <w:rPr>
          <w:rFonts w:ascii="Marianne" w:hAnsi="Marianne"/>
          <w:b/>
          <w:bCs/>
          <w:highlight w:val="lightGray"/>
        </w:rPr>
        <w:t>Sur les TVS interrégionaux :</w:t>
      </w:r>
    </w:p>
    <w:p w14:paraId="53AC1702" w14:textId="6AE6EE67" w:rsidR="006E3581" w:rsidRDefault="001D54F3" w:rsidP="00F36E88">
      <w:pPr>
        <w:spacing w:after="0" w:line="240" w:lineRule="auto"/>
        <w:jc w:val="both"/>
        <w:rPr>
          <w:rFonts w:ascii="Marianne" w:hAnsi="Marianne"/>
          <w:sz w:val="20"/>
          <w:szCs w:val="20"/>
        </w:rPr>
      </w:pPr>
      <w:r>
        <w:rPr>
          <w:rFonts w:ascii="Marianne" w:hAnsi="Marianne"/>
          <w:sz w:val="20"/>
          <w:szCs w:val="20"/>
        </w:rPr>
        <w:t>C</w:t>
      </w:r>
      <w:r w:rsidR="00F36E88">
        <w:rPr>
          <w:rFonts w:ascii="Marianne" w:hAnsi="Marianne"/>
          <w:sz w:val="20"/>
          <w:szCs w:val="20"/>
        </w:rPr>
        <w:t>omment appliquer les deux plafonds régionaux</w:t>
      </w:r>
      <w:r>
        <w:rPr>
          <w:rFonts w:ascii="Marianne" w:hAnsi="Marianne"/>
          <w:sz w:val="20"/>
          <w:szCs w:val="20"/>
        </w:rPr>
        <w:t xml:space="preserve"> en cas de TVS interrégionaux</w:t>
      </w:r>
      <w:r w:rsidR="00F36E88">
        <w:rPr>
          <w:rFonts w:ascii="Marianne" w:hAnsi="Marianne"/>
          <w:sz w:val="20"/>
          <w:szCs w:val="20"/>
        </w:rPr>
        <w:t xml:space="preserve"> ? </w:t>
      </w:r>
    </w:p>
    <w:p w14:paraId="543AE5B9" w14:textId="77777777" w:rsidR="00F36E88" w:rsidRDefault="00F36E88" w:rsidP="006E3581">
      <w:pPr>
        <w:spacing w:after="0" w:line="240" w:lineRule="auto"/>
        <w:jc w:val="both"/>
        <w:rPr>
          <w:rFonts w:ascii="Marianne" w:hAnsi="Marianne"/>
          <w:b/>
          <w:bCs/>
          <w:i/>
          <w:iCs/>
          <w:sz w:val="20"/>
          <w:szCs w:val="20"/>
          <w:u w:val="single"/>
        </w:rPr>
      </w:pPr>
    </w:p>
    <w:p w14:paraId="068A6529" w14:textId="3554AA49" w:rsidR="00F36E88" w:rsidRDefault="006E3581" w:rsidP="006E3581">
      <w:pPr>
        <w:spacing w:after="0" w:line="240" w:lineRule="auto"/>
        <w:jc w:val="both"/>
        <w:rPr>
          <w:rFonts w:ascii="Marianne" w:hAnsi="Marianne"/>
          <w:i/>
          <w:iCs/>
          <w:sz w:val="20"/>
          <w:szCs w:val="20"/>
        </w:rPr>
      </w:pPr>
      <w:r w:rsidRPr="00631C79">
        <w:rPr>
          <w:rFonts w:ascii="Marianne" w:hAnsi="Marianne"/>
          <w:b/>
          <w:bCs/>
          <w:i/>
          <w:iCs/>
          <w:sz w:val="20"/>
          <w:szCs w:val="20"/>
          <w:u w:val="single"/>
        </w:rPr>
        <w:t>Réponse </w:t>
      </w:r>
      <w:r w:rsidR="004100D0">
        <w:rPr>
          <w:rFonts w:ascii="Marianne" w:hAnsi="Marianne"/>
          <w:b/>
          <w:bCs/>
          <w:i/>
          <w:iCs/>
          <w:sz w:val="20"/>
          <w:szCs w:val="20"/>
          <w:u w:val="single"/>
        </w:rPr>
        <w:t>DGOS</w:t>
      </w:r>
      <w:r w:rsidRPr="00631C79">
        <w:rPr>
          <w:rFonts w:ascii="Marianne" w:hAnsi="Marianne"/>
          <w:b/>
          <w:bCs/>
          <w:i/>
          <w:iCs/>
          <w:sz w:val="20"/>
          <w:szCs w:val="20"/>
          <w:u w:val="single"/>
        </w:rPr>
        <w:t> :</w:t>
      </w:r>
      <w:r w:rsidRPr="00631C79">
        <w:rPr>
          <w:rFonts w:ascii="Marianne" w:hAnsi="Marianne"/>
          <w:i/>
          <w:iCs/>
          <w:sz w:val="20"/>
          <w:szCs w:val="20"/>
        </w:rPr>
        <w:t xml:space="preserve"> </w:t>
      </w:r>
      <w:r w:rsidR="00F36E88">
        <w:rPr>
          <w:rFonts w:ascii="Marianne" w:hAnsi="Marianne"/>
          <w:i/>
          <w:iCs/>
          <w:sz w:val="20"/>
          <w:szCs w:val="20"/>
        </w:rPr>
        <w:t>le II de l’article 1 du décret de juillet 2024 précise que « l</w:t>
      </w:r>
      <w:r w:rsidRPr="00631C79">
        <w:rPr>
          <w:rFonts w:ascii="Marianne" w:hAnsi="Marianne"/>
          <w:i/>
          <w:iCs/>
          <w:sz w:val="20"/>
          <w:szCs w:val="20"/>
        </w:rPr>
        <w:t xml:space="preserve">es directeurs régionaux d’agences de santé peuvent décider, par arrêté conjoint, de définir comme territoire mentionné au deuxième alinéa de l’article L. 5125-6, un territoire interrégional d’un seul tenant et sans enclave, en s’appuyant sur les critères prévus au I. </w:t>
      </w:r>
      <w:r w:rsidRPr="001D54F3">
        <w:rPr>
          <w:rFonts w:ascii="Marianne" w:hAnsi="Marianne"/>
          <w:b/>
          <w:bCs/>
          <w:i/>
          <w:iCs/>
          <w:sz w:val="20"/>
          <w:szCs w:val="20"/>
        </w:rPr>
        <w:t>Cette définition tient compte des plafonds définis pour chacune des régions</w:t>
      </w:r>
      <w:r w:rsidRPr="00631C79">
        <w:rPr>
          <w:rFonts w:ascii="Marianne" w:hAnsi="Marianne"/>
          <w:i/>
          <w:iCs/>
          <w:sz w:val="20"/>
          <w:szCs w:val="20"/>
        </w:rPr>
        <w:t xml:space="preserve"> par l’arrêté prévu à l’avant dernier alinéa du I.</w:t>
      </w:r>
      <w:r w:rsidR="00F36E88">
        <w:rPr>
          <w:rFonts w:ascii="Marianne" w:hAnsi="Marianne"/>
          <w:i/>
          <w:iCs/>
          <w:sz w:val="20"/>
          <w:szCs w:val="20"/>
        </w:rPr>
        <w:t> ».</w:t>
      </w:r>
    </w:p>
    <w:p w14:paraId="1C57E410" w14:textId="585B3316" w:rsidR="00F36E88" w:rsidRPr="00631C79" w:rsidRDefault="00F36E88" w:rsidP="006E3581">
      <w:pPr>
        <w:spacing w:after="0" w:line="240" w:lineRule="auto"/>
        <w:jc w:val="both"/>
        <w:rPr>
          <w:rFonts w:ascii="Marianne" w:hAnsi="Marianne"/>
          <w:i/>
          <w:iCs/>
          <w:sz w:val="20"/>
          <w:szCs w:val="20"/>
        </w:rPr>
      </w:pPr>
      <w:r>
        <w:rPr>
          <w:rFonts w:ascii="Marianne" w:hAnsi="Marianne"/>
          <w:i/>
          <w:iCs/>
          <w:sz w:val="20"/>
          <w:szCs w:val="20"/>
        </w:rPr>
        <w:t xml:space="preserve">A la lecture de cet alinéa, </w:t>
      </w:r>
      <w:r w:rsidR="001D54F3">
        <w:rPr>
          <w:rFonts w:ascii="Marianne" w:hAnsi="Marianne"/>
          <w:i/>
          <w:iCs/>
          <w:sz w:val="20"/>
          <w:szCs w:val="20"/>
        </w:rPr>
        <w:t xml:space="preserve">il convient de comprendre que </w:t>
      </w:r>
      <w:r w:rsidR="00F762E4">
        <w:rPr>
          <w:rFonts w:ascii="Marianne" w:hAnsi="Marianne"/>
          <w:i/>
          <w:iCs/>
          <w:sz w:val="20"/>
          <w:szCs w:val="20"/>
        </w:rPr>
        <w:t>le</w:t>
      </w:r>
      <w:r>
        <w:rPr>
          <w:rFonts w:ascii="Marianne" w:hAnsi="Marianne"/>
          <w:i/>
          <w:iCs/>
          <w:sz w:val="20"/>
          <w:szCs w:val="20"/>
        </w:rPr>
        <w:t xml:space="preserve"> TVS interrégional intervient</w:t>
      </w:r>
      <w:r w:rsidR="00F762E4">
        <w:rPr>
          <w:rFonts w:ascii="Marianne" w:hAnsi="Marianne"/>
          <w:i/>
          <w:iCs/>
          <w:sz w:val="20"/>
          <w:szCs w:val="20"/>
        </w:rPr>
        <w:t xml:space="preserve"> </w:t>
      </w:r>
      <w:r w:rsidR="001D54F3">
        <w:rPr>
          <w:rFonts w:ascii="Marianne" w:hAnsi="Marianne"/>
          <w:i/>
          <w:iCs/>
          <w:sz w:val="20"/>
          <w:szCs w:val="20"/>
        </w:rPr>
        <w:t>bien</w:t>
      </w:r>
      <w:r w:rsidR="00F762E4">
        <w:rPr>
          <w:rFonts w:ascii="Marianne" w:hAnsi="Marianne"/>
          <w:i/>
          <w:iCs/>
          <w:sz w:val="20"/>
          <w:szCs w:val="20"/>
        </w:rPr>
        <w:t xml:space="preserve"> dans </w:t>
      </w:r>
      <w:r w:rsidR="001D54F3">
        <w:rPr>
          <w:rFonts w:ascii="Marianne" w:hAnsi="Marianne"/>
          <w:i/>
          <w:iCs/>
          <w:sz w:val="20"/>
          <w:szCs w:val="20"/>
        </w:rPr>
        <w:t>la détermination</w:t>
      </w:r>
      <w:r w:rsidR="00F762E4">
        <w:rPr>
          <w:rFonts w:ascii="Marianne" w:hAnsi="Marianne"/>
          <w:i/>
          <w:iCs/>
          <w:sz w:val="20"/>
          <w:szCs w:val="20"/>
        </w:rPr>
        <w:t xml:space="preserve"> des territoires fragiles des deux régions dans la limite des deux plafonds régionaux</w:t>
      </w:r>
      <w:r w:rsidR="00E533A3">
        <w:rPr>
          <w:rFonts w:ascii="Marianne" w:hAnsi="Marianne"/>
          <w:i/>
          <w:iCs/>
          <w:sz w:val="20"/>
          <w:szCs w:val="20"/>
        </w:rPr>
        <w:t xml:space="preserve"> (et pas uniquement la part du TVS qui se trouve dans la région).</w:t>
      </w:r>
      <w:r w:rsidR="00DB5464">
        <w:rPr>
          <w:rFonts w:ascii="Marianne" w:hAnsi="Marianne"/>
          <w:i/>
          <w:iCs/>
          <w:sz w:val="20"/>
          <w:szCs w:val="20"/>
        </w:rPr>
        <w:t xml:space="preserve"> La définition d’un TVS interrégional résulte d’un processus d’accord entre les deux ARS devant conduire à la publication d’un arrêté conjoint.</w:t>
      </w:r>
    </w:p>
    <w:p w14:paraId="77B94DBC" w14:textId="77777777" w:rsidR="006E3581" w:rsidRDefault="006E3581" w:rsidP="006E3581">
      <w:pPr>
        <w:spacing w:after="0" w:line="240" w:lineRule="auto"/>
        <w:jc w:val="both"/>
        <w:rPr>
          <w:rFonts w:ascii="Marianne" w:hAnsi="Marianne"/>
          <w:sz w:val="20"/>
          <w:szCs w:val="20"/>
        </w:rPr>
      </w:pPr>
    </w:p>
    <w:p w14:paraId="2F72B799" w14:textId="5A30FD87" w:rsidR="001C5C68" w:rsidRPr="006E3581" w:rsidRDefault="001C5C68" w:rsidP="006E3581">
      <w:pPr>
        <w:spacing w:after="0" w:line="240" w:lineRule="auto"/>
        <w:jc w:val="both"/>
        <w:rPr>
          <w:rFonts w:ascii="Marianne" w:hAnsi="Marianne"/>
          <w:b/>
          <w:bCs/>
        </w:rPr>
      </w:pPr>
      <w:r w:rsidRPr="005156A7">
        <w:rPr>
          <w:rFonts w:ascii="Marianne" w:hAnsi="Marianne"/>
          <w:b/>
          <w:bCs/>
          <w:highlight w:val="lightGray"/>
        </w:rPr>
        <w:t>Sur la notion de grand quartier :</w:t>
      </w:r>
    </w:p>
    <w:p w14:paraId="754B45DC" w14:textId="24585FE3" w:rsidR="00F762E4" w:rsidRDefault="00F762E4" w:rsidP="006E3581">
      <w:pPr>
        <w:spacing w:after="0" w:line="240" w:lineRule="auto"/>
        <w:jc w:val="both"/>
        <w:rPr>
          <w:rFonts w:ascii="Marianne" w:hAnsi="Marianne"/>
          <w:sz w:val="20"/>
          <w:szCs w:val="20"/>
        </w:rPr>
      </w:pPr>
      <w:r w:rsidRPr="00F762E4">
        <w:rPr>
          <w:rFonts w:ascii="Marianne" w:hAnsi="Marianne"/>
          <w:sz w:val="20"/>
          <w:szCs w:val="20"/>
        </w:rPr>
        <w:t xml:space="preserve">Quelle </w:t>
      </w:r>
      <w:r w:rsidR="001D54F3">
        <w:rPr>
          <w:rFonts w:ascii="Marianne" w:hAnsi="Marianne"/>
          <w:sz w:val="20"/>
          <w:szCs w:val="20"/>
        </w:rPr>
        <w:t>est la définition de grand quartier ?</w:t>
      </w:r>
    </w:p>
    <w:p w14:paraId="16347A8F" w14:textId="77777777" w:rsidR="001D54F3" w:rsidRPr="00F762E4" w:rsidRDefault="001D54F3" w:rsidP="006E3581">
      <w:pPr>
        <w:spacing w:after="0" w:line="240" w:lineRule="auto"/>
        <w:jc w:val="both"/>
        <w:rPr>
          <w:rFonts w:ascii="Marianne" w:hAnsi="Marianne"/>
          <w:sz w:val="20"/>
          <w:szCs w:val="20"/>
        </w:rPr>
      </w:pPr>
    </w:p>
    <w:p w14:paraId="4585E866" w14:textId="5DA0EF9E" w:rsidR="001C5C68" w:rsidRDefault="001C5C68" w:rsidP="006E3581">
      <w:pPr>
        <w:spacing w:after="0" w:line="240" w:lineRule="auto"/>
        <w:jc w:val="both"/>
        <w:rPr>
          <w:rStyle w:val="Lienhypertexte"/>
        </w:rPr>
      </w:pPr>
      <w:r w:rsidRPr="001C5C68">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1C5C68">
        <w:rPr>
          <w:rFonts w:ascii="Marianne" w:hAnsi="Marianne"/>
          <w:i/>
          <w:iCs/>
          <w:sz w:val="20"/>
          <w:szCs w:val="20"/>
        </w:rPr>
        <w:t> :</w:t>
      </w:r>
      <w:r>
        <w:rPr>
          <w:rFonts w:ascii="Marianne" w:hAnsi="Marianne"/>
          <w:i/>
          <w:iCs/>
          <w:sz w:val="20"/>
          <w:szCs w:val="20"/>
        </w:rPr>
        <w:t xml:space="preserve"> </w:t>
      </w:r>
      <w:r w:rsidR="00F762E4">
        <w:rPr>
          <w:rFonts w:ascii="Marianne" w:hAnsi="Marianne"/>
          <w:i/>
          <w:iCs/>
          <w:sz w:val="20"/>
          <w:szCs w:val="20"/>
        </w:rPr>
        <w:t xml:space="preserve">La notion de « grand quartier » est utilisée dans d’autres types de zonage (zonage médecins par exemple). Il s’agit d’une </w:t>
      </w:r>
      <w:r>
        <w:rPr>
          <w:rFonts w:ascii="Marianne" w:hAnsi="Marianne"/>
          <w:i/>
          <w:iCs/>
          <w:sz w:val="20"/>
          <w:szCs w:val="20"/>
        </w:rPr>
        <w:t xml:space="preserve">notion </w:t>
      </w:r>
      <w:r w:rsidR="00F762E4">
        <w:rPr>
          <w:rFonts w:ascii="Marianne" w:hAnsi="Marianne"/>
          <w:i/>
          <w:iCs/>
          <w:sz w:val="20"/>
          <w:szCs w:val="20"/>
        </w:rPr>
        <w:t xml:space="preserve">définie par </w:t>
      </w:r>
      <w:r w:rsidR="00F762E4" w:rsidRPr="001D54F3">
        <w:rPr>
          <w:rFonts w:ascii="Marianne" w:hAnsi="Marianne"/>
          <w:b/>
          <w:bCs/>
          <w:i/>
          <w:iCs/>
          <w:sz w:val="20"/>
          <w:szCs w:val="20"/>
        </w:rPr>
        <w:t>l’Insee</w:t>
      </w:r>
      <w:r w:rsidR="00F762E4">
        <w:rPr>
          <w:rFonts w:ascii="Marianne" w:hAnsi="Marianne"/>
          <w:i/>
          <w:iCs/>
          <w:sz w:val="20"/>
          <w:szCs w:val="20"/>
        </w:rPr>
        <w:t xml:space="preserve"> comme suit : « </w:t>
      </w:r>
      <w:r w:rsidR="00F762E4" w:rsidRPr="00F762E4">
        <w:rPr>
          <w:rFonts w:ascii="Marianne" w:hAnsi="Marianne"/>
          <w:i/>
          <w:iCs/>
          <w:sz w:val="20"/>
          <w:szCs w:val="20"/>
        </w:rPr>
        <w:t>La notion de grand quartier est définie comme un groupement de plusieurs îlots contigus à l'intérieur d'une même commune. Lorsque cette commune est partagée en plusieurs cantons, les limites de quartiers peuvent ne pas respecter les limites de cantons. La taille des quartiers est très variable. Elle doit respecter certaines normes de population. Ainsi, une commune de 20 000 habitants n'est généralement pas découpée en plus de deux ou trois quartiers</w:t>
      </w:r>
      <w:r w:rsidR="00F762E4">
        <w:rPr>
          <w:rFonts w:ascii="Marianne" w:hAnsi="Marianne"/>
          <w:i/>
          <w:iCs/>
          <w:sz w:val="20"/>
          <w:szCs w:val="20"/>
        </w:rPr>
        <w:t xml:space="preserve"> </w:t>
      </w:r>
      <w:r w:rsidR="00F762E4" w:rsidRPr="00F762E4">
        <w:rPr>
          <w:rFonts w:ascii="Marianne" w:hAnsi="Marianne"/>
          <w:i/>
          <w:iCs/>
          <w:sz w:val="20"/>
          <w:szCs w:val="20"/>
        </w:rPr>
        <w:t>; de même, seules quelques communes de moins de 10 000 habitants sont découpées en quartiers.</w:t>
      </w:r>
      <w:r w:rsidR="00F762E4">
        <w:rPr>
          <w:rFonts w:ascii="Marianne" w:hAnsi="Marianne"/>
          <w:i/>
          <w:iCs/>
          <w:sz w:val="20"/>
          <w:szCs w:val="20"/>
        </w:rPr>
        <w:t> »</w:t>
      </w:r>
      <w:r w:rsidR="005156A7">
        <w:rPr>
          <w:rFonts w:ascii="Marianne" w:hAnsi="Marianne"/>
          <w:i/>
          <w:iCs/>
          <w:sz w:val="20"/>
          <w:szCs w:val="20"/>
        </w:rPr>
        <w:t xml:space="preserve"> C’est par ailleurs une notion utilisée dans d’autres zonages (chirurgiens-dentistes par ex)</w:t>
      </w:r>
    </w:p>
    <w:p w14:paraId="2B558932" w14:textId="77777777" w:rsidR="006E3581" w:rsidRPr="00631C79" w:rsidRDefault="006E3581" w:rsidP="006E3581">
      <w:pPr>
        <w:spacing w:after="0" w:line="240" w:lineRule="auto"/>
        <w:jc w:val="both"/>
        <w:rPr>
          <w:rFonts w:ascii="Marianne" w:hAnsi="Marianne"/>
          <w:i/>
          <w:iCs/>
          <w:sz w:val="20"/>
          <w:szCs w:val="20"/>
        </w:rPr>
      </w:pPr>
    </w:p>
    <w:p w14:paraId="1EE89735" w14:textId="103A84B8" w:rsidR="001C5C68" w:rsidRPr="006E3581" w:rsidRDefault="001C5C68" w:rsidP="006E3581">
      <w:pPr>
        <w:spacing w:after="0" w:line="240" w:lineRule="auto"/>
        <w:jc w:val="both"/>
        <w:rPr>
          <w:rFonts w:ascii="Marianne" w:hAnsi="Marianne"/>
          <w:b/>
          <w:bCs/>
        </w:rPr>
      </w:pPr>
      <w:r w:rsidRPr="005156A7">
        <w:rPr>
          <w:rFonts w:ascii="Marianne" w:hAnsi="Marianne"/>
          <w:b/>
          <w:bCs/>
          <w:highlight w:val="lightGray"/>
        </w:rPr>
        <w:t xml:space="preserve">Sur le dispositif </w:t>
      </w:r>
      <w:r w:rsidR="006E3581" w:rsidRPr="005156A7">
        <w:rPr>
          <w:rFonts w:ascii="Marianne" w:hAnsi="Marianne"/>
          <w:b/>
          <w:bCs/>
          <w:highlight w:val="lightGray"/>
        </w:rPr>
        <w:t>« </w:t>
      </w:r>
      <w:r w:rsidRPr="005156A7">
        <w:rPr>
          <w:rFonts w:ascii="Marianne" w:hAnsi="Marianne"/>
          <w:b/>
          <w:bCs/>
          <w:highlight w:val="lightGray"/>
        </w:rPr>
        <w:t>communes contigües</w:t>
      </w:r>
      <w:r w:rsidR="006E3581" w:rsidRPr="005156A7">
        <w:rPr>
          <w:rFonts w:ascii="Marianne" w:hAnsi="Marianne"/>
          <w:b/>
          <w:bCs/>
          <w:highlight w:val="lightGray"/>
        </w:rPr>
        <w:t> »</w:t>
      </w:r>
      <w:r w:rsidRPr="005156A7">
        <w:rPr>
          <w:rFonts w:ascii="Marianne" w:hAnsi="Marianne"/>
          <w:b/>
          <w:bCs/>
          <w:highlight w:val="lightGray"/>
        </w:rPr>
        <w:t> :</w:t>
      </w:r>
    </w:p>
    <w:p w14:paraId="22677F8B" w14:textId="7E46719E" w:rsidR="001C5C68" w:rsidRDefault="00A22E2D" w:rsidP="00A22E2D">
      <w:pPr>
        <w:spacing w:after="0" w:line="240" w:lineRule="auto"/>
        <w:jc w:val="both"/>
        <w:rPr>
          <w:rFonts w:ascii="Marianne" w:hAnsi="Marianne"/>
          <w:sz w:val="20"/>
          <w:szCs w:val="20"/>
        </w:rPr>
      </w:pPr>
      <w:r>
        <w:rPr>
          <w:rFonts w:ascii="Marianne" w:hAnsi="Marianne"/>
          <w:sz w:val="20"/>
          <w:szCs w:val="20"/>
        </w:rPr>
        <w:t>Dans le cadre de la création d’une</w:t>
      </w:r>
      <w:r w:rsidR="001C5C68" w:rsidRPr="00C4361E">
        <w:rPr>
          <w:rFonts w:ascii="Marianne" w:hAnsi="Marianne"/>
          <w:sz w:val="20"/>
          <w:szCs w:val="20"/>
        </w:rPr>
        <w:t xml:space="preserve"> officine par la voie du transfert ou du regroupement dans une commune qui fera partie de la liste des communes contiguës dépourvues d'officine</w:t>
      </w:r>
      <w:r>
        <w:rPr>
          <w:rFonts w:ascii="Marianne" w:hAnsi="Marianne"/>
          <w:sz w:val="20"/>
          <w:szCs w:val="20"/>
        </w:rPr>
        <w:t xml:space="preserve">, cette création doit-elle se faire dans un </w:t>
      </w:r>
      <w:r w:rsidR="001C5C68" w:rsidRPr="00C4361E">
        <w:rPr>
          <w:rFonts w:ascii="Marianne" w:hAnsi="Marianne"/>
          <w:sz w:val="20"/>
          <w:szCs w:val="20"/>
        </w:rPr>
        <w:t xml:space="preserve">TVS </w:t>
      </w:r>
      <w:r>
        <w:rPr>
          <w:rFonts w:ascii="Marianne" w:hAnsi="Marianne"/>
          <w:sz w:val="20"/>
          <w:szCs w:val="20"/>
        </w:rPr>
        <w:t xml:space="preserve">considéré comme </w:t>
      </w:r>
      <w:r w:rsidR="001C5C68" w:rsidRPr="00C4361E">
        <w:rPr>
          <w:rFonts w:ascii="Marianne" w:hAnsi="Marianne"/>
          <w:sz w:val="20"/>
          <w:szCs w:val="20"/>
        </w:rPr>
        <w:t>fragile ou dans le TVS d’origine </w:t>
      </w:r>
      <w:r>
        <w:rPr>
          <w:rFonts w:ascii="Marianne" w:hAnsi="Marianne"/>
          <w:sz w:val="20"/>
          <w:szCs w:val="20"/>
        </w:rPr>
        <w:t>de la pharmacie ?</w:t>
      </w:r>
      <w:r w:rsidR="00DB5464">
        <w:rPr>
          <w:rFonts w:ascii="Marianne" w:hAnsi="Marianne"/>
          <w:sz w:val="20"/>
          <w:szCs w:val="20"/>
        </w:rPr>
        <w:t xml:space="preserve"> doit-elle se faire dans le TVS fragile ou dans la commune </w:t>
      </w:r>
      <w:r w:rsidR="008E2FE3">
        <w:rPr>
          <w:rFonts w:ascii="Marianne" w:hAnsi="Marianne"/>
          <w:sz w:val="20"/>
          <w:szCs w:val="20"/>
        </w:rPr>
        <w:t xml:space="preserve">recensant au moins 2 000 habitants </w:t>
      </w:r>
      <w:r w:rsidR="00DB5464">
        <w:rPr>
          <w:rFonts w:ascii="Marianne" w:hAnsi="Marianne"/>
          <w:sz w:val="20"/>
          <w:szCs w:val="20"/>
        </w:rPr>
        <w:t>?</w:t>
      </w:r>
      <w:r w:rsidR="008E2FE3">
        <w:rPr>
          <w:rFonts w:ascii="Marianne" w:hAnsi="Marianne"/>
          <w:sz w:val="20"/>
          <w:szCs w:val="20"/>
        </w:rPr>
        <w:t xml:space="preserve"> le dispositif s’applique-t-il dans les communes contigües qui ne seraient pas reliées entre elles par une route ?</w:t>
      </w:r>
    </w:p>
    <w:p w14:paraId="3EB726A0" w14:textId="77777777" w:rsidR="008E2FE3" w:rsidRDefault="008E2FE3" w:rsidP="00A22E2D">
      <w:pPr>
        <w:spacing w:after="0" w:line="240" w:lineRule="auto"/>
        <w:jc w:val="both"/>
        <w:rPr>
          <w:rFonts w:ascii="Marianne" w:hAnsi="Marianne"/>
          <w:sz w:val="20"/>
          <w:szCs w:val="20"/>
        </w:rPr>
      </w:pPr>
    </w:p>
    <w:p w14:paraId="7794CAAA" w14:textId="3B34B625" w:rsidR="001C5C68" w:rsidRPr="00631C79" w:rsidRDefault="001C5C68" w:rsidP="006E3581">
      <w:pPr>
        <w:spacing w:after="0" w:line="240" w:lineRule="auto"/>
        <w:jc w:val="both"/>
        <w:rPr>
          <w:rFonts w:ascii="Marianne" w:hAnsi="Marianne"/>
          <w:sz w:val="20"/>
          <w:szCs w:val="20"/>
        </w:rPr>
      </w:pPr>
      <w:r w:rsidRPr="00631C79">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631C79">
        <w:rPr>
          <w:rFonts w:ascii="Marianne" w:hAnsi="Marianne"/>
          <w:i/>
          <w:iCs/>
          <w:sz w:val="20"/>
          <w:szCs w:val="20"/>
        </w:rPr>
        <w:t xml:space="preserve"> : </w:t>
      </w:r>
      <w:r w:rsidR="00A22E2D">
        <w:rPr>
          <w:rFonts w:ascii="Marianne" w:hAnsi="Marianne"/>
          <w:i/>
          <w:iCs/>
          <w:sz w:val="20"/>
          <w:szCs w:val="20"/>
        </w:rPr>
        <w:t>En application de l’article L. 5125-6-1 du code de la santé publique qui précise que « </w:t>
      </w:r>
      <w:r w:rsidR="001D54F3" w:rsidRPr="001D54F3">
        <w:rPr>
          <w:rFonts w:ascii="Marianne" w:hAnsi="Marianne"/>
          <w:b/>
          <w:bCs/>
          <w:i/>
          <w:iCs/>
          <w:sz w:val="20"/>
          <w:szCs w:val="20"/>
        </w:rPr>
        <w:t>D</w:t>
      </w:r>
      <w:r w:rsidR="00A22E2D" w:rsidRPr="00A22E2D">
        <w:rPr>
          <w:rFonts w:ascii="Marianne" w:hAnsi="Marianne"/>
          <w:b/>
          <w:bCs/>
          <w:i/>
          <w:iCs/>
          <w:sz w:val="20"/>
          <w:szCs w:val="20"/>
        </w:rPr>
        <w:t>ans les territoires</w:t>
      </w:r>
      <w:r w:rsidR="00A22E2D">
        <w:rPr>
          <w:rFonts w:ascii="Marianne" w:hAnsi="Marianne"/>
          <w:i/>
          <w:iCs/>
          <w:sz w:val="20"/>
          <w:szCs w:val="20"/>
        </w:rPr>
        <w:t xml:space="preserve"> </w:t>
      </w:r>
      <w:r w:rsidR="00A22E2D" w:rsidRPr="00DB5464">
        <w:rPr>
          <w:rFonts w:ascii="Marianne" w:hAnsi="Marianne"/>
          <w:b/>
          <w:bCs/>
          <w:i/>
          <w:iCs/>
          <w:sz w:val="20"/>
          <w:szCs w:val="20"/>
        </w:rPr>
        <w:t>définis à l’article L. 5125-6</w:t>
      </w:r>
      <w:r w:rsidR="00A22E2D">
        <w:rPr>
          <w:rFonts w:ascii="Marianne" w:hAnsi="Marianne"/>
          <w:i/>
          <w:iCs/>
          <w:sz w:val="20"/>
          <w:szCs w:val="20"/>
        </w:rPr>
        <w:t xml:space="preserve">, le DG ARS fixe par arrêté […] la liste des communes contigües dépourvues d’officine, dont une recense au moins 2 000 habitants, afin de totaliser un nombre d’habitants conforme au seuil prévu à l’article L. 5125.4 du présent code. L’ouverture d’une officine par voie de transfert ou de regroupement peut être autorisée </w:t>
      </w:r>
      <w:r w:rsidR="00A22E2D" w:rsidRPr="00DB5464">
        <w:rPr>
          <w:rFonts w:ascii="Marianne" w:hAnsi="Marianne"/>
          <w:b/>
          <w:bCs/>
          <w:i/>
          <w:iCs/>
          <w:sz w:val="20"/>
          <w:szCs w:val="20"/>
        </w:rPr>
        <w:t>au sein de ces communes</w:t>
      </w:r>
      <w:r w:rsidR="00A22E2D">
        <w:rPr>
          <w:rFonts w:ascii="Marianne" w:hAnsi="Marianne"/>
          <w:i/>
          <w:iCs/>
          <w:sz w:val="20"/>
          <w:szCs w:val="20"/>
        </w:rPr>
        <w:t> ». </w:t>
      </w:r>
      <w:r w:rsidR="00CD02AF">
        <w:rPr>
          <w:rFonts w:ascii="Marianne" w:hAnsi="Marianne"/>
          <w:i/>
          <w:iCs/>
          <w:sz w:val="20"/>
          <w:szCs w:val="20"/>
        </w:rPr>
        <w:t>L</w:t>
      </w:r>
      <w:r w:rsidR="00A22E2D">
        <w:rPr>
          <w:rFonts w:ascii="Marianne" w:hAnsi="Marianne"/>
          <w:i/>
          <w:iCs/>
          <w:sz w:val="20"/>
          <w:szCs w:val="20"/>
        </w:rPr>
        <w:t>’officine créée doit l’être dans le TVS dit « fragile »</w:t>
      </w:r>
      <w:r w:rsidR="00DB5464">
        <w:rPr>
          <w:rFonts w:ascii="Marianne" w:hAnsi="Marianne"/>
          <w:i/>
          <w:iCs/>
          <w:sz w:val="20"/>
          <w:szCs w:val="20"/>
        </w:rPr>
        <w:t xml:space="preserve"> (et non pas dans le TVS d’origine ni dans </w:t>
      </w:r>
      <w:r w:rsidR="008E2FE3">
        <w:rPr>
          <w:rFonts w:ascii="Marianne" w:hAnsi="Marianne"/>
          <w:i/>
          <w:iCs/>
          <w:sz w:val="20"/>
          <w:szCs w:val="20"/>
        </w:rPr>
        <w:t>la commune la plus peuplée</w:t>
      </w:r>
      <w:r w:rsidR="00DB5464">
        <w:rPr>
          <w:rFonts w:ascii="Marianne" w:hAnsi="Marianne"/>
          <w:i/>
          <w:iCs/>
          <w:sz w:val="20"/>
          <w:szCs w:val="20"/>
        </w:rPr>
        <w:t>)</w:t>
      </w:r>
      <w:r w:rsidR="00A22E2D">
        <w:rPr>
          <w:rFonts w:ascii="Marianne" w:hAnsi="Marianne"/>
          <w:i/>
          <w:iCs/>
          <w:sz w:val="20"/>
          <w:szCs w:val="20"/>
        </w:rPr>
        <w:t>.</w:t>
      </w:r>
      <w:r w:rsidR="008E2FE3">
        <w:rPr>
          <w:rFonts w:ascii="Marianne" w:hAnsi="Marianne"/>
          <w:i/>
          <w:iCs/>
          <w:sz w:val="20"/>
          <w:szCs w:val="20"/>
        </w:rPr>
        <w:t xml:space="preserve"> Le décret de juillet 2024 comme l’instruction ne précisent pas que les communes contigües doivent être reliées entre elles par une route : il peut donc être considéré que le dispositif peut s’appliquer même en l’absence de route.</w:t>
      </w:r>
    </w:p>
    <w:p w14:paraId="45CB0ACB" w14:textId="77777777" w:rsidR="001C5C68" w:rsidRDefault="001C5C68" w:rsidP="006E3581">
      <w:pPr>
        <w:spacing w:after="0" w:line="240" w:lineRule="auto"/>
        <w:jc w:val="both"/>
        <w:rPr>
          <w:rFonts w:ascii="Marianne" w:hAnsi="Marianne"/>
          <w:b/>
          <w:bCs/>
          <w:sz w:val="20"/>
          <w:szCs w:val="20"/>
        </w:rPr>
      </w:pPr>
    </w:p>
    <w:p w14:paraId="791CB61B" w14:textId="63E06E93" w:rsidR="001C5C68" w:rsidRPr="006E3581" w:rsidRDefault="001C5C68" w:rsidP="006E3581">
      <w:pPr>
        <w:spacing w:after="0" w:line="240" w:lineRule="auto"/>
        <w:jc w:val="both"/>
        <w:rPr>
          <w:rFonts w:ascii="Marianne" w:hAnsi="Marianne"/>
          <w:b/>
          <w:bCs/>
        </w:rPr>
      </w:pPr>
      <w:r w:rsidRPr="005156A7">
        <w:rPr>
          <w:rFonts w:ascii="Marianne" w:hAnsi="Marianne"/>
          <w:b/>
          <w:bCs/>
          <w:highlight w:val="lightGray"/>
        </w:rPr>
        <w:t>Sur les critères du plafond régional :</w:t>
      </w:r>
    </w:p>
    <w:p w14:paraId="1CF729F4" w14:textId="62D13047" w:rsidR="001C5C68" w:rsidRDefault="001C5C68" w:rsidP="006E3581">
      <w:pPr>
        <w:spacing w:after="0" w:line="240" w:lineRule="auto"/>
        <w:jc w:val="both"/>
        <w:rPr>
          <w:rFonts w:ascii="Marianne" w:hAnsi="Marianne"/>
          <w:sz w:val="20"/>
          <w:szCs w:val="20"/>
        </w:rPr>
      </w:pPr>
      <w:r w:rsidRPr="00C4361E">
        <w:rPr>
          <w:rFonts w:ascii="Marianne" w:hAnsi="Marianne"/>
          <w:sz w:val="20"/>
          <w:szCs w:val="20"/>
        </w:rPr>
        <w:t xml:space="preserve">Comment faire en l’absence de critère de temps d’accès ? </w:t>
      </w:r>
    </w:p>
    <w:p w14:paraId="49573023" w14:textId="77777777" w:rsidR="001D54F3" w:rsidRDefault="001D54F3" w:rsidP="006E3581">
      <w:pPr>
        <w:spacing w:after="0" w:line="240" w:lineRule="auto"/>
        <w:jc w:val="both"/>
        <w:rPr>
          <w:rFonts w:ascii="Marianne" w:hAnsi="Marianne"/>
          <w:sz w:val="20"/>
          <w:szCs w:val="20"/>
        </w:rPr>
      </w:pPr>
    </w:p>
    <w:p w14:paraId="511139C0" w14:textId="5E7C4D7D" w:rsidR="001C5C68" w:rsidRDefault="001C5C68" w:rsidP="006E3581">
      <w:pPr>
        <w:spacing w:after="0" w:line="240" w:lineRule="auto"/>
        <w:jc w:val="both"/>
        <w:rPr>
          <w:rFonts w:ascii="Marianne" w:hAnsi="Marianne"/>
          <w:i/>
          <w:iCs/>
          <w:sz w:val="20"/>
          <w:szCs w:val="20"/>
        </w:rPr>
      </w:pPr>
      <w:r w:rsidRPr="00631C79">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631C79">
        <w:rPr>
          <w:rFonts w:ascii="Marianne" w:hAnsi="Marianne"/>
          <w:i/>
          <w:iCs/>
          <w:sz w:val="20"/>
          <w:szCs w:val="20"/>
        </w:rPr>
        <w:t> :</w:t>
      </w:r>
      <w:r w:rsidR="001D54F3">
        <w:rPr>
          <w:rFonts w:ascii="Marianne" w:hAnsi="Marianne"/>
          <w:i/>
          <w:iCs/>
          <w:sz w:val="20"/>
          <w:szCs w:val="20"/>
        </w:rPr>
        <w:t xml:space="preserve"> Le critère de temps d’accès a été pris en compte pour le calcul des plafonds régionaux. Le choix des critères aux mains des ARS résulte de plusieurs mois de concertation et d’arbitrages politiques. </w:t>
      </w:r>
      <w:r w:rsidRPr="00631C79">
        <w:rPr>
          <w:rFonts w:ascii="Marianne" w:hAnsi="Marianne"/>
          <w:i/>
          <w:iCs/>
          <w:sz w:val="20"/>
          <w:szCs w:val="20"/>
        </w:rPr>
        <w:t xml:space="preserve"> </w:t>
      </w:r>
    </w:p>
    <w:p w14:paraId="597E04A8" w14:textId="77777777" w:rsidR="006E3581" w:rsidRPr="00631C79" w:rsidRDefault="006E3581" w:rsidP="006E3581">
      <w:pPr>
        <w:spacing w:after="0" w:line="240" w:lineRule="auto"/>
        <w:jc w:val="both"/>
        <w:rPr>
          <w:rFonts w:ascii="Marianne" w:hAnsi="Marianne"/>
          <w:i/>
          <w:iCs/>
          <w:sz w:val="20"/>
          <w:szCs w:val="20"/>
        </w:rPr>
      </w:pPr>
    </w:p>
    <w:p w14:paraId="1732AF53" w14:textId="6FAC1DFB" w:rsidR="001C5C68" w:rsidRPr="006E3581" w:rsidRDefault="001C5C68" w:rsidP="006E3581">
      <w:pPr>
        <w:spacing w:after="0" w:line="240" w:lineRule="auto"/>
        <w:jc w:val="both"/>
        <w:rPr>
          <w:rFonts w:ascii="Marianne" w:hAnsi="Marianne"/>
          <w:b/>
          <w:bCs/>
        </w:rPr>
      </w:pPr>
      <w:r w:rsidRPr="005156A7">
        <w:rPr>
          <w:rFonts w:ascii="Marianne" w:hAnsi="Marianne"/>
          <w:b/>
          <w:bCs/>
          <w:highlight w:val="lightGray"/>
        </w:rPr>
        <w:t>Sur la modulation des critères :</w:t>
      </w:r>
    </w:p>
    <w:p w14:paraId="0FC70C6B" w14:textId="05834CE0" w:rsidR="00E533A3" w:rsidRDefault="001C5C68" w:rsidP="006E3581">
      <w:pPr>
        <w:spacing w:after="0" w:line="240" w:lineRule="auto"/>
        <w:jc w:val="both"/>
        <w:rPr>
          <w:rFonts w:ascii="Marianne" w:hAnsi="Marianne"/>
          <w:sz w:val="20"/>
          <w:szCs w:val="20"/>
        </w:rPr>
      </w:pPr>
      <w:r w:rsidRPr="00C4361E">
        <w:rPr>
          <w:rFonts w:ascii="Marianne" w:hAnsi="Marianne"/>
          <w:sz w:val="20"/>
          <w:szCs w:val="20"/>
        </w:rPr>
        <w:t>Est-ce qu</w:t>
      </w:r>
      <w:r w:rsidR="001D54F3">
        <w:rPr>
          <w:rFonts w:ascii="Marianne" w:hAnsi="Marianne"/>
          <w:sz w:val="20"/>
          <w:szCs w:val="20"/>
        </w:rPr>
        <w:t>e l</w:t>
      </w:r>
      <w:r w:rsidRPr="00C4361E">
        <w:rPr>
          <w:rFonts w:ascii="Marianne" w:hAnsi="Marianne"/>
          <w:sz w:val="20"/>
          <w:szCs w:val="20"/>
        </w:rPr>
        <w:t>’on peut moduler les critères différemment selon les départements ?</w:t>
      </w:r>
      <w:r w:rsidR="00E533A3">
        <w:rPr>
          <w:rFonts w:ascii="Marianne" w:hAnsi="Marianne"/>
          <w:sz w:val="20"/>
          <w:szCs w:val="20"/>
        </w:rPr>
        <w:t xml:space="preserve"> comment justifier qu’</w:t>
      </w:r>
      <w:r w:rsidR="00E533A3" w:rsidRPr="00E533A3">
        <w:rPr>
          <w:rFonts w:ascii="Marianne" w:hAnsi="Marianne"/>
          <w:sz w:val="20"/>
          <w:szCs w:val="20"/>
        </w:rPr>
        <w:t xml:space="preserve">un TVS soit identifié lorsqu'il ne remplit qu'un critère </w:t>
      </w:r>
      <w:r w:rsidR="00E533A3">
        <w:rPr>
          <w:rFonts w:ascii="Marianne" w:hAnsi="Marianne"/>
          <w:sz w:val="20"/>
          <w:szCs w:val="20"/>
        </w:rPr>
        <w:t>alors qu’</w:t>
      </w:r>
      <w:r w:rsidR="00E533A3" w:rsidRPr="00E533A3">
        <w:rPr>
          <w:rFonts w:ascii="Marianne" w:hAnsi="Marianne"/>
          <w:sz w:val="20"/>
          <w:szCs w:val="20"/>
        </w:rPr>
        <w:t xml:space="preserve">un autre </w:t>
      </w:r>
      <w:r w:rsidR="00E533A3">
        <w:rPr>
          <w:rFonts w:ascii="Marianne" w:hAnsi="Marianne"/>
          <w:sz w:val="20"/>
          <w:szCs w:val="20"/>
        </w:rPr>
        <w:t xml:space="preserve">TVS est identifié lorsqu’il </w:t>
      </w:r>
      <w:r w:rsidR="00E533A3" w:rsidRPr="00E533A3">
        <w:rPr>
          <w:rFonts w:ascii="Marianne" w:hAnsi="Marianne"/>
          <w:sz w:val="20"/>
          <w:szCs w:val="20"/>
        </w:rPr>
        <w:t>en remplit deux ?</w:t>
      </w:r>
    </w:p>
    <w:p w14:paraId="665DCE38" w14:textId="77777777" w:rsidR="004100D0" w:rsidRDefault="004100D0" w:rsidP="006E3581">
      <w:pPr>
        <w:spacing w:after="0" w:line="240" w:lineRule="auto"/>
        <w:jc w:val="both"/>
        <w:rPr>
          <w:rFonts w:ascii="Marianne" w:hAnsi="Marianne"/>
          <w:sz w:val="20"/>
          <w:szCs w:val="20"/>
        </w:rPr>
      </w:pPr>
    </w:p>
    <w:p w14:paraId="0C1ACF29" w14:textId="0EC40D24" w:rsidR="001C5C68" w:rsidRPr="00631C79" w:rsidRDefault="001C5C68" w:rsidP="006E3581">
      <w:pPr>
        <w:spacing w:after="0" w:line="240" w:lineRule="auto"/>
        <w:jc w:val="both"/>
        <w:rPr>
          <w:rFonts w:ascii="Marianne" w:hAnsi="Marianne"/>
          <w:i/>
          <w:iCs/>
          <w:sz w:val="20"/>
          <w:szCs w:val="20"/>
        </w:rPr>
      </w:pPr>
      <w:r w:rsidRPr="00631C79">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631C79">
        <w:rPr>
          <w:rFonts w:ascii="Marianne" w:hAnsi="Marianne"/>
          <w:i/>
          <w:iCs/>
          <w:sz w:val="20"/>
          <w:szCs w:val="20"/>
        </w:rPr>
        <w:t xml:space="preserve"> : </w:t>
      </w:r>
      <w:r w:rsidR="008E2FE3">
        <w:rPr>
          <w:rFonts w:ascii="Marianne" w:hAnsi="Marianne"/>
          <w:i/>
          <w:iCs/>
          <w:sz w:val="20"/>
          <w:szCs w:val="20"/>
        </w:rPr>
        <w:t>L</w:t>
      </w:r>
      <w:r w:rsidR="00707101">
        <w:rPr>
          <w:rFonts w:ascii="Marianne" w:hAnsi="Marianne"/>
          <w:i/>
          <w:iCs/>
          <w:sz w:val="20"/>
          <w:szCs w:val="20"/>
        </w:rPr>
        <w:t xml:space="preserve">es critères retenus peuvent être différents d’un TVS à l’autre (et donc d’un département à l’autre). En effet, </w:t>
      </w:r>
      <w:r w:rsidR="00707101" w:rsidRPr="00707101">
        <w:rPr>
          <w:rFonts w:ascii="Marianne" w:hAnsi="Marianne"/>
          <w:i/>
          <w:iCs/>
          <w:sz w:val="20"/>
          <w:szCs w:val="20"/>
        </w:rPr>
        <w:t xml:space="preserve">certains TVS </w:t>
      </w:r>
      <w:r w:rsidR="00707101">
        <w:rPr>
          <w:rFonts w:ascii="Marianne" w:hAnsi="Marianne"/>
          <w:i/>
          <w:iCs/>
          <w:sz w:val="20"/>
          <w:szCs w:val="20"/>
        </w:rPr>
        <w:t>peuvent</w:t>
      </w:r>
      <w:r w:rsidR="00707101" w:rsidRPr="00707101">
        <w:rPr>
          <w:rFonts w:ascii="Marianne" w:hAnsi="Marianne"/>
          <w:i/>
          <w:iCs/>
          <w:sz w:val="20"/>
          <w:szCs w:val="20"/>
        </w:rPr>
        <w:t xml:space="preserve"> être définis par 1 critère, d’autres par 2 etc</w:t>
      </w:r>
      <w:r w:rsidR="00707101">
        <w:rPr>
          <w:rFonts w:ascii="Marianne" w:hAnsi="Marianne"/>
          <w:i/>
          <w:iCs/>
          <w:sz w:val="20"/>
          <w:szCs w:val="20"/>
        </w:rPr>
        <w:t xml:space="preserve"> à la discrétion du DG ARS</w:t>
      </w:r>
      <w:r w:rsidR="00E533A3">
        <w:rPr>
          <w:rFonts w:ascii="Marianne" w:hAnsi="Marianne"/>
          <w:i/>
          <w:iCs/>
          <w:sz w:val="20"/>
          <w:szCs w:val="20"/>
        </w:rPr>
        <w:t xml:space="preserve"> qui a la connaissance</w:t>
      </w:r>
      <w:r w:rsidR="008E2FE3">
        <w:rPr>
          <w:rFonts w:ascii="Marianne" w:hAnsi="Marianne"/>
          <w:i/>
          <w:iCs/>
          <w:sz w:val="20"/>
          <w:szCs w:val="20"/>
        </w:rPr>
        <w:t xml:space="preserve"> fine</w:t>
      </w:r>
      <w:r w:rsidR="00E533A3">
        <w:rPr>
          <w:rFonts w:ascii="Marianne" w:hAnsi="Marianne"/>
          <w:i/>
          <w:iCs/>
          <w:sz w:val="20"/>
          <w:szCs w:val="20"/>
        </w:rPr>
        <w:t xml:space="preserve"> des difficultés de son territoire.</w:t>
      </w:r>
      <w:r w:rsidR="005156A7">
        <w:rPr>
          <w:rFonts w:ascii="Marianne" w:hAnsi="Marianne"/>
          <w:i/>
          <w:iCs/>
          <w:sz w:val="20"/>
          <w:szCs w:val="20"/>
        </w:rPr>
        <w:t xml:space="preserve"> Il est par ailleurs </w:t>
      </w:r>
      <w:r w:rsidR="008E2FE3">
        <w:rPr>
          <w:rFonts w:ascii="Marianne" w:hAnsi="Marianne"/>
          <w:i/>
          <w:iCs/>
          <w:sz w:val="20"/>
          <w:szCs w:val="20"/>
        </w:rPr>
        <w:t xml:space="preserve">possible </w:t>
      </w:r>
      <w:r w:rsidR="005156A7">
        <w:rPr>
          <w:rFonts w:ascii="Marianne" w:hAnsi="Marianne"/>
          <w:i/>
          <w:iCs/>
          <w:sz w:val="20"/>
          <w:szCs w:val="20"/>
        </w:rPr>
        <w:t xml:space="preserve">de n’utiliser qu’un critère parmi les quatre. </w:t>
      </w:r>
    </w:p>
    <w:p w14:paraId="6D136ADA" w14:textId="77777777" w:rsidR="001C5C68" w:rsidRDefault="001C5C68" w:rsidP="006E3581">
      <w:pPr>
        <w:spacing w:after="0" w:line="240" w:lineRule="auto"/>
        <w:jc w:val="both"/>
        <w:rPr>
          <w:rFonts w:ascii="Marianne" w:hAnsi="Marianne"/>
          <w:b/>
          <w:bCs/>
          <w:sz w:val="20"/>
          <w:szCs w:val="20"/>
        </w:rPr>
      </w:pPr>
    </w:p>
    <w:p w14:paraId="7D0E6D23" w14:textId="685A3576" w:rsidR="001C5C68" w:rsidRDefault="001C5C68" w:rsidP="006E3581">
      <w:pPr>
        <w:spacing w:after="0" w:line="240" w:lineRule="auto"/>
        <w:jc w:val="both"/>
        <w:rPr>
          <w:rFonts w:ascii="Marianne" w:hAnsi="Marianne"/>
          <w:b/>
          <w:bCs/>
        </w:rPr>
      </w:pPr>
      <w:r w:rsidRPr="005156A7">
        <w:rPr>
          <w:rFonts w:ascii="Marianne" w:hAnsi="Marianne"/>
          <w:b/>
          <w:bCs/>
          <w:highlight w:val="lightGray"/>
        </w:rPr>
        <w:t>Sur le critère 1 (zonage médecins) :</w:t>
      </w:r>
    </w:p>
    <w:p w14:paraId="6EB2025D" w14:textId="295B490D" w:rsidR="001C5C68" w:rsidRPr="00707101" w:rsidRDefault="00707101" w:rsidP="006E3581">
      <w:pPr>
        <w:spacing w:after="0" w:line="240" w:lineRule="auto"/>
        <w:jc w:val="both"/>
        <w:rPr>
          <w:rFonts w:ascii="Marianne" w:hAnsi="Marianne"/>
          <w:i/>
          <w:iCs/>
          <w:sz w:val="20"/>
          <w:szCs w:val="20"/>
        </w:rPr>
      </w:pPr>
      <w:r w:rsidRPr="00707101">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707101">
        <w:rPr>
          <w:rFonts w:ascii="Marianne" w:hAnsi="Marianne"/>
          <w:i/>
          <w:iCs/>
          <w:sz w:val="20"/>
          <w:szCs w:val="20"/>
        </w:rPr>
        <w:t> : le critère 1 du décret de juillet 2024 renvoie bien au zonage médecins, c’est-à-dire à la notion de ZIP et de ZAC</w:t>
      </w:r>
      <w:r w:rsidR="005156A7">
        <w:rPr>
          <w:rFonts w:ascii="Marianne" w:hAnsi="Marianne"/>
          <w:i/>
          <w:iCs/>
          <w:sz w:val="20"/>
          <w:szCs w:val="20"/>
        </w:rPr>
        <w:t>, définies dans la méthodologie du zonage médecin dans l’arrêté de 2021</w:t>
      </w:r>
      <w:r w:rsidR="00D73CDD">
        <w:rPr>
          <w:rFonts w:ascii="Marianne" w:hAnsi="Marianne"/>
          <w:i/>
          <w:iCs/>
          <w:sz w:val="20"/>
          <w:szCs w:val="20"/>
        </w:rPr>
        <w:t>.</w:t>
      </w:r>
    </w:p>
    <w:p w14:paraId="12F358F1" w14:textId="77777777" w:rsidR="001C5C68" w:rsidRDefault="001C5C68" w:rsidP="006E3581">
      <w:pPr>
        <w:spacing w:after="0" w:line="240" w:lineRule="auto"/>
        <w:jc w:val="both"/>
        <w:rPr>
          <w:rFonts w:ascii="Marianne" w:hAnsi="Marianne"/>
          <w:b/>
          <w:bCs/>
          <w:sz w:val="20"/>
          <w:szCs w:val="20"/>
        </w:rPr>
      </w:pPr>
    </w:p>
    <w:p w14:paraId="6993A123" w14:textId="1F57F2C6" w:rsidR="006E3581" w:rsidRPr="006E3581" w:rsidRDefault="006E3581" w:rsidP="006E3581">
      <w:pPr>
        <w:spacing w:after="0" w:line="240" w:lineRule="auto"/>
        <w:jc w:val="both"/>
        <w:rPr>
          <w:rFonts w:ascii="Marianne" w:hAnsi="Marianne"/>
          <w:b/>
          <w:bCs/>
        </w:rPr>
      </w:pPr>
      <w:r w:rsidRPr="005156A7">
        <w:rPr>
          <w:rFonts w:ascii="Marianne" w:hAnsi="Marianne"/>
          <w:b/>
          <w:bCs/>
          <w:highlight w:val="lightGray"/>
        </w:rPr>
        <w:t xml:space="preserve">Sur le critère 2 (récurrence de la participation </w:t>
      </w:r>
      <w:r w:rsidR="00707101" w:rsidRPr="005156A7">
        <w:rPr>
          <w:rFonts w:ascii="Marianne" w:hAnsi="Marianne"/>
          <w:b/>
          <w:bCs/>
          <w:highlight w:val="lightGray"/>
        </w:rPr>
        <w:t>au service de garde et d’urgence</w:t>
      </w:r>
      <w:r w:rsidRPr="005156A7">
        <w:rPr>
          <w:rFonts w:ascii="Marianne" w:hAnsi="Marianne"/>
          <w:b/>
          <w:bCs/>
          <w:highlight w:val="lightGray"/>
        </w:rPr>
        <w:t>) :</w:t>
      </w:r>
    </w:p>
    <w:p w14:paraId="5F9998A0" w14:textId="34480B28" w:rsidR="006E3581" w:rsidRDefault="00707101" w:rsidP="006E3581">
      <w:pPr>
        <w:spacing w:after="0" w:line="240" w:lineRule="auto"/>
        <w:jc w:val="both"/>
        <w:rPr>
          <w:rFonts w:ascii="Marianne" w:hAnsi="Marianne"/>
          <w:sz w:val="20"/>
          <w:szCs w:val="20"/>
        </w:rPr>
      </w:pPr>
      <w:r>
        <w:rPr>
          <w:rFonts w:ascii="Marianne" w:hAnsi="Marianne"/>
          <w:sz w:val="20"/>
          <w:szCs w:val="20"/>
        </w:rPr>
        <w:t>Est-il possible d’utiliser le</w:t>
      </w:r>
      <w:r w:rsidR="006E3581" w:rsidRPr="00C4361E">
        <w:rPr>
          <w:rFonts w:ascii="Marianne" w:hAnsi="Marianne"/>
          <w:sz w:val="20"/>
          <w:szCs w:val="20"/>
        </w:rPr>
        <w:t xml:space="preserve"> SNDS pour la récurrence des gardes, plutôt que </w:t>
      </w:r>
      <w:r>
        <w:rPr>
          <w:rFonts w:ascii="Marianne" w:hAnsi="Marianne"/>
          <w:sz w:val="20"/>
          <w:szCs w:val="20"/>
        </w:rPr>
        <w:t>les</w:t>
      </w:r>
      <w:r w:rsidR="006E3581" w:rsidRPr="00C4361E">
        <w:rPr>
          <w:rFonts w:ascii="Marianne" w:hAnsi="Marianne"/>
          <w:sz w:val="20"/>
          <w:szCs w:val="20"/>
        </w:rPr>
        <w:t xml:space="preserve"> données transmises par les syndicats</w:t>
      </w:r>
      <w:r>
        <w:rPr>
          <w:rFonts w:ascii="Marianne" w:hAnsi="Marianne"/>
          <w:sz w:val="20"/>
          <w:szCs w:val="20"/>
        </w:rPr>
        <w:t xml:space="preserve"> ? </w:t>
      </w:r>
      <w:r w:rsidR="006E3581" w:rsidRPr="00C4361E">
        <w:rPr>
          <w:rFonts w:ascii="Marianne" w:hAnsi="Marianne"/>
          <w:sz w:val="20"/>
          <w:szCs w:val="20"/>
        </w:rPr>
        <w:t>Est-</w:t>
      </w:r>
      <w:r>
        <w:rPr>
          <w:rFonts w:ascii="Marianne" w:hAnsi="Marianne"/>
          <w:sz w:val="20"/>
          <w:szCs w:val="20"/>
        </w:rPr>
        <w:t>il possible de</w:t>
      </w:r>
      <w:r w:rsidR="006E3581" w:rsidRPr="00C4361E">
        <w:rPr>
          <w:rFonts w:ascii="Marianne" w:hAnsi="Marianne"/>
          <w:sz w:val="20"/>
          <w:szCs w:val="20"/>
        </w:rPr>
        <w:t xml:space="preserve"> moduler différemment les gardes de nuit et les gardes de jours ? </w:t>
      </w:r>
      <w:r>
        <w:rPr>
          <w:rFonts w:ascii="Marianne" w:hAnsi="Marianne"/>
          <w:sz w:val="20"/>
          <w:szCs w:val="20"/>
        </w:rPr>
        <w:t>comment définir la récurrence ?</w:t>
      </w:r>
    </w:p>
    <w:p w14:paraId="3BC794CF" w14:textId="77777777" w:rsidR="004100D0" w:rsidRDefault="004100D0" w:rsidP="006E3581">
      <w:pPr>
        <w:spacing w:after="0" w:line="240" w:lineRule="auto"/>
        <w:jc w:val="both"/>
        <w:rPr>
          <w:rFonts w:ascii="Marianne" w:hAnsi="Marianne"/>
          <w:sz w:val="20"/>
          <w:szCs w:val="20"/>
        </w:rPr>
      </w:pPr>
    </w:p>
    <w:p w14:paraId="53E353E3" w14:textId="6B9D037C" w:rsidR="00707101" w:rsidRDefault="006E3581" w:rsidP="00707101">
      <w:pPr>
        <w:spacing w:after="0" w:line="240" w:lineRule="auto"/>
        <w:jc w:val="both"/>
        <w:rPr>
          <w:rFonts w:ascii="Marianne" w:hAnsi="Marianne"/>
          <w:i/>
          <w:iCs/>
          <w:sz w:val="20"/>
          <w:szCs w:val="20"/>
        </w:rPr>
      </w:pPr>
      <w:r w:rsidRPr="00920CD1">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920CD1">
        <w:rPr>
          <w:rFonts w:ascii="Marianne" w:hAnsi="Marianne"/>
          <w:b/>
          <w:bCs/>
          <w:i/>
          <w:iCs/>
          <w:sz w:val="20"/>
          <w:szCs w:val="20"/>
          <w:u w:val="single"/>
        </w:rPr>
        <w:t> </w:t>
      </w:r>
      <w:r w:rsidRPr="00920CD1">
        <w:rPr>
          <w:rFonts w:ascii="Marianne" w:hAnsi="Marianne"/>
          <w:i/>
          <w:iCs/>
          <w:sz w:val="20"/>
          <w:szCs w:val="20"/>
        </w:rPr>
        <w:t>:</w:t>
      </w:r>
      <w:r w:rsidR="00707101">
        <w:rPr>
          <w:rFonts w:ascii="Marianne" w:hAnsi="Marianne"/>
          <w:i/>
          <w:iCs/>
          <w:sz w:val="20"/>
          <w:szCs w:val="20"/>
        </w:rPr>
        <w:t xml:space="preserve"> C</w:t>
      </w:r>
      <w:r w:rsidR="00707101" w:rsidRPr="00707101">
        <w:rPr>
          <w:rFonts w:ascii="Marianne" w:hAnsi="Marianne"/>
          <w:i/>
          <w:iCs/>
          <w:sz w:val="20"/>
          <w:szCs w:val="20"/>
        </w:rPr>
        <w:t>e critère est pertinent dans le sens où si la récurrence de participation d’une officine à ce service est forte, cela présume un manque d’officines sur le territoire. Par ailleurs, ce critère devrait inciter les syndicats à partager plus systématiquement les informations dont ils disposent sur les participations à ce service ou du moins appuyer les ARS lorsqu’elles le leur demandent.</w:t>
      </w:r>
      <w:r w:rsidR="00707101">
        <w:rPr>
          <w:rFonts w:ascii="Marianne" w:hAnsi="Marianne"/>
          <w:i/>
          <w:iCs/>
          <w:sz w:val="20"/>
          <w:szCs w:val="20"/>
        </w:rPr>
        <w:t xml:space="preserve"> La DGOS ne voit de difficulté à ce que les ARS utilisent le SNDS. Le critère concerne le service de garde dans son ensemble, charge à l’ARS de distinguer la participation aux gardes de jour ou de nuit si cela influe sur la fragilité du territoire. </w:t>
      </w:r>
      <w:r w:rsidR="00D73CDD">
        <w:rPr>
          <w:rFonts w:ascii="Marianne" w:hAnsi="Marianne"/>
          <w:i/>
          <w:iCs/>
          <w:sz w:val="20"/>
          <w:szCs w:val="20"/>
        </w:rPr>
        <w:t xml:space="preserve">La récurrence est à apprécier selon les modalités </w:t>
      </w:r>
      <w:r w:rsidR="00C7753F">
        <w:rPr>
          <w:rFonts w:ascii="Marianne" w:hAnsi="Marianne"/>
          <w:i/>
          <w:iCs/>
          <w:sz w:val="20"/>
          <w:szCs w:val="20"/>
        </w:rPr>
        <w:t>du service de garde et d’urgence</w:t>
      </w:r>
      <w:r w:rsidR="00D73CDD">
        <w:rPr>
          <w:rFonts w:ascii="Marianne" w:hAnsi="Marianne"/>
          <w:i/>
          <w:iCs/>
          <w:sz w:val="20"/>
          <w:szCs w:val="20"/>
        </w:rPr>
        <w:t xml:space="preserve"> du territoire.</w:t>
      </w:r>
      <w:r w:rsidR="00C7753F">
        <w:rPr>
          <w:rFonts w:ascii="Marianne" w:hAnsi="Marianne"/>
          <w:i/>
          <w:iCs/>
          <w:sz w:val="20"/>
          <w:szCs w:val="20"/>
        </w:rPr>
        <w:t xml:space="preserve"> </w:t>
      </w:r>
    </w:p>
    <w:p w14:paraId="636D4296" w14:textId="77777777" w:rsidR="00707101" w:rsidRDefault="00707101" w:rsidP="00707101">
      <w:pPr>
        <w:spacing w:after="0" w:line="240" w:lineRule="auto"/>
        <w:jc w:val="both"/>
        <w:rPr>
          <w:rFonts w:ascii="Marianne" w:hAnsi="Marianne"/>
          <w:i/>
          <w:iCs/>
          <w:sz w:val="20"/>
          <w:szCs w:val="20"/>
        </w:rPr>
      </w:pPr>
    </w:p>
    <w:p w14:paraId="6A146D0C" w14:textId="01AE7E21" w:rsidR="00C42AFD" w:rsidRPr="006E3581" w:rsidRDefault="00C42AFD" w:rsidP="006E3581">
      <w:pPr>
        <w:spacing w:after="0" w:line="240" w:lineRule="auto"/>
        <w:jc w:val="both"/>
        <w:rPr>
          <w:rFonts w:ascii="Marianne" w:hAnsi="Marianne"/>
          <w:b/>
          <w:bCs/>
        </w:rPr>
      </w:pPr>
      <w:r w:rsidRPr="005156A7">
        <w:rPr>
          <w:rFonts w:ascii="Marianne" w:hAnsi="Marianne"/>
          <w:b/>
          <w:bCs/>
          <w:highlight w:val="lightGray"/>
        </w:rPr>
        <w:t xml:space="preserve">Sur les critères 3 et 4 (nombre de pharmacies </w:t>
      </w:r>
      <w:r w:rsidR="00604EB3" w:rsidRPr="005156A7">
        <w:rPr>
          <w:rFonts w:ascii="Marianne" w:hAnsi="Marianne"/>
          <w:b/>
          <w:bCs/>
          <w:highlight w:val="lightGray"/>
        </w:rPr>
        <w:t>exploitées par</w:t>
      </w:r>
      <w:r w:rsidRPr="005156A7">
        <w:rPr>
          <w:rFonts w:ascii="Marianne" w:hAnsi="Marianne"/>
          <w:b/>
          <w:bCs/>
          <w:highlight w:val="lightGray"/>
        </w:rPr>
        <w:t xml:space="preserve"> un seul pharmacien titulaire et nombre de pharmacies </w:t>
      </w:r>
      <w:r w:rsidR="00604EB3" w:rsidRPr="005156A7">
        <w:rPr>
          <w:rFonts w:ascii="Marianne" w:hAnsi="Marianne"/>
          <w:b/>
          <w:bCs/>
          <w:highlight w:val="lightGray"/>
        </w:rPr>
        <w:t>exploitées par</w:t>
      </w:r>
      <w:r w:rsidRPr="005156A7">
        <w:rPr>
          <w:rFonts w:ascii="Marianne" w:hAnsi="Marianne"/>
          <w:b/>
          <w:bCs/>
          <w:highlight w:val="lightGray"/>
        </w:rPr>
        <w:t xml:space="preserve"> un seul pharmacien titulaire âgé de plus de 65 ans) :</w:t>
      </w:r>
    </w:p>
    <w:p w14:paraId="13AF83AA" w14:textId="1A6DD507" w:rsidR="00ED4989" w:rsidRDefault="00604EB3" w:rsidP="004100D0">
      <w:pPr>
        <w:spacing w:after="0" w:line="240" w:lineRule="auto"/>
        <w:jc w:val="both"/>
        <w:rPr>
          <w:rFonts w:ascii="Marianne" w:hAnsi="Marianne"/>
          <w:sz w:val="20"/>
          <w:szCs w:val="20"/>
        </w:rPr>
      </w:pPr>
      <w:r>
        <w:rPr>
          <w:rFonts w:ascii="Marianne" w:hAnsi="Marianne"/>
          <w:sz w:val="20"/>
          <w:szCs w:val="20"/>
        </w:rPr>
        <w:lastRenderedPageBreak/>
        <w:t>Plusieurs ARS considèrent que ces deux c</w:t>
      </w:r>
      <w:r w:rsidR="00C42AFD">
        <w:rPr>
          <w:rFonts w:ascii="Marianne" w:hAnsi="Marianne"/>
          <w:sz w:val="20"/>
          <w:szCs w:val="20"/>
        </w:rPr>
        <w:t xml:space="preserve">ritères </w:t>
      </w:r>
      <w:r>
        <w:rPr>
          <w:rFonts w:ascii="Marianne" w:hAnsi="Marianne"/>
          <w:sz w:val="20"/>
          <w:szCs w:val="20"/>
        </w:rPr>
        <w:t xml:space="preserve">sont inopérants et souhaitent remplacer le nombre de pharmacies par un </w:t>
      </w:r>
      <w:r w:rsidR="004100D0">
        <w:rPr>
          <w:rFonts w:ascii="Marianne" w:hAnsi="Marianne"/>
          <w:sz w:val="20"/>
          <w:szCs w:val="20"/>
        </w:rPr>
        <w:t>%</w:t>
      </w:r>
      <w:r>
        <w:rPr>
          <w:rFonts w:ascii="Marianne" w:hAnsi="Marianne"/>
          <w:sz w:val="20"/>
          <w:szCs w:val="20"/>
        </w:rPr>
        <w:t xml:space="preserve"> de pharmacies </w:t>
      </w:r>
      <w:r w:rsidR="004100D0">
        <w:rPr>
          <w:rFonts w:ascii="Marianne" w:hAnsi="Marianne"/>
          <w:sz w:val="20"/>
          <w:szCs w:val="20"/>
        </w:rPr>
        <w:t>(</w:t>
      </w:r>
      <w:r>
        <w:rPr>
          <w:rFonts w:ascii="Marianne" w:hAnsi="Marianne"/>
          <w:sz w:val="20"/>
          <w:szCs w:val="20"/>
        </w:rPr>
        <w:t xml:space="preserve">rapport </w:t>
      </w:r>
      <w:r w:rsidR="004100D0">
        <w:rPr>
          <w:rFonts w:ascii="Marianne" w:hAnsi="Marianne"/>
          <w:sz w:val="20"/>
          <w:szCs w:val="20"/>
        </w:rPr>
        <w:t>entre le nombre de pharmacies concernées par l’un ou l’autre de critères et le</w:t>
      </w:r>
      <w:r>
        <w:rPr>
          <w:rFonts w:ascii="Marianne" w:hAnsi="Marianne"/>
          <w:sz w:val="20"/>
          <w:szCs w:val="20"/>
        </w:rPr>
        <w:t xml:space="preserve"> nombre </w:t>
      </w:r>
      <w:r w:rsidR="004100D0">
        <w:rPr>
          <w:rFonts w:ascii="Marianne" w:hAnsi="Marianne"/>
          <w:sz w:val="20"/>
          <w:szCs w:val="20"/>
        </w:rPr>
        <w:t xml:space="preserve">total </w:t>
      </w:r>
      <w:r>
        <w:rPr>
          <w:rFonts w:ascii="Marianne" w:hAnsi="Marianne"/>
          <w:sz w:val="20"/>
          <w:szCs w:val="20"/>
        </w:rPr>
        <w:t>de pharmacies</w:t>
      </w:r>
      <w:r w:rsidR="004100D0">
        <w:rPr>
          <w:rFonts w:ascii="Marianne" w:hAnsi="Marianne"/>
          <w:sz w:val="20"/>
          <w:szCs w:val="20"/>
        </w:rPr>
        <w:t xml:space="preserve"> du TVS</w:t>
      </w:r>
      <w:r>
        <w:rPr>
          <w:rFonts w:ascii="Marianne" w:hAnsi="Marianne"/>
          <w:sz w:val="20"/>
          <w:szCs w:val="20"/>
        </w:rPr>
        <w:t>)</w:t>
      </w:r>
      <w:r w:rsidR="004100D0">
        <w:rPr>
          <w:rFonts w:ascii="Marianne" w:hAnsi="Marianne"/>
          <w:sz w:val="20"/>
          <w:szCs w:val="20"/>
        </w:rPr>
        <w:t>.</w:t>
      </w:r>
      <w:r w:rsidR="00ED4989">
        <w:rPr>
          <w:rFonts w:ascii="Marianne" w:hAnsi="Marianne"/>
          <w:sz w:val="20"/>
          <w:szCs w:val="20"/>
        </w:rPr>
        <w:t xml:space="preserve">  Par ailleurs, les ARS n’ont pas toutes la même interprétation concernant le nombre d’adjoints à prendre en compte.</w:t>
      </w:r>
    </w:p>
    <w:p w14:paraId="59D785C6" w14:textId="77777777" w:rsidR="004100D0" w:rsidRPr="00C4361E" w:rsidRDefault="004100D0" w:rsidP="004100D0">
      <w:pPr>
        <w:spacing w:after="0" w:line="240" w:lineRule="auto"/>
        <w:jc w:val="both"/>
        <w:rPr>
          <w:rFonts w:ascii="Marianne" w:hAnsi="Marianne"/>
          <w:sz w:val="20"/>
          <w:szCs w:val="20"/>
        </w:rPr>
      </w:pPr>
    </w:p>
    <w:p w14:paraId="0793686C" w14:textId="660FB963" w:rsidR="00C42AFD" w:rsidRPr="00631C79" w:rsidRDefault="00C42AFD" w:rsidP="006E3581">
      <w:pPr>
        <w:spacing w:after="0" w:line="240" w:lineRule="auto"/>
        <w:jc w:val="both"/>
        <w:rPr>
          <w:rFonts w:ascii="Marianne" w:hAnsi="Marianne"/>
          <w:i/>
          <w:iCs/>
          <w:sz w:val="20"/>
          <w:szCs w:val="20"/>
        </w:rPr>
      </w:pPr>
      <w:r w:rsidRPr="00920CD1">
        <w:rPr>
          <w:rFonts w:ascii="Marianne" w:hAnsi="Marianne"/>
          <w:b/>
          <w:bCs/>
          <w:i/>
          <w:iCs/>
          <w:sz w:val="20"/>
          <w:szCs w:val="20"/>
          <w:u w:val="single"/>
        </w:rPr>
        <w:t xml:space="preserve">Réponse </w:t>
      </w:r>
      <w:r w:rsidR="004100D0">
        <w:rPr>
          <w:rFonts w:ascii="Marianne" w:hAnsi="Marianne"/>
          <w:b/>
          <w:bCs/>
          <w:i/>
          <w:iCs/>
          <w:sz w:val="20"/>
          <w:szCs w:val="20"/>
          <w:u w:val="single"/>
        </w:rPr>
        <w:t>DGOS</w:t>
      </w:r>
      <w:r w:rsidRPr="00920CD1">
        <w:rPr>
          <w:rFonts w:ascii="Marianne" w:hAnsi="Marianne"/>
          <w:i/>
          <w:iCs/>
          <w:sz w:val="20"/>
          <w:szCs w:val="20"/>
        </w:rPr>
        <w:t xml:space="preserve"> : </w:t>
      </w:r>
      <w:r w:rsidR="004100D0">
        <w:rPr>
          <w:rFonts w:ascii="Marianne" w:hAnsi="Marianne"/>
          <w:i/>
          <w:iCs/>
          <w:sz w:val="20"/>
          <w:szCs w:val="20"/>
        </w:rPr>
        <w:t>la DGOS n’a pas d’objection juridique à ce que les ARS interprètent ces deux critères ainsi</w:t>
      </w:r>
      <w:r w:rsidR="00CD02AF">
        <w:rPr>
          <w:rFonts w:ascii="Marianne" w:hAnsi="Marianne"/>
          <w:i/>
          <w:iCs/>
          <w:sz w:val="20"/>
          <w:szCs w:val="20"/>
        </w:rPr>
        <w:t xml:space="preserve">, le décret de juillet 2024 laissant la liberté au DG ARS de définir les territoires fragiles </w:t>
      </w:r>
      <w:r w:rsidR="00C7753F">
        <w:rPr>
          <w:rFonts w:ascii="Marianne" w:hAnsi="Marianne"/>
          <w:i/>
          <w:iCs/>
          <w:sz w:val="20"/>
          <w:szCs w:val="20"/>
        </w:rPr>
        <w:t>« par référence</w:t>
      </w:r>
      <w:r w:rsidR="00CD02AF">
        <w:rPr>
          <w:rFonts w:ascii="Marianne" w:hAnsi="Marianne"/>
          <w:i/>
          <w:iCs/>
          <w:sz w:val="20"/>
          <w:szCs w:val="20"/>
        </w:rPr>
        <w:t> » aux critères listés dans le décret</w:t>
      </w:r>
      <w:r w:rsidR="00C7753F">
        <w:rPr>
          <w:rFonts w:ascii="Marianne" w:hAnsi="Marianne"/>
          <w:i/>
          <w:iCs/>
          <w:sz w:val="20"/>
          <w:szCs w:val="20"/>
        </w:rPr>
        <w:t>.</w:t>
      </w:r>
      <w:r w:rsidR="00ED4989">
        <w:rPr>
          <w:rFonts w:ascii="Marianne" w:hAnsi="Marianne"/>
          <w:i/>
          <w:iCs/>
          <w:sz w:val="20"/>
          <w:szCs w:val="20"/>
        </w:rPr>
        <w:t xml:space="preserve"> Sur le nombre d’adjoints, ce dernier n’étant pas précisé dans le décret, les ARS peuvent considérer les pharmacies avec un seul titulaire et 0, 1, 2 ou 3 (etc) adjoints.</w:t>
      </w:r>
    </w:p>
    <w:p w14:paraId="65632B2C" w14:textId="77777777" w:rsidR="006E3581" w:rsidRDefault="006E3581" w:rsidP="006E3581">
      <w:pPr>
        <w:spacing w:after="0" w:line="240" w:lineRule="auto"/>
        <w:jc w:val="both"/>
        <w:rPr>
          <w:rFonts w:ascii="Marianne" w:hAnsi="Marianne"/>
          <w:b/>
          <w:bCs/>
          <w:sz w:val="20"/>
          <w:szCs w:val="20"/>
        </w:rPr>
      </w:pPr>
    </w:p>
    <w:p w14:paraId="401F2490" w14:textId="1E20A71F" w:rsidR="001C5C68" w:rsidRPr="006E3581" w:rsidRDefault="001C5C68" w:rsidP="006E3581">
      <w:pPr>
        <w:spacing w:after="0" w:line="240" w:lineRule="auto"/>
        <w:jc w:val="both"/>
        <w:rPr>
          <w:rFonts w:ascii="Marianne" w:hAnsi="Marianne"/>
          <w:b/>
          <w:bCs/>
        </w:rPr>
      </w:pPr>
      <w:r w:rsidRPr="005156A7">
        <w:rPr>
          <w:rFonts w:ascii="Marianne" w:hAnsi="Marianne"/>
          <w:b/>
          <w:bCs/>
          <w:highlight w:val="lightGray"/>
        </w:rPr>
        <w:t xml:space="preserve">Sur la demande de plusieurs ARS </w:t>
      </w:r>
      <w:r w:rsidR="004100D0" w:rsidRPr="005156A7">
        <w:rPr>
          <w:rFonts w:ascii="Marianne" w:hAnsi="Marianne"/>
          <w:b/>
          <w:bCs/>
          <w:highlight w:val="lightGray"/>
        </w:rPr>
        <w:t>d’obtenir</w:t>
      </w:r>
      <w:r w:rsidRPr="005156A7">
        <w:rPr>
          <w:rFonts w:ascii="Marianne" w:hAnsi="Marianne"/>
          <w:b/>
          <w:bCs/>
          <w:highlight w:val="lightGray"/>
        </w:rPr>
        <w:t xml:space="preserve"> les données DREES actualisées :</w:t>
      </w:r>
    </w:p>
    <w:p w14:paraId="58A25C28" w14:textId="77777777" w:rsidR="00CD02AF" w:rsidRDefault="00CD02AF" w:rsidP="006E3581">
      <w:pPr>
        <w:spacing w:after="0" w:line="240" w:lineRule="auto"/>
        <w:jc w:val="both"/>
        <w:rPr>
          <w:rFonts w:ascii="Marianne" w:hAnsi="Marianne"/>
          <w:b/>
          <w:bCs/>
          <w:i/>
          <w:iCs/>
          <w:sz w:val="20"/>
          <w:szCs w:val="20"/>
          <w:u w:val="single"/>
        </w:rPr>
      </w:pPr>
    </w:p>
    <w:p w14:paraId="60968E45" w14:textId="0447FC2F" w:rsidR="004100D0" w:rsidRDefault="004100D0" w:rsidP="006E3581">
      <w:pPr>
        <w:spacing w:after="0" w:line="240" w:lineRule="auto"/>
        <w:jc w:val="both"/>
        <w:rPr>
          <w:rFonts w:ascii="Marianne" w:hAnsi="Marianne"/>
          <w:i/>
          <w:iCs/>
          <w:sz w:val="20"/>
          <w:szCs w:val="20"/>
        </w:rPr>
      </w:pPr>
      <w:r w:rsidRPr="004100D0">
        <w:rPr>
          <w:rFonts w:ascii="Marianne" w:hAnsi="Marianne"/>
          <w:b/>
          <w:bCs/>
          <w:i/>
          <w:iCs/>
          <w:sz w:val="20"/>
          <w:szCs w:val="20"/>
          <w:u w:val="single"/>
        </w:rPr>
        <w:t>Réponse DGOS :</w:t>
      </w:r>
      <w:r w:rsidRPr="004100D0">
        <w:rPr>
          <w:rFonts w:ascii="Marianne" w:hAnsi="Marianne"/>
          <w:b/>
          <w:bCs/>
          <w:i/>
          <w:iCs/>
          <w:sz w:val="20"/>
          <w:szCs w:val="20"/>
        </w:rPr>
        <w:t xml:space="preserve"> </w:t>
      </w:r>
      <w:r>
        <w:rPr>
          <w:rFonts w:ascii="Marianne" w:hAnsi="Marianne"/>
          <w:i/>
          <w:iCs/>
          <w:sz w:val="20"/>
          <w:szCs w:val="20"/>
        </w:rPr>
        <w:t>L</w:t>
      </w:r>
      <w:r w:rsidRPr="004100D0">
        <w:rPr>
          <w:rFonts w:ascii="Marianne" w:hAnsi="Marianne"/>
          <w:i/>
          <w:iCs/>
          <w:sz w:val="20"/>
          <w:szCs w:val="20"/>
        </w:rPr>
        <w:t xml:space="preserve">e fichier excel de la DREES ayant permis de calculer les plafonds régionaux a bien été adressé aux ARS au moment des échanges relatifs à l’instruction. </w:t>
      </w:r>
      <w:r>
        <w:rPr>
          <w:rFonts w:ascii="Marianne" w:hAnsi="Marianne"/>
          <w:i/>
          <w:iCs/>
          <w:sz w:val="20"/>
          <w:szCs w:val="20"/>
        </w:rPr>
        <w:t>Ce dernier pourra de nouveau être envoyé mais il convient de rappeler aux ARS qu’</w:t>
      </w:r>
      <w:r w:rsidR="005E1591">
        <w:rPr>
          <w:rFonts w:ascii="Marianne" w:hAnsi="Marianne"/>
          <w:i/>
          <w:iCs/>
          <w:sz w:val="20"/>
          <w:szCs w:val="20"/>
        </w:rPr>
        <w:t xml:space="preserve">aucune </w:t>
      </w:r>
      <w:r>
        <w:rPr>
          <w:rFonts w:ascii="Marianne" w:hAnsi="Marianne"/>
          <w:i/>
          <w:iCs/>
          <w:sz w:val="20"/>
          <w:szCs w:val="20"/>
        </w:rPr>
        <w:t>actualisation de ces données n’est à ce jour prévue</w:t>
      </w:r>
      <w:r w:rsidR="005E1591">
        <w:rPr>
          <w:rFonts w:ascii="Marianne" w:hAnsi="Marianne"/>
          <w:i/>
          <w:iCs/>
          <w:sz w:val="20"/>
          <w:szCs w:val="20"/>
        </w:rPr>
        <w:t xml:space="preserve"> par la DREES. Si cela était le cas, l’impact sur le calcul des plafonds régionaux serait très minime (ces derniers ayant été arrondis dans l’arrêté). </w:t>
      </w:r>
    </w:p>
    <w:p w14:paraId="27FA72EB" w14:textId="77777777" w:rsidR="004100D0" w:rsidRPr="004100D0" w:rsidRDefault="004100D0" w:rsidP="006E3581">
      <w:pPr>
        <w:spacing w:after="0" w:line="240" w:lineRule="auto"/>
        <w:jc w:val="both"/>
        <w:rPr>
          <w:rFonts w:ascii="Marianne" w:hAnsi="Marianne"/>
          <w:i/>
          <w:iCs/>
          <w:sz w:val="20"/>
          <w:szCs w:val="20"/>
        </w:rPr>
      </w:pPr>
    </w:p>
    <w:p w14:paraId="15A6E2B7" w14:textId="7A87A057" w:rsidR="00C42AFD" w:rsidRDefault="001C5C68" w:rsidP="006E3581">
      <w:pPr>
        <w:spacing w:after="0" w:line="240" w:lineRule="auto"/>
        <w:jc w:val="both"/>
        <w:rPr>
          <w:rFonts w:ascii="Marianne" w:hAnsi="Marianne"/>
          <w:b/>
          <w:bCs/>
        </w:rPr>
      </w:pPr>
      <w:r w:rsidRPr="005156A7">
        <w:rPr>
          <w:rFonts w:ascii="Marianne" w:hAnsi="Marianne"/>
          <w:b/>
          <w:bCs/>
          <w:highlight w:val="lightGray"/>
        </w:rPr>
        <w:t>Sur le recours de l’USPO :</w:t>
      </w:r>
    </w:p>
    <w:p w14:paraId="19AF8FC0" w14:textId="77777777" w:rsidR="005156A7" w:rsidRPr="006E3581" w:rsidRDefault="005156A7" w:rsidP="006E3581">
      <w:pPr>
        <w:spacing w:after="0" w:line="240" w:lineRule="auto"/>
        <w:jc w:val="both"/>
        <w:rPr>
          <w:rFonts w:ascii="Marianne" w:hAnsi="Marianne"/>
          <w:b/>
          <w:bCs/>
        </w:rPr>
      </w:pPr>
    </w:p>
    <w:p w14:paraId="3370E1A0" w14:textId="5186F499" w:rsidR="001C5C68" w:rsidRPr="00631C79" w:rsidRDefault="001C5C68" w:rsidP="006E3581">
      <w:pPr>
        <w:spacing w:after="0" w:line="240" w:lineRule="auto"/>
        <w:jc w:val="both"/>
        <w:rPr>
          <w:rFonts w:ascii="Marianne" w:hAnsi="Marianne"/>
          <w:i/>
          <w:iCs/>
          <w:sz w:val="20"/>
          <w:szCs w:val="20"/>
        </w:rPr>
      </w:pPr>
      <w:r w:rsidRPr="006E3581">
        <w:rPr>
          <w:rFonts w:ascii="Marianne" w:hAnsi="Marianne"/>
          <w:b/>
          <w:bCs/>
          <w:i/>
          <w:iCs/>
          <w:sz w:val="20"/>
          <w:szCs w:val="20"/>
          <w:u w:val="single"/>
        </w:rPr>
        <w:t xml:space="preserve">Réponse </w:t>
      </w:r>
      <w:r w:rsidR="00CD02AF">
        <w:rPr>
          <w:rFonts w:ascii="Marianne" w:hAnsi="Marianne"/>
          <w:b/>
          <w:bCs/>
          <w:i/>
          <w:iCs/>
          <w:sz w:val="20"/>
          <w:szCs w:val="20"/>
          <w:u w:val="single"/>
        </w:rPr>
        <w:t>DGOS</w:t>
      </w:r>
      <w:r w:rsidRPr="006E3581">
        <w:rPr>
          <w:rFonts w:ascii="Marianne" w:hAnsi="Marianne"/>
          <w:i/>
          <w:iCs/>
          <w:sz w:val="20"/>
          <w:szCs w:val="20"/>
        </w:rPr>
        <w:t xml:space="preserve"> : </w:t>
      </w:r>
      <w:r w:rsidR="005E1591">
        <w:rPr>
          <w:rFonts w:ascii="Marianne" w:hAnsi="Marianne"/>
          <w:i/>
          <w:iCs/>
          <w:sz w:val="20"/>
          <w:szCs w:val="20"/>
        </w:rPr>
        <w:t xml:space="preserve">Ce recours a </w:t>
      </w:r>
      <w:r w:rsidR="006E3581" w:rsidRPr="006E3581">
        <w:rPr>
          <w:rFonts w:ascii="Marianne" w:hAnsi="Marianne"/>
          <w:i/>
          <w:iCs/>
          <w:sz w:val="20"/>
          <w:szCs w:val="20"/>
        </w:rPr>
        <w:t xml:space="preserve">bien </w:t>
      </w:r>
      <w:r w:rsidR="00ED4989">
        <w:rPr>
          <w:rFonts w:ascii="Marianne" w:hAnsi="Marianne"/>
          <w:i/>
          <w:iCs/>
          <w:sz w:val="20"/>
          <w:szCs w:val="20"/>
        </w:rPr>
        <w:t xml:space="preserve">été </w:t>
      </w:r>
      <w:r w:rsidR="006E3581" w:rsidRPr="006E3581">
        <w:rPr>
          <w:rFonts w:ascii="Marianne" w:hAnsi="Marianne"/>
          <w:i/>
          <w:iCs/>
          <w:sz w:val="20"/>
          <w:szCs w:val="20"/>
        </w:rPr>
        <w:t>reçu par la DAJ</w:t>
      </w:r>
      <w:r w:rsidR="005E1591">
        <w:rPr>
          <w:rFonts w:ascii="Marianne" w:hAnsi="Marianne"/>
          <w:i/>
          <w:iCs/>
          <w:sz w:val="20"/>
          <w:szCs w:val="20"/>
        </w:rPr>
        <w:t xml:space="preserve"> des ministères sociaux</w:t>
      </w:r>
      <w:r w:rsidR="006E3581" w:rsidRPr="006E3581">
        <w:rPr>
          <w:rFonts w:ascii="Marianne" w:hAnsi="Marianne"/>
          <w:i/>
          <w:iCs/>
          <w:sz w:val="20"/>
          <w:szCs w:val="20"/>
        </w:rPr>
        <w:t xml:space="preserve"> le 16/09</w:t>
      </w:r>
      <w:r w:rsidR="005E1591">
        <w:rPr>
          <w:rFonts w:ascii="Marianne" w:hAnsi="Marianne"/>
          <w:i/>
          <w:iCs/>
          <w:sz w:val="20"/>
          <w:szCs w:val="20"/>
        </w:rPr>
        <w:t xml:space="preserve"> et est en cours d’analyse par les services. C</w:t>
      </w:r>
      <w:r w:rsidR="006E3581" w:rsidRPr="006E3581">
        <w:rPr>
          <w:rFonts w:ascii="Marianne" w:hAnsi="Marianne"/>
          <w:i/>
          <w:iCs/>
          <w:sz w:val="20"/>
          <w:szCs w:val="20"/>
        </w:rPr>
        <w:t>e recours n’</w:t>
      </w:r>
      <w:r w:rsidR="005E1591">
        <w:rPr>
          <w:rFonts w:ascii="Marianne" w:hAnsi="Marianne"/>
          <w:i/>
          <w:iCs/>
          <w:sz w:val="20"/>
          <w:szCs w:val="20"/>
        </w:rPr>
        <w:t xml:space="preserve">étant pas suspensif, </w:t>
      </w:r>
      <w:r w:rsidR="006E3581" w:rsidRPr="006E3581">
        <w:rPr>
          <w:rFonts w:ascii="Marianne" w:hAnsi="Marianne"/>
          <w:i/>
          <w:iCs/>
          <w:sz w:val="20"/>
          <w:szCs w:val="20"/>
        </w:rPr>
        <w:t xml:space="preserve">le décret </w:t>
      </w:r>
      <w:r w:rsidR="005E1591">
        <w:rPr>
          <w:rFonts w:ascii="Marianne" w:hAnsi="Marianne"/>
          <w:i/>
          <w:iCs/>
          <w:sz w:val="20"/>
          <w:szCs w:val="20"/>
        </w:rPr>
        <w:t>est</w:t>
      </w:r>
      <w:r w:rsidR="006E3581" w:rsidRPr="006E3581">
        <w:rPr>
          <w:rFonts w:ascii="Marianne" w:hAnsi="Marianne"/>
          <w:i/>
          <w:iCs/>
          <w:sz w:val="20"/>
          <w:szCs w:val="20"/>
        </w:rPr>
        <w:t xml:space="preserve"> donc toujours applicable.</w:t>
      </w:r>
    </w:p>
    <w:p w14:paraId="7ECC360A" w14:textId="77777777" w:rsidR="001C5C68" w:rsidRDefault="001C5C68" w:rsidP="006E3581">
      <w:pPr>
        <w:spacing w:after="0" w:line="240" w:lineRule="auto"/>
        <w:jc w:val="both"/>
        <w:rPr>
          <w:rFonts w:ascii="Marianne" w:hAnsi="Marianne"/>
          <w:b/>
          <w:bCs/>
          <w:sz w:val="20"/>
          <w:szCs w:val="20"/>
        </w:rPr>
      </w:pPr>
    </w:p>
    <w:p w14:paraId="26DDE6A3" w14:textId="5EEEB2ED" w:rsidR="00631C79" w:rsidRDefault="006E3581" w:rsidP="006E3581">
      <w:pPr>
        <w:spacing w:after="0" w:line="240" w:lineRule="auto"/>
        <w:jc w:val="both"/>
        <w:rPr>
          <w:rFonts w:ascii="Marianne" w:hAnsi="Marianne"/>
          <w:b/>
          <w:bCs/>
        </w:rPr>
      </w:pPr>
      <w:r w:rsidRPr="005156A7">
        <w:rPr>
          <w:rFonts w:ascii="Marianne" w:hAnsi="Marianne"/>
          <w:b/>
          <w:bCs/>
          <w:highlight w:val="lightGray"/>
        </w:rPr>
        <w:t>Sur le c</w:t>
      </w:r>
      <w:r w:rsidR="00631C79" w:rsidRPr="005156A7">
        <w:rPr>
          <w:rFonts w:ascii="Marianne" w:hAnsi="Marianne"/>
          <w:b/>
          <w:bCs/>
          <w:highlight w:val="lightGray"/>
        </w:rPr>
        <w:t>ontrat-type aide de la Cnam</w:t>
      </w:r>
      <w:r w:rsidRPr="005156A7">
        <w:rPr>
          <w:rFonts w:ascii="Marianne" w:hAnsi="Marianne"/>
          <w:b/>
          <w:bCs/>
          <w:highlight w:val="lightGray"/>
        </w:rPr>
        <w:t> :</w:t>
      </w:r>
    </w:p>
    <w:p w14:paraId="18F42557" w14:textId="77777777" w:rsidR="005156A7" w:rsidRPr="006E3581" w:rsidRDefault="005156A7" w:rsidP="006E3581">
      <w:pPr>
        <w:spacing w:after="0" w:line="240" w:lineRule="auto"/>
        <w:jc w:val="both"/>
        <w:rPr>
          <w:rFonts w:ascii="Marianne" w:hAnsi="Marianne"/>
          <w:b/>
          <w:bCs/>
        </w:rPr>
      </w:pPr>
    </w:p>
    <w:p w14:paraId="64944706" w14:textId="53B25EAF" w:rsidR="00631C79" w:rsidRDefault="00631C79" w:rsidP="006E3581">
      <w:pPr>
        <w:spacing w:after="0" w:line="240" w:lineRule="auto"/>
        <w:jc w:val="both"/>
        <w:rPr>
          <w:rFonts w:ascii="Marianne" w:hAnsi="Marianne"/>
          <w:i/>
          <w:iCs/>
          <w:sz w:val="20"/>
          <w:szCs w:val="20"/>
        </w:rPr>
      </w:pPr>
      <w:r w:rsidRPr="00631C79">
        <w:rPr>
          <w:rFonts w:ascii="Marianne" w:hAnsi="Marianne"/>
          <w:b/>
          <w:bCs/>
          <w:i/>
          <w:iCs/>
          <w:sz w:val="20"/>
          <w:szCs w:val="20"/>
          <w:u w:val="single"/>
        </w:rPr>
        <w:t xml:space="preserve">Réponse </w:t>
      </w:r>
      <w:r w:rsidR="00CD02AF">
        <w:rPr>
          <w:rFonts w:ascii="Marianne" w:hAnsi="Marianne"/>
          <w:b/>
          <w:bCs/>
          <w:i/>
          <w:iCs/>
          <w:sz w:val="20"/>
          <w:szCs w:val="20"/>
          <w:u w:val="single"/>
        </w:rPr>
        <w:t>DGOS</w:t>
      </w:r>
      <w:r w:rsidRPr="00631C79">
        <w:rPr>
          <w:rFonts w:ascii="Marianne" w:hAnsi="Marianne"/>
          <w:i/>
          <w:iCs/>
          <w:sz w:val="20"/>
          <w:szCs w:val="20"/>
        </w:rPr>
        <w:t xml:space="preserve"> : </w:t>
      </w:r>
      <w:r w:rsidR="005E1591">
        <w:rPr>
          <w:rFonts w:ascii="Marianne" w:hAnsi="Marianne"/>
          <w:i/>
          <w:iCs/>
          <w:sz w:val="20"/>
          <w:szCs w:val="20"/>
        </w:rPr>
        <w:t>La DGOS et la Cnam travaillent de concert à la rédaction de contrat-type tripartite sur le même modèle que les contrats-types des aides à l’installation ou au maintien de certaines professions de santé « zonées ». Les ARS seront bien évidemment consultées dans le cadre de cette rédaction.</w:t>
      </w:r>
      <w:r w:rsidR="00ED4989">
        <w:rPr>
          <w:rFonts w:ascii="Marianne" w:hAnsi="Marianne"/>
          <w:i/>
          <w:iCs/>
          <w:sz w:val="20"/>
          <w:szCs w:val="20"/>
        </w:rPr>
        <w:t xml:space="preserve"> Pour rappel, ci-dessous les critères de la Cnam (issu de l’article 10 de l’avenant 1 à la convention) : </w:t>
      </w:r>
    </w:p>
    <w:p w14:paraId="2F20DF73" w14:textId="05527B9D" w:rsidR="00ED4989" w:rsidRPr="00631C79" w:rsidRDefault="00ED4989" w:rsidP="00ED4989">
      <w:pPr>
        <w:spacing w:after="0" w:line="240" w:lineRule="auto"/>
        <w:jc w:val="center"/>
        <w:rPr>
          <w:rFonts w:ascii="Marianne" w:hAnsi="Marianne"/>
          <w:i/>
          <w:iCs/>
          <w:sz w:val="20"/>
          <w:szCs w:val="20"/>
        </w:rPr>
      </w:pPr>
      <w:r>
        <w:rPr>
          <w:noProof/>
        </w:rPr>
        <w:lastRenderedPageBreak/>
        <w:drawing>
          <wp:inline distT="0" distB="0" distL="0" distR="0" wp14:anchorId="485CF98C" wp14:editId="69D3F7DB">
            <wp:extent cx="5788272" cy="3276600"/>
            <wp:effectExtent l="0" t="0" r="3175" b="0"/>
            <wp:docPr id="5" name="Image 4">
              <a:extLst xmlns:a="http://schemas.openxmlformats.org/drawingml/2006/main">
                <a:ext uri="{FF2B5EF4-FFF2-40B4-BE49-F238E27FC236}">
                  <a16:creationId xmlns:a16="http://schemas.microsoft.com/office/drawing/2014/main" id="{B881E4AD-4185-B186-E170-64A4064567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B881E4AD-4185-B186-E170-64A4064567D1}"/>
                        </a:ext>
                      </a:extLst>
                    </pic:cNvPr>
                    <pic:cNvPicPr>
                      <a:picLocks noChangeAspect="1"/>
                    </pic:cNvPicPr>
                  </pic:nvPicPr>
                  <pic:blipFill>
                    <a:blip r:embed="rId6"/>
                    <a:stretch>
                      <a:fillRect/>
                    </a:stretch>
                  </pic:blipFill>
                  <pic:spPr>
                    <a:xfrm>
                      <a:off x="0" y="0"/>
                      <a:ext cx="5806338" cy="3286827"/>
                    </a:xfrm>
                    <a:prstGeom prst="rect">
                      <a:avLst/>
                    </a:prstGeom>
                  </pic:spPr>
                </pic:pic>
              </a:graphicData>
            </a:graphic>
          </wp:inline>
        </w:drawing>
      </w:r>
    </w:p>
    <w:sectPr w:rsidR="00ED4989" w:rsidRPr="00631C79" w:rsidSect="00ED4989">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16469"/>
    <w:multiLevelType w:val="hybridMultilevel"/>
    <w:tmpl w:val="3F7A8B42"/>
    <w:lvl w:ilvl="0" w:tplc="79D8C30C">
      <w:start w:val="8"/>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FDB07D7"/>
    <w:multiLevelType w:val="hybridMultilevel"/>
    <w:tmpl w:val="E326B71C"/>
    <w:lvl w:ilvl="0" w:tplc="F198E056">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5CBE29D2"/>
    <w:multiLevelType w:val="hybridMultilevel"/>
    <w:tmpl w:val="3A36AE02"/>
    <w:lvl w:ilvl="0" w:tplc="E7DEB132">
      <w:start w:val="8"/>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14185630">
    <w:abstractNumId w:val="1"/>
  </w:num>
  <w:num w:numId="2" w16cid:durableId="439835588">
    <w:abstractNumId w:val="0"/>
  </w:num>
  <w:num w:numId="3" w16cid:durableId="5077145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778"/>
    <w:rsid w:val="000075D7"/>
    <w:rsid w:val="000C5762"/>
    <w:rsid w:val="000E7778"/>
    <w:rsid w:val="0014529D"/>
    <w:rsid w:val="001C5C68"/>
    <w:rsid w:val="001D54F3"/>
    <w:rsid w:val="00356334"/>
    <w:rsid w:val="004100D0"/>
    <w:rsid w:val="005156A7"/>
    <w:rsid w:val="00580AFF"/>
    <w:rsid w:val="005E1591"/>
    <w:rsid w:val="00604EB3"/>
    <w:rsid w:val="00631C79"/>
    <w:rsid w:val="00681637"/>
    <w:rsid w:val="006E3581"/>
    <w:rsid w:val="00707101"/>
    <w:rsid w:val="00740397"/>
    <w:rsid w:val="008E2FE3"/>
    <w:rsid w:val="00920CD1"/>
    <w:rsid w:val="00A22E2D"/>
    <w:rsid w:val="00A564F1"/>
    <w:rsid w:val="00BE6278"/>
    <w:rsid w:val="00C03F8B"/>
    <w:rsid w:val="00C42AFD"/>
    <w:rsid w:val="00C4361E"/>
    <w:rsid w:val="00C7753F"/>
    <w:rsid w:val="00CD02AF"/>
    <w:rsid w:val="00D73CDD"/>
    <w:rsid w:val="00DB5464"/>
    <w:rsid w:val="00E533A3"/>
    <w:rsid w:val="00EB12E3"/>
    <w:rsid w:val="00ED4989"/>
    <w:rsid w:val="00F36E88"/>
    <w:rsid w:val="00F762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CC6E3"/>
  <w15:chartTrackingRefBased/>
  <w15:docId w15:val="{02CDE94F-C176-4CAF-B116-FEAA148E2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E7778"/>
    <w:pPr>
      <w:spacing w:after="0" w:line="240" w:lineRule="auto"/>
      <w:ind w:left="720"/>
    </w:pPr>
    <w:rPr>
      <w:rFonts w:ascii="Calibri" w:hAnsi="Calibri" w:cs="Calibri"/>
      <w:kern w:val="0"/>
      <w14:ligatures w14:val="none"/>
    </w:rPr>
  </w:style>
  <w:style w:type="character" w:styleId="Lienhypertexte">
    <w:name w:val="Hyperlink"/>
    <w:basedOn w:val="Policepardfaut"/>
    <w:uiPriority w:val="99"/>
    <w:semiHidden/>
    <w:unhideWhenUsed/>
    <w:rsid w:val="00681637"/>
    <w:rPr>
      <w:color w:val="0000FF"/>
      <w:u w:val="single"/>
    </w:rPr>
  </w:style>
  <w:style w:type="character" w:styleId="Lienhypertextesuivivisit">
    <w:name w:val="FollowedHyperlink"/>
    <w:basedOn w:val="Policepardfaut"/>
    <w:uiPriority w:val="99"/>
    <w:semiHidden/>
    <w:unhideWhenUsed/>
    <w:rsid w:val="00F762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3762998">
      <w:bodyDiv w:val="1"/>
      <w:marLeft w:val="0"/>
      <w:marRight w:val="0"/>
      <w:marTop w:val="0"/>
      <w:marBottom w:val="0"/>
      <w:divBdr>
        <w:top w:val="none" w:sz="0" w:space="0" w:color="auto"/>
        <w:left w:val="none" w:sz="0" w:space="0" w:color="auto"/>
        <w:bottom w:val="none" w:sz="0" w:space="0" w:color="auto"/>
        <w:right w:val="none" w:sz="0" w:space="0" w:color="auto"/>
      </w:divBdr>
    </w:div>
    <w:div w:id="1555849810">
      <w:bodyDiv w:val="1"/>
      <w:marLeft w:val="0"/>
      <w:marRight w:val="0"/>
      <w:marTop w:val="0"/>
      <w:marBottom w:val="0"/>
      <w:divBdr>
        <w:top w:val="none" w:sz="0" w:space="0" w:color="auto"/>
        <w:left w:val="none" w:sz="0" w:space="0" w:color="auto"/>
        <w:bottom w:val="none" w:sz="0" w:space="0" w:color="auto"/>
        <w:right w:val="none" w:sz="0" w:space="0" w:color="auto"/>
      </w:divBdr>
    </w:div>
    <w:div w:id="1660386178">
      <w:bodyDiv w:val="1"/>
      <w:marLeft w:val="0"/>
      <w:marRight w:val="0"/>
      <w:marTop w:val="0"/>
      <w:marBottom w:val="0"/>
      <w:divBdr>
        <w:top w:val="none" w:sz="0" w:space="0" w:color="auto"/>
        <w:left w:val="none" w:sz="0" w:space="0" w:color="auto"/>
        <w:bottom w:val="none" w:sz="0" w:space="0" w:color="auto"/>
        <w:right w:val="none" w:sz="0" w:space="0" w:color="auto"/>
      </w:divBdr>
    </w:div>
    <w:div w:id="1819299898">
      <w:bodyDiv w:val="1"/>
      <w:marLeft w:val="0"/>
      <w:marRight w:val="0"/>
      <w:marTop w:val="0"/>
      <w:marBottom w:val="0"/>
      <w:divBdr>
        <w:top w:val="none" w:sz="0" w:space="0" w:color="auto"/>
        <w:left w:val="none" w:sz="0" w:space="0" w:color="auto"/>
        <w:bottom w:val="none" w:sz="0" w:space="0" w:color="auto"/>
        <w:right w:val="none" w:sz="0" w:space="0" w:color="auto"/>
      </w:divBdr>
    </w:div>
    <w:div w:id="201360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ED17BF-199C-4714-A380-4B0F5906C295}">
  <ds:schemaRefs>
    <ds:schemaRef ds:uri="http://schemas.openxmlformats.org/officeDocument/2006/bibliography"/>
  </ds:schemaRefs>
</ds:datastoreItem>
</file>

<file path=customXml/itemProps2.xml><?xml version="1.0" encoding="utf-8"?>
<ds:datastoreItem xmlns:ds="http://schemas.openxmlformats.org/officeDocument/2006/customXml" ds:itemID="{04972354-9938-477E-8996-205CFD64D2B8}"/>
</file>

<file path=customXml/itemProps3.xml><?xml version="1.0" encoding="utf-8"?>
<ds:datastoreItem xmlns:ds="http://schemas.openxmlformats.org/officeDocument/2006/customXml" ds:itemID="{C22BE62F-C4E6-4309-8265-B1EC25B1C1EE}"/>
</file>

<file path=customXml/itemProps4.xml><?xml version="1.0" encoding="utf-8"?>
<ds:datastoreItem xmlns:ds="http://schemas.openxmlformats.org/officeDocument/2006/customXml" ds:itemID="{241E8163-AED4-4AEF-85DD-C09BB30E8702}"/>
</file>

<file path=docProps/app.xml><?xml version="1.0" encoding="utf-8"?>
<Properties xmlns="http://schemas.openxmlformats.org/officeDocument/2006/extended-properties" xmlns:vt="http://schemas.openxmlformats.org/officeDocument/2006/docPropsVTypes">
  <Template>Normal.dotm</Template>
  <TotalTime>333</TotalTime>
  <Pages>4</Pages>
  <Words>1355</Words>
  <Characters>7456</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8794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CROCHETET, Mathilde (DGOS/SDAS/AS1)</dc:creator>
  <cp:keywords/>
  <dc:description/>
  <cp:lastModifiedBy>BON2, Florian (DGOS/SDAS/AS1)</cp:lastModifiedBy>
  <cp:revision>10</cp:revision>
  <dcterms:created xsi:type="dcterms:W3CDTF">2024-10-07T10:18:00Z</dcterms:created>
  <dcterms:modified xsi:type="dcterms:W3CDTF">2024-10-23T16:54:00Z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