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B8AC2" w14:textId="77777777" w:rsidR="00C30F6C" w:rsidRDefault="00072D49">
      <w:r>
        <w:rPr>
          <w:noProof/>
        </w:rPr>
        <w:drawing>
          <wp:anchor distT="0" distB="0" distL="114300" distR="114300" simplePos="0" relativeHeight="251657728" behindDoc="1" locked="0" layoutInCell="1" allowOverlap="1" wp14:anchorId="1A8C72D7" wp14:editId="191E63E5">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46F4C5" w14:textId="77777777" w:rsidR="00C30F6C" w:rsidRDefault="00C30F6C"/>
    <w:p w14:paraId="6A28D732" w14:textId="77777777" w:rsidR="00C30F6C" w:rsidRDefault="00C30F6C"/>
    <w:p w14:paraId="3BD48AC2" w14:textId="77777777" w:rsidR="00C30F6C" w:rsidRDefault="00C30F6C">
      <w:pPr>
        <w:rPr>
          <w:noProof/>
        </w:rPr>
      </w:pPr>
    </w:p>
    <w:p w14:paraId="63DBF609" w14:textId="77777777" w:rsidR="00AC1EE8" w:rsidRDefault="00AC1EE8"/>
    <w:p w14:paraId="087AB501" w14:textId="77777777" w:rsidR="00C30F6C" w:rsidRDefault="00C30F6C"/>
    <w:p w14:paraId="667E92E5" w14:textId="77777777" w:rsidR="00C30F6C" w:rsidRDefault="00C30F6C"/>
    <w:p w14:paraId="20D6497D" w14:textId="77777777" w:rsidR="00C30F6C" w:rsidRDefault="00C30F6C"/>
    <w:p w14:paraId="57CE0245" w14:textId="77777777" w:rsidR="00C30F6C" w:rsidRDefault="00C30F6C"/>
    <w:p w14:paraId="153A044F" w14:textId="77777777" w:rsidR="00C30F6C" w:rsidRDefault="00C30F6C"/>
    <w:p w14:paraId="6DC40C1C" w14:textId="77777777" w:rsidR="00C30F6C" w:rsidRDefault="00C30F6C"/>
    <w:p w14:paraId="15117DF8" w14:textId="77777777" w:rsidR="00C30F6C" w:rsidRDefault="00C30F6C"/>
    <w:p w14:paraId="5B1A46DE" w14:textId="77777777" w:rsidR="00AC1EE8" w:rsidRDefault="00072D49">
      <w:r>
        <w:rPr>
          <w:noProof/>
        </w:rPr>
        <mc:AlternateContent>
          <mc:Choice Requires="wps">
            <w:drawing>
              <wp:anchor distT="0" distB="0" distL="114300" distR="114300" simplePos="0" relativeHeight="251656704" behindDoc="0" locked="0" layoutInCell="0" allowOverlap="1" wp14:anchorId="3DEB0E1A" wp14:editId="7D88C0FA">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39FEC"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19BAE97E" w14:textId="432C814B" w:rsidR="004568FE" w:rsidRPr="00624158" w:rsidRDefault="002819DC"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AVRIL</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26</w:t>
                            </w:r>
                          </w:p>
                          <w:p w14:paraId="329C4890"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B0E1A"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48239FEC"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19BAE97E" w14:textId="432C814B" w:rsidR="004568FE" w:rsidRPr="00624158" w:rsidRDefault="002819DC"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AVRIL</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26</w:t>
                      </w:r>
                    </w:p>
                    <w:p w14:paraId="329C4890"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1A1DA032" w14:textId="77777777" w:rsidR="00665ACB" w:rsidRDefault="00665ACB" w:rsidP="00AC1EE8">
      <w:pPr>
        <w:pStyle w:val="Default"/>
        <w:jc w:val="both"/>
        <w:rPr>
          <w:color w:val="FF0000"/>
        </w:rPr>
      </w:pPr>
    </w:p>
    <w:p w14:paraId="7D976711" w14:textId="77777777" w:rsidR="00665ACB" w:rsidRDefault="00665ACB" w:rsidP="00AC1EE8">
      <w:pPr>
        <w:pStyle w:val="Default"/>
        <w:jc w:val="both"/>
        <w:rPr>
          <w:color w:val="FF0000"/>
        </w:rPr>
      </w:pPr>
    </w:p>
    <w:p w14:paraId="3459ED44" w14:textId="77777777" w:rsidR="00665ACB" w:rsidRDefault="00665ACB" w:rsidP="00AC1EE8">
      <w:pPr>
        <w:pStyle w:val="Default"/>
        <w:jc w:val="both"/>
        <w:rPr>
          <w:color w:val="FF0000"/>
        </w:rPr>
      </w:pPr>
    </w:p>
    <w:p w14:paraId="78F0075E" w14:textId="77777777" w:rsidR="00DD6865" w:rsidRDefault="00DD6865" w:rsidP="00AC1EE8">
      <w:pPr>
        <w:pStyle w:val="Default"/>
        <w:jc w:val="both"/>
        <w:rPr>
          <w:color w:val="FF0000"/>
        </w:rPr>
      </w:pPr>
    </w:p>
    <w:p w14:paraId="2B578DCC" w14:textId="77777777" w:rsidR="00DD6865" w:rsidRDefault="00DD6865" w:rsidP="00AC1EE8">
      <w:pPr>
        <w:pStyle w:val="Default"/>
        <w:jc w:val="both"/>
        <w:rPr>
          <w:color w:val="FF0000"/>
        </w:rPr>
      </w:pPr>
    </w:p>
    <w:p w14:paraId="58E78D45"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0260263E" wp14:editId="3DA7CFE5">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2378D1"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59DEC137" w14:textId="77777777" w:rsidR="00EC7CB4" w:rsidRDefault="00EC7CB4" w:rsidP="004568FE">
      <w:pPr>
        <w:pStyle w:val="Default"/>
        <w:jc w:val="both"/>
        <w:rPr>
          <w:color w:val="FF0000"/>
        </w:rPr>
      </w:pPr>
    </w:p>
    <w:p w14:paraId="6929619C" w14:textId="3C74EB7A" w:rsidR="00C7266E" w:rsidRPr="00F24AA7" w:rsidRDefault="00C7266E" w:rsidP="00C7266E">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73927E67" w14:textId="7590D806" w:rsidR="00C7266E" w:rsidRDefault="00C7266E" w:rsidP="00C7266E">
      <w:pPr>
        <w:pStyle w:val="Default"/>
        <w:jc w:val="both"/>
        <w:rPr>
          <w:color w:val="538135"/>
          <w:sz w:val="20"/>
        </w:rPr>
      </w:pPr>
      <w:r>
        <w:rPr>
          <w:rStyle w:val="Lienhypertexte"/>
        </w:rPr>
        <w:fldChar w:fldCharType="end"/>
      </w:r>
      <w:r>
        <w:rPr>
          <w:color w:val="538135"/>
          <w:sz w:val="20"/>
        </w:rPr>
        <w:t xml:space="preserve">- </w:t>
      </w:r>
      <w:r w:rsidRPr="00C7266E">
        <w:rPr>
          <w:color w:val="538135"/>
          <w:sz w:val="20"/>
        </w:rPr>
        <w:t>Position de la DGOS du 18 novembre 2016 sur l’interprétation des dispositions de l’article L6212-6 du CSP (contrat de coopération et règle de territorialité).</w:t>
      </w:r>
    </w:p>
    <w:p w14:paraId="6594A650" w14:textId="511650FC" w:rsidR="00C7266E" w:rsidRDefault="00C7266E" w:rsidP="00C7266E">
      <w:pPr>
        <w:pStyle w:val="Default"/>
        <w:jc w:val="both"/>
        <w:rPr>
          <w:color w:val="538135"/>
          <w:sz w:val="20"/>
        </w:rPr>
      </w:pPr>
      <w:r>
        <w:rPr>
          <w:color w:val="538135"/>
          <w:sz w:val="20"/>
        </w:rPr>
        <w:t xml:space="preserve">- </w:t>
      </w:r>
      <w:r w:rsidRPr="00C7266E">
        <w:rPr>
          <w:color w:val="538135"/>
          <w:sz w:val="20"/>
        </w:rPr>
        <w:t>Position de la DGS du 3 mars 2025 concernant la réalisation de la phase analytique des examens de biologie médicale faisant appel au séquençage nouvelle génération (NGS) par rapport aux dispositions de l’article L.6211-19 du code de la santé publique (transmission des échantillons biologiques à un autre laboratoire).</w:t>
      </w:r>
    </w:p>
    <w:p w14:paraId="3312EF8F" w14:textId="53F27B4D" w:rsidR="00C7266E" w:rsidRDefault="00C7266E" w:rsidP="00C7266E">
      <w:pPr>
        <w:pStyle w:val="Default"/>
        <w:jc w:val="both"/>
        <w:rPr>
          <w:color w:val="538135"/>
          <w:sz w:val="20"/>
        </w:rPr>
      </w:pPr>
      <w:r>
        <w:rPr>
          <w:color w:val="538135"/>
          <w:sz w:val="20"/>
        </w:rPr>
        <w:t xml:space="preserve">- </w:t>
      </w:r>
      <w:r w:rsidRPr="00C7266E">
        <w:rPr>
          <w:color w:val="538135"/>
          <w:sz w:val="20"/>
        </w:rPr>
        <w:t xml:space="preserve">Décision du tribunal administratif de Marseille du 24 janvier 2023 selon laquelle le laboratoire </w:t>
      </w:r>
      <w:proofErr w:type="spellStart"/>
      <w:r w:rsidRPr="00C7266E">
        <w:rPr>
          <w:color w:val="538135"/>
          <w:sz w:val="20"/>
        </w:rPr>
        <w:t>Bioesterel</w:t>
      </w:r>
      <w:proofErr w:type="spellEnd"/>
      <w:r w:rsidRPr="00C7266E">
        <w:rPr>
          <w:color w:val="538135"/>
          <w:sz w:val="20"/>
        </w:rPr>
        <w:t xml:space="preserve"> est fondé à demander l’annulation de la décision du 9 janvier 2020 du directeur général de l’Agence régionale de santé Provence-Alpes-Côte d’Azur (ARS PACA) au motif que les dispositions précitées de l’article L. 6222-5 du code de la santé publique n’imposent pas que chaque département concerné soit limitrophe des deux autres mais seulement que chacun d’eux ait </w:t>
      </w:r>
      <w:r w:rsidRPr="00C7266E">
        <w:rPr>
          <w:b/>
          <w:bCs/>
          <w:i/>
          <w:iCs/>
          <w:color w:val="538135"/>
          <w:sz w:val="20"/>
        </w:rPr>
        <w:t>au moins une frontière commune avec l’un des deux autres</w:t>
      </w:r>
      <w:r>
        <w:rPr>
          <w:color w:val="538135"/>
          <w:sz w:val="20"/>
        </w:rPr>
        <w:t>.</w:t>
      </w:r>
    </w:p>
    <w:p w14:paraId="448844BB" w14:textId="34E79D2F" w:rsidR="00C7266E" w:rsidRDefault="00C7266E" w:rsidP="00C7266E">
      <w:pPr>
        <w:pStyle w:val="Default"/>
        <w:jc w:val="both"/>
        <w:rPr>
          <w:color w:val="538135"/>
          <w:sz w:val="20"/>
        </w:rPr>
      </w:pPr>
      <w:r>
        <w:rPr>
          <w:color w:val="538135"/>
          <w:sz w:val="20"/>
        </w:rPr>
        <w:t xml:space="preserve">- </w:t>
      </w:r>
      <w:r w:rsidRPr="00C7266E">
        <w:rPr>
          <w:color w:val="538135"/>
          <w:sz w:val="20"/>
        </w:rPr>
        <w:t>Décision du tribunal administratif de Paris du 9 janvier 2026 concernant le retrait de la décision implicite de non</w:t>
      </w:r>
      <w:r>
        <w:rPr>
          <w:color w:val="538135"/>
          <w:sz w:val="20"/>
        </w:rPr>
        <w:t>-</w:t>
      </w:r>
      <w:r w:rsidRPr="00C7266E">
        <w:rPr>
          <w:color w:val="538135"/>
          <w:sz w:val="20"/>
        </w:rPr>
        <w:t xml:space="preserve">opposition au motif que les trois zones où sont localisés les sites de la société requérante, à savoir Paris, la Seine-et-Marne et la Seine-Saint-Denis, ne sont pas </w:t>
      </w:r>
      <w:r w:rsidRPr="00C7266E">
        <w:rPr>
          <w:b/>
          <w:bCs/>
          <w:i/>
          <w:iCs/>
          <w:color w:val="538135"/>
          <w:sz w:val="20"/>
        </w:rPr>
        <w:t>toutes limitrophes les unes des autres</w:t>
      </w:r>
      <w:r w:rsidRPr="00C7266E">
        <w:rPr>
          <w:color w:val="538135"/>
          <w:sz w:val="20"/>
        </w:rPr>
        <w:t>, en méconnaissance des dispositions de l’article L. 6222-5 du code de la santé publique.</w:t>
      </w:r>
    </w:p>
    <w:p w14:paraId="5608225D" w14:textId="77777777" w:rsidR="00C7266E" w:rsidRDefault="00C7266E" w:rsidP="00C7266E">
      <w:pPr>
        <w:pStyle w:val="Default"/>
        <w:jc w:val="both"/>
        <w:rPr>
          <w:color w:val="FF0000"/>
        </w:rPr>
      </w:pPr>
    </w:p>
    <w:p w14:paraId="6FE4EDCB" w14:textId="77777777" w:rsidR="00306A7F" w:rsidRPr="00F24AA7" w:rsidRDefault="00306A7F" w:rsidP="00306A7F">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Pr>
          <w:rStyle w:val="Lienhypertexte"/>
        </w:rPr>
        <w:t>Pharmacie vétérinaire</w:t>
      </w:r>
    </w:p>
    <w:p w14:paraId="3C8374B1" w14:textId="77777777" w:rsidR="00306A7F" w:rsidRDefault="00306A7F" w:rsidP="00306A7F">
      <w:pPr>
        <w:pStyle w:val="Default"/>
        <w:jc w:val="both"/>
        <w:rPr>
          <w:color w:val="538135"/>
          <w:sz w:val="20"/>
        </w:rPr>
      </w:pPr>
      <w:r>
        <w:rPr>
          <w:rStyle w:val="Lienhypertexte"/>
        </w:rPr>
        <w:fldChar w:fldCharType="end"/>
      </w:r>
      <w:r w:rsidRPr="00306A7F">
        <w:rPr>
          <w:color w:val="538135"/>
          <w:sz w:val="20"/>
        </w:rPr>
        <w:t>Médicaments à usage humain accessibles aux vétérinaires</w:t>
      </w:r>
      <w:r>
        <w:rPr>
          <w:color w:val="538135"/>
          <w:sz w:val="20"/>
        </w:rPr>
        <w:t> :</w:t>
      </w:r>
    </w:p>
    <w:p w14:paraId="1A206C2A" w14:textId="77777777" w:rsidR="00306A7F" w:rsidRDefault="00306A7F" w:rsidP="00306A7F">
      <w:pPr>
        <w:pStyle w:val="Default"/>
        <w:numPr>
          <w:ilvl w:val="0"/>
          <w:numId w:val="25"/>
        </w:numPr>
        <w:jc w:val="both"/>
        <w:rPr>
          <w:color w:val="538135"/>
          <w:sz w:val="20"/>
        </w:rPr>
      </w:pPr>
      <w:r w:rsidRPr="00306A7F">
        <w:rPr>
          <w:color w:val="538135"/>
          <w:sz w:val="20"/>
        </w:rPr>
        <w:t>Article R5124-44</w:t>
      </w:r>
      <w:r>
        <w:rPr>
          <w:color w:val="538135"/>
          <w:sz w:val="20"/>
        </w:rPr>
        <w:t xml:space="preserve"> du CSP.</w:t>
      </w:r>
    </w:p>
    <w:p w14:paraId="68E25422" w14:textId="77777777" w:rsidR="00306A7F" w:rsidRDefault="00306A7F" w:rsidP="00306A7F">
      <w:pPr>
        <w:pStyle w:val="Default"/>
        <w:numPr>
          <w:ilvl w:val="0"/>
          <w:numId w:val="25"/>
        </w:numPr>
        <w:jc w:val="both"/>
        <w:rPr>
          <w:color w:val="538135"/>
          <w:sz w:val="20"/>
        </w:rPr>
      </w:pPr>
      <w:r w:rsidRPr="00306A7F">
        <w:rPr>
          <w:color w:val="538135"/>
          <w:sz w:val="20"/>
        </w:rPr>
        <w:t>Arrêté du 16 avril 2026 modifiant l'arrêté du 29 octobre 2009 relatif aux médicaments à usage humain classés dans l'une des catégories de prescription restreinte pour l'application de l'article R. 5141-122 du code de la santé publique</w:t>
      </w:r>
      <w:r>
        <w:rPr>
          <w:color w:val="538135"/>
          <w:sz w:val="20"/>
        </w:rPr>
        <w:t>.</w:t>
      </w:r>
    </w:p>
    <w:p w14:paraId="4DC28420" w14:textId="43432D1F" w:rsidR="00306A7F" w:rsidRDefault="00306A7F" w:rsidP="00306A7F">
      <w:pPr>
        <w:pStyle w:val="Default"/>
        <w:rPr>
          <w:color w:val="538135"/>
          <w:sz w:val="20"/>
        </w:rPr>
      </w:pPr>
    </w:p>
    <w:p w14:paraId="5DD10354" w14:textId="425C3946" w:rsidR="00221412" w:rsidRPr="00F24AA7" w:rsidRDefault="00221412" w:rsidP="00221412">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r>
      <w:r>
        <w:rPr>
          <w:rStyle w:val="Lienhypertexte"/>
        </w:rPr>
        <w:fldChar w:fldCharType="separate"/>
      </w:r>
      <w:r w:rsidRPr="00221412">
        <w:rPr>
          <w:rStyle w:val="Lienhypertexte"/>
        </w:rPr>
        <w:t>Prévention des infections associées aux soins et bon usage des antibiotiques</w:t>
      </w:r>
    </w:p>
    <w:p w14:paraId="247BD201" w14:textId="77777777" w:rsidR="00221412" w:rsidRPr="00221412" w:rsidRDefault="00221412" w:rsidP="00221412">
      <w:pPr>
        <w:pStyle w:val="Default"/>
        <w:jc w:val="both"/>
        <w:rPr>
          <w:color w:val="538135"/>
          <w:sz w:val="20"/>
        </w:rPr>
      </w:pPr>
      <w:r>
        <w:rPr>
          <w:rStyle w:val="Lienhypertexte"/>
        </w:rPr>
        <w:fldChar w:fldCharType="end"/>
      </w:r>
      <w:r>
        <w:rPr>
          <w:color w:val="538135"/>
          <w:sz w:val="20"/>
        </w:rPr>
        <w:t xml:space="preserve">- </w:t>
      </w:r>
      <w:r w:rsidRPr="00221412">
        <w:rPr>
          <w:color w:val="538135"/>
          <w:sz w:val="20"/>
        </w:rPr>
        <w:t>Fluoroquinolones :  trop de prescriptions non conformes, autant de risques d'effets indésirables évitables ! - ANSM</w:t>
      </w:r>
    </w:p>
    <w:p w14:paraId="3D344868" w14:textId="77777777" w:rsidR="00221412" w:rsidRPr="00221412" w:rsidRDefault="00221412" w:rsidP="00221412">
      <w:pPr>
        <w:pStyle w:val="Default"/>
        <w:jc w:val="both"/>
        <w:rPr>
          <w:color w:val="538135"/>
          <w:sz w:val="20"/>
        </w:rPr>
      </w:pPr>
      <w:r w:rsidRPr="00221412">
        <w:rPr>
          <w:color w:val="538135"/>
          <w:sz w:val="20"/>
        </w:rPr>
        <w:t>Une étude observationnelle menée en France par Epi-Phare révèle la persistance importante de mésusages préoccupants, exposant inutilement les patients aux effets indésirables des fluoroquinolones, très rares mais graves, parfois invalidants et irréversibles.</w:t>
      </w:r>
    </w:p>
    <w:p w14:paraId="19CA81AB" w14:textId="77777777" w:rsidR="00221412" w:rsidRPr="00221412" w:rsidRDefault="00221412" w:rsidP="00221412">
      <w:pPr>
        <w:pStyle w:val="Default"/>
        <w:jc w:val="both"/>
        <w:rPr>
          <w:color w:val="538135"/>
          <w:sz w:val="20"/>
        </w:rPr>
      </w:pPr>
      <w:r w:rsidRPr="00221412">
        <w:rPr>
          <w:color w:val="538135"/>
          <w:sz w:val="20"/>
        </w:rPr>
        <w:t>L’ANSM rappelle que les fluoroquinolones doivent être prescrites uniquement :</w:t>
      </w:r>
    </w:p>
    <w:p w14:paraId="08DD4654" w14:textId="104A8941" w:rsidR="00221412" w:rsidRPr="00221412" w:rsidRDefault="00221412" w:rsidP="00221412">
      <w:pPr>
        <w:pStyle w:val="Default"/>
        <w:numPr>
          <w:ilvl w:val="0"/>
          <w:numId w:val="26"/>
        </w:numPr>
        <w:jc w:val="both"/>
        <w:rPr>
          <w:color w:val="538135"/>
          <w:sz w:val="20"/>
        </w:rPr>
      </w:pPr>
      <w:r w:rsidRPr="00221412">
        <w:rPr>
          <w:color w:val="538135"/>
          <w:sz w:val="20"/>
        </w:rPr>
        <w:t>Pour des infections sévères ;</w:t>
      </w:r>
    </w:p>
    <w:p w14:paraId="2BDFC9C0" w14:textId="52654279" w:rsidR="00221412" w:rsidRPr="00221412" w:rsidRDefault="00221412" w:rsidP="00221412">
      <w:pPr>
        <w:pStyle w:val="Default"/>
        <w:numPr>
          <w:ilvl w:val="0"/>
          <w:numId w:val="26"/>
        </w:numPr>
        <w:jc w:val="both"/>
        <w:rPr>
          <w:color w:val="538135"/>
          <w:sz w:val="20"/>
        </w:rPr>
      </w:pPr>
      <w:r w:rsidRPr="00221412">
        <w:rPr>
          <w:color w:val="538135"/>
          <w:sz w:val="20"/>
        </w:rPr>
        <w:t>Et quand d’autres antibiotiques sont inefficaces ou contre-indiqués ;</w:t>
      </w:r>
    </w:p>
    <w:p w14:paraId="434B9E4C" w14:textId="3EA1B386" w:rsidR="00221412" w:rsidRPr="00221412" w:rsidRDefault="00221412" w:rsidP="00221412">
      <w:pPr>
        <w:pStyle w:val="Default"/>
        <w:numPr>
          <w:ilvl w:val="0"/>
          <w:numId w:val="26"/>
        </w:numPr>
        <w:jc w:val="both"/>
        <w:rPr>
          <w:color w:val="538135"/>
          <w:sz w:val="20"/>
        </w:rPr>
      </w:pPr>
      <w:r w:rsidRPr="00221412">
        <w:rPr>
          <w:color w:val="538135"/>
          <w:sz w:val="20"/>
        </w:rPr>
        <w:t xml:space="preserve">En tenant compte des recommandations thérapeutiques en vigueur. </w:t>
      </w:r>
    </w:p>
    <w:p w14:paraId="3679A8EC" w14:textId="47049164" w:rsidR="00221412" w:rsidRDefault="00221412" w:rsidP="00221412">
      <w:pPr>
        <w:pStyle w:val="Default"/>
        <w:jc w:val="both"/>
        <w:rPr>
          <w:color w:val="538135"/>
          <w:sz w:val="20"/>
        </w:rPr>
      </w:pPr>
      <w:r w:rsidRPr="00221412">
        <w:rPr>
          <w:color w:val="538135"/>
          <w:sz w:val="20"/>
        </w:rPr>
        <w:t>Vous pouvez déclarer tout événement indésirable suspecté d’être lié à la prise de fluoroquinolones sur : https://signalement.social-sante.gouv.fr</w:t>
      </w:r>
      <w:r>
        <w:rPr>
          <w:color w:val="538135"/>
          <w:sz w:val="20"/>
        </w:rPr>
        <w:t>.</w:t>
      </w:r>
    </w:p>
    <w:p w14:paraId="745245CA" w14:textId="77777777" w:rsidR="00221412" w:rsidRDefault="00221412" w:rsidP="00221412">
      <w:pPr>
        <w:pStyle w:val="Default"/>
        <w:jc w:val="both"/>
        <w:rPr>
          <w:color w:val="FF0000"/>
        </w:rPr>
      </w:pPr>
    </w:p>
    <w:p w14:paraId="0778E540" w14:textId="13B06244" w:rsidR="00C47FB0" w:rsidRPr="00F24AA7" w:rsidRDefault="00C47FB0" w:rsidP="00C47FB0">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sidRPr="00C47FB0">
        <w:rPr>
          <w:rStyle w:val="Lienhypertexte"/>
        </w:rPr>
        <w:t>Prise en charge des addictions</w:t>
      </w:r>
    </w:p>
    <w:p w14:paraId="3446A749" w14:textId="77777777" w:rsidR="00084284" w:rsidRPr="00084284" w:rsidRDefault="00C47FB0" w:rsidP="00084284">
      <w:pPr>
        <w:pStyle w:val="Default"/>
        <w:jc w:val="both"/>
        <w:rPr>
          <w:color w:val="538135"/>
          <w:sz w:val="20"/>
        </w:rPr>
      </w:pPr>
      <w:r>
        <w:rPr>
          <w:rStyle w:val="Lienhypertexte"/>
        </w:rPr>
        <w:fldChar w:fldCharType="end"/>
      </w:r>
      <w:r>
        <w:rPr>
          <w:color w:val="538135"/>
          <w:sz w:val="20"/>
        </w:rPr>
        <w:t xml:space="preserve">- </w:t>
      </w:r>
      <w:r w:rsidR="00084284" w:rsidRPr="00084284">
        <w:rPr>
          <w:color w:val="538135"/>
          <w:sz w:val="20"/>
        </w:rPr>
        <w:t>Instruction interministérielle n° DGOS/P3/DGAP/IP2/2026/25 du 10 avril 2026 relative à l’appel à candidatures pour la mise en place et le développement de deux nouvelles unités de réhabilitation pour usagers de drogues (URUD) en milieu carcéral.</w:t>
      </w:r>
    </w:p>
    <w:p w14:paraId="14E88FB3" w14:textId="41D4A988" w:rsidR="00084284" w:rsidRDefault="00084284" w:rsidP="00084284">
      <w:pPr>
        <w:pStyle w:val="Default"/>
        <w:jc w:val="both"/>
        <w:rPr>
          <w:color w:val="538135"/>
          <w:sz w:val="20"/>
        </w:rPr>
      </w:pPr>
      <w:r w:rsidRPr="00084284">
        <w:rPr>
          <w:color w:val="538135"/>
          <w:sz w:val="20"/>
        </w:rPr>
        <w:t>Résumé : La présente instruction a pour objet de lancer un appel à candidatures afin d’élargir le périmètre de l’expérimentation existante. Elle précise les objectifs de l’expérimentation ainsi que les critères et éléments qui serviront à son évaluation</w:t>
      </w:r>
      <w:r>
        <w:rPr>
          <w:color w:val="538135"/>
          <w:sz w:val="20"/>
        </w:rPr>
        <w:t>.</w:t>
      </w:r>
    </w:p>
    <w:p w14:paraId="43FF7788" w14:textId="2462B1D6" w:rsidR="00C47FB0" w:rsidRDefault="00084284" w:rsidP="00C47FB0">
      <w:pPr>
        <w:pStyle w:val="Default"/>
        <w:jc w:val="both"/>
        <w:rPr>
          <w:color w:val="538135"/>
          <w:sz w:val="20"/>
        </w:rPr>
      </w:pPr>
      <w:r>
        <w:rPr>
          <w:color w:val="538135"/>
          <w:sz w:val="20"/>
        </w:rPr>
        <w:t xml:space="preserve">- </w:t>
      </w:r>
      <w:r w:rsidR="00C47FB0" w:rsidRPr="00C47FB0">
        <w:rPr>
          <w:color w:val="538135"/>
          <w:sz w:val="20"/>
        </w:rPr>
        <w:t>Edition 2026 du Guide du maire face aux drogues et aux conduites addictives (MILDECA, 09/04/2026)</w:t>
      </w:r>
      <w:r w:rsidR="00C47FB0">
        <w:rPr>
          <w:color w:val="538135"/>
          <w:sz w:val="20"/>
        </w:rPr>
        <w:t>.</w:t>
      </w:r>
    </w:p>
    <w:p w14:paraId="55D696C4" w14:textId="77777777" w:rsidR="00DE7E93" w:rsidRPr="00DE7E93" w:rsidRDefault="00DE7E93" w:rsidP="00DE7E93">
      <w:pPr>
        <w:pStyle w:val="Default"/>
        <w:jc w:val="both"/>
        <w:rPr>
          <w:color w:val="538135"/>
          <w:sz w:val="20"/>
        </w:rPr>
      </w:pPr>
      <w:r>
        <w:rPr>
          <w:color w:val="538135"/>
          <w:sz w:val="20"/>
        </w:rPr>
        <w:t xml:space="preserve">- </w:t>
      </w:r>
      <w:r w:rsidRPr="00DE7E93">
        <w:rPr>
          <w:color w:val="538135"/>
          <w:sz w:val="20"/>
        </w:rPr>
        <w:t>Recherche et soin unis face à l’addiction aux opioïdes (INSERM, 22/04/2026).</w:t>
      </w:r>
    </w:p>
    <w:p w14:paraId="343FC9E2" w14:textId="2462D05F" w:rsidR="00DE7E93" w:rsidRDefault="00DE7E93" w:rsidP="00DE7E93">
      <w:pPr>
        <w:pStyle w:val="Default"/>
        <w:jc w:val="both"/>
        <w:rPr>
          <w:color w:val="538135"/>
          <w:sz w:val="20"/>
        </w:rPr>
      </w:pPr>
      <w:r w:rsidRPr="00DE7E93">
        <w:rPr>
          <w:color w:val="538135"/>
          <w:sz w:val="20"/>
        </w:rPr>
        <w:t>Les mécanismes qui conduisent à l’addiction sont pernicieux, car les substances incriminées parviennent à détourner durablement des circuits neuronaux qui nous sont vitaux, à commencer par le fameux circuit de la récompense. Dès lors, reprendre le contrôle face à un trouble lié à l’usage d’opioïdes, par exemple, représente un défi immense. A Strasbourg, recherche et soin travaillent main dans la main, pour comprendre ce qui se joue dans le cerveau au moment du sevrage notamment, et mieux caractériser l’impact des facteurs sociaux et psychiatriques sur la gravité de l’addiction. Avec un objectif : éviter la rechute des personnes concernées pour vaincre ce qui relève bel et bien d’une maladie</w:t>
      </w:r>
    </w:p>
    <w:p w14:paraId="3A99677C" w14:textId="77777777" w:rsidR="00C47FB0" w:rsidRDefault="00C47FB0" w:rsidP="00C47FB0">
      <w:pPr>
        <w:pStyle w:val="Default"/>
        <w:jc w:val="both"/>
        <w:rPr>
          <w:color w:val="FF0000"/>
        </w:rPr>
      </w:pPr>
    </w:p>
    <w:p w14:paraId="7919632A"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5C1BA918" w14:textId="387A9F2C" w:rsidR="007424C2" w:rsidRPr="007424C2" w:rsidRDefault="00D72557" w:rsidP="007424C2">
      <w:pPr>
        <w:pStyle w:val="Default"/>
        <w:rPr>
          <w:color w:val="538135"/>
          <w:sz w:val="20"/>
        </w:rPr>
      </w:pPr>
      <w:hyperlink r:id="rId10" w:anchor="cannabis" w:history="1">
        <w:r w:rsidRPr="00D72557">
          <w:rPr>
            <w:color w:val="538135"/>
            <w:sz w:val="20"/>
          </w:rPr>
          <w:t>- Cannabis à usage médical : actualisation de la liste des PUI et officines participant à l’expérimentation (ANSM, 28/01/2022)</w:t>
        </w:r>
      </w:hyperlink>
      <w:r w:rsidRPr="00D72557">
        <w:rPr>
          <w:color w:val="538135"/>
          <w:sz w:val="20"/>
        </w:rPr>
        <w:t>.</w:t>
      </w:r>
      <w:r w:rsidRPr="00D72557">
        <w:rPr>
          <w:color w:val="538135"/>
          <w:sz w:val="20"/>
        </w:rPr>
        <w:br/>
      </w:r>
      <w:r w:rsidR="007424C2">
        <w:rPr>
          <w:color w:val="538135"/>
          <w:sz w:val="20"/>
        </w:rPr>
        <w:t xml:space="preserve">- </w:t>
      </w:r>
      <w:hyperlink r:id="rId11" w:anchor="stupcp" w:history="1">
        <w:r w:rsidR="007424C2" w:rsidRPr="007424C2">
          <w:rPr>
            <w:color w:val="538135"/>
            <w:sz w:val="20"/>
          </w:rPr>
          <w:t>Fiche relative aux nouveaux motifs de fermeture administrative d'établissements, local ou lieu ouvert au public, introduits par la loi 2025-532, visant à sortir la France du piège du narcotrafic : infractions prévues aux articles 222-34 à 222-39 (trafic de stupéfiants), 321-1 (recel), 321-2 (recel), 324-1 (blanchiment), 324-5 (blanchiment), 450-1 (association de malfaiteurs) et 450-1-1 du code pénal (organisation criminelle) (Direction des libertés publiques et des affaires juridiques du ministère de l'intérieur(DLPAJ), ministère de l'intérieur, 14/04/2026)</w:t>
        </w:r>
      </w:hyperlink>
      <w:r w:rsidR="007424C2" w:rsidRPr="007424C2">
        <w:rPr>
          <w:color w:val="538135"/>
          <w:sz w:val="20"/>
        </w:rPr>
        <w:t xml:space="preserve">. </w:t>
      </w:r>
    </w:p>
    <w:p w14:paraId="2C32EB31" w14:textId="5D748B8F" w:rsidR="007424C2" w:rsidRPr="007424C2" w:rsidRDefault="007424C2" w:rsidP="007424C2">
      <w:pPr>
        <w:pStyle w:val="Default"/>
        <w:rPr>
          <w:color w:val="538135"/>
          <w:sz w:val="20"/>
        </w:rPr>
      </w:pPr>
      <w:r>
        <w:rPr>
          <w:color w:val="538135"/>
          <w:sz w:val="20"/>
        </w:rPr>
        <w:t xml:space="preserve">- </w:t>
      </w:r>
      <w:hyperlink r:id="rId12" w:anchor="e-prescription" w:history="1">
        <w:r w:rsidRPr="007424C2">
          <w:rPr>
            <w:color w:val="538135"/>
            <w:sz w:val="20"/>
          </w:rPr>
          <w:t>Téléconsultation : liste des solutions certifiées et en cours d’évaluation (ANS, 01/04/2026).</w:t>
        </w:r>
        <w:r w:rsidRPr="007424C2">
          <w:rPr>
            <w:color w:val="538135"/>
            <w:sz w:val="20"/>
          </w:rPr>
          <w:br/>
          <w:t>Conformité au référentiel d’interopérabilité, de sécurité et d’éthique des systèmes d'informations de téléconsultation</w:t>
        </w:r>
      </w:hyperlink>
      <w:r w:rsidRPr="007424C2">
        <w:rPr>
          <w:color w:val="538135"/>
          <w:sz w:val="20"/>
        </w:rPr>
        <w:t xml:space="preserve">. </w:t>
      </w:r>
    </w:p>
    <w:p w14:paraId="387578BD" w14:textId="4130F705" w:rsidR="007424C2" w:rsidRPr="007424C2" w:rsidRDefault="007424C2" w:rsidP="007424C2">
      <w:pPr>
        <w:pStyle w:val="Default"/>
        <w:rPr>
          <w:color w:val="538135"/>
          <w:sz w:val="20"/>
        </w:rPr>
      </w:pPr>
      <w:r>
        <w:rPr>
          <w:color w:val="538135"/>
          <w:sz w:val="20"/>
        </w:rPr>
        <w:t xml:space="preserve">- </w:t>
      </w:r>
      <w:hyperlink r:id="rId13" w:anchor="cannabis-therapeutique" w:history="1">
        <w:r w:rsidRPr="007424C2">
          <w:rPr>
            <w:color w:val="538135"/>
            <w:sz w:val="20"/>
          </w:rPr>
          <w:t>Décision ANSM n° 2026-30 du 27/03/2026 - Prorogation de la durée du Comité scientifique temporaire « Suivi de l’expérimentation française de l’usage médical du cannabis » à l’ANSM (jusqu'au 31/12/2026 au lieu du 31/03/2026)</w:t>
        </w:r>
      </w:hyperlink>
      <w:r w:rsidRPr="007424C2">
        <w:rPr>
          <w:color w:val="538135"/>
          <w:sz w:val="20"/>
        </w:rPr>
        <w:t xml:space="preserve">. </w:t>
      </w:r>
    </w:p>
    <w:p w14:paraId="0DA5BE82" w14:textId="12787581"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14" w:anchor="cannabis-therapeutique" w:history="1">
        <w:r w:rsidRPr="007424C2">
          <w:rPr>
            <w:color w:val="538135"/>
            <w:sz w:val="20"/>
          </w:rPr>
          <w:t>Cannabis à usage médical (ANSM, actualisation du 20/04/2026). Prolongation de la phase expérimentale de 3 mois après la publication par la Haute Autorité de santé (HAS) de son avis sur son site, sans changement de ses modalités jusque-là, afin d’éviter toute interruption de traitement pour les patients encore pris en charge dans ce cadre transitoire, dans l’attente de la mise en place d’un cadre</w:t>
        </w:r>
      </w:hyperlink>
      <w:r w:rsidRPr="007424C2">
        <w:rPr>
          <w:color w:val="538135"/>
          <w:sz w:val="20"/>
        </w:rPr>
        <w:t xml:space="preserve">. </w:t>
      </w:r>
    </w:p>
    <w:p w14:paraId="2A8A3E85" w14:textId="736E8BBA"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15" w:anchor="cannabis-therapeutique" w:history="1">
        <w:r w:rsidRPr="007424C2">
          <w:rPr>
            <w:color w:val="538135"/>
            <w:sz w:val="20"/>
          </w:rPr>
          <w:t>Cannabis à usage médical : l’ANSM publie la liste des premiers pharmaciens participant à l’expérimentation (ANSM, actualisation du 20/04/2026)</w:t>
        </w:r>
      </w:hyperlink>
      <w:r w:rsidRPr="007424C2">
        <w:rPr>
          <w:color w:val="538135"/>
          <w:sz w:val="20"/>
        </w:rPr>
        <w:t xml:space="preserve">. </w:t>
      </w:r>
    </w:p>
    <w:p w14:paraId="148D3E20" w14:textId="4E1C8FF6"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16" w:anchor="cannabis-therapeutique" w:history="1">
        <w:r w:rsidRPr="007424C2">
          <w:rPr>
            <w:color w:val="538135"/>
            <w:sz w:val="20"/>
          </w:rPr>
          <w:t>Cannabis médical : Après plusieurs reports, un calendrier qui se précise (Le Moniteur des pharmacies, 02/04/2026).</w:t>
        </w:r>
        <w:r w:rsidRPr="007424C2">
          <w:rPr>
            <w:color w:val="538135"/>
            <w:sz w:val="20"/>
          </w:rPr>
          <w:br/>
          <w:t>Trois ans d’expérimentation et des mois de reports plus tard, un décret concernant le cannabis médical pourrait enfin être adopté d’ici fin juin 2026. Il ouvrirait la voie à une généralisation des médicaments à base de cannabinoïdes en France. Mais entre enjeux politiques et incertitudes réglementaires, le calendrier reste fragile</w:t>
        </w:r>
      </w:hyperlink>
      <w:r w:rsidRPr="007424C2">
        <w:rPr>
          <w:color w:val="538135"/>
          <w:sz w:val="20"/>
        </w:rPr>
        <w:t xml:space="preserve"> </w:t>
      </w:r>
    </w:p>
    <w:p w14:paraId="099501E2" w14:textId="4324A09D"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17" w:anchor="biblio-europe" w:history="1">
        <w:r w:rsidRPr="007424C2">
          <w:rPr>
            <w:color w:val="538135"/>
            <w:sz w:val="20"/>
          </w:rPr>
          <w:t>Rapport européen sur les drogues 2025 : tendances et évolutions (</w:t>
        </w:r>
        <w:proofErr w:type="spellStart"/>
        <w:r w:rsidRPr="007424C2">
          <w:rPr>
            <w:color w:val="538135"/>
            <w:sz w:val="20"/>
          </w:rPr>
          <w:t>European</w:t>
        </w:r>
        <w:proofErr w:type="spellEnd"/>
        <w:r w:rsidRPr="007424C2">
          <w:rPr>
            <w:color w:val="538135"/>
            <w:sz w:val="20"/>
          </w:rPr>
          <w:t xml:space="preserve"> Union Drug Agency (EUDA), 31/03/2026, en anglais)</w:t>
        </w:r>
      </w:hyperlink>
      <w:r w:rsidRPr="007424C2">
        <w:rPr>
          <w:color w:val="538135"/>
          <w:sz w:val="20"/>
        </w:rPr>
        <w:t xml:space="preserve">. </w:t>
      </w:r>
    </w:p>
    <w:p w14:paraId="3475EDAE" w14:textId="5965F536"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18" w:anchor="biblio-europe" w:history="1">
        <w:r w:rsidRPr="007424C2">
          <w:rPr>
            <w:color w:val="538135"/>
            <w:sz w:val="20"/>
          </w:rPr>
          <w:t>Analyse des eaux usées et médicaments – une étude européenne multi-villes (</w:t>
        </w:r>
        <w:proofErr w:type="spellStart"/>
        <w:r w:rsidRPr="007424C2">
          <w:rPr>
            <w:color w:val="538135"/>
            <w:sz w:val="20"/>
          </w:rPr>
          <w:t>European</w:t>
        </w:r>
        <w:proofErr w:type="spellEnd"/>
        <w:r w:rsidRPr="007424C2">
          <w:rPr>
            <w:color w:val="538135"/>
            <w:sz w:val="20"/>
          </w:rPr>
          <w:t xml:space="preserve"> Union Drug Agency (EUDA), 18/03/2026, en anglais)</w:t>
        </w:r>
      </w:hyperlink>
      <w:r w:rsidRPr="007424C2">
        <w:rPr>
          <w:color w:val="538135"/>
          <w:sz w:val="20"/>
        </w:rPr>
        <w:t xml:space="preserve">. </w:t>
      </w:r>
    </w:p>
    <w:p w14:paraId="2B2BF6FE" w14:textId="0EBE62F0"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19" w:anchor="biblio-europe" w:history="1">
        <w:r w:rsidRPr="007424C2">
          <w:rPr>
            <w:color w:val="538135"/>
            <w:sz w:val="20"/>
          </w:rPr>
          <w:t>Moins de MDMA, plus de cocaïne et de kétamine : la consommation de drogues en Europe évolue (</w:t>
        </w:r>
        <w:proofErr w:type="spellStart"/>
        <w:r w:rsidRPr="007424C2">
          <w:rPr>
            <w:color w:val="538135"/>
            <w:sz w:val="20"/>
          </w:rPr>
          <w:t>Newsweed</w:t>
        </w:r>
        <w:proofErr w:type="spellEnd"/>
        <w:r w:rsidRPr="007424C2">
          <w:rPr>
            <w:color w:val="538135"/>
            <w:sz w:val="20"/>
          </w:rPr>
          <w:t>, 24/03/2026)</w:t>
        </w:r>
      </w:hyperlink>
      <w:r w:rsidRPr="007424C2">
        <w:rPr>
          <w:color w:val="538135"/>
          <w:sz w:val="20"/>
        </w:rPr>
        <w:t xml:space="preserve">. </w:t>
      </w:r>
    </w:p>
    <w:p w14:paraId="50AF2C63" w14:textId="5672BF41"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20" w:anchor="biblio-france" w:history="1">
        <w:r w:rsidRPr="007424C2">
          <w:rPr>
            <w:color w:val="538135"/>
            <w:sz w:val="20"/>
          </w:rPr>
          <w:t>OPPIDUM (Observation des Produits psychotropes Illicites ou Détournés de leur Utilisation Médicamenteuse) – Résultats de l’enquête 2024 (ANSM, 02/04/2026)</w:t>
        </w:r>
      </w:hyperlink>
      <w:r w:rsidRPr="007424C2">
        <w:rPr>
          <w:color w:val="538135"/>
          <w:sz w:val="20"/>
        </w:rPr>
        <w:t xml:space="preserve">. </w:t>
      </w:r>
    </w:p>
    <w:p w14:paraId="6B46C20E" w14:textId="1F491723"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21" w:anchor="biblio-france" w:history="1">
        <w:r w:rsidRPr="007424C2">
          <w:rPr>
            <w:color w:val="538135"/>
            <w:sz w:val="20"/>
          </w:rPr>
          <w:t>ASOS (Antalgiques, Stupéfiants et Ordonnances Sécurisées) – Résultats de l’enquête 2024 (ANSM, 16/04/2026)</w:t>
        </w:r>
      </w:hyperlink>
      <w:r w:rsidRPr="007424C2">
        <w:rPr>
          <w:color w:val="538135"/>
          <w:sz w:val="20"/>
        </w:rPr>
        <w:t xml:space="preserve">. </w:t>
      </w:r>
    </w:p>
    <w:p w14:paraId="148F891A" w14:textId="132E0E42"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22" w:anchor="biblio-canna" w:history="1">
        <w:r w:rsidRPr="007424C2">
          <w:rPr>
            <w:color w:val="538135"/>
            <w:sz w:val="20"/>
          </w:rPr>
          <w:t>FAQ concernant les législations relatives au cannabis en Europe (EUDA, 21/04/2026, en anglais)</w:t>
        </w:r>
      </w:hyperlink>
      <w:r w:rsidRPr="007424C2">
        <w:rPr>
          <w:color w:val="538135"/>
          <w:sz w:val="20"/>
        </w:rPr>
        <w:t xml:space="preserve">. </w:t>
      </w:r>
    </w:p>
    <w:p w14:paraId="618B6137" w14:textId="0851C05D"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23" w:anchor="biblio-canna" w:history="1">
        <w:r w:rsidRPr="007424C2">
          <w:rPr>
            <w:color w:val="538135"/>
            <w:sz w:val="20"/>
          </w:rPr>
          <w:t>Vademecum - Cannabis et Cannabinoïdes - Ce qu'il faut savoir, ce qu'il faut faire (Réseau de prévention des addictions/RESPAD, février 2025)</w:t>
        </w:r>
      </w:hyperlink>
      <w:r w:rsidRPr="007424C2">
        <w:rPr>
          <w:color w:val="538135"/>
          <w:sz w:val="20"/>
        </w:rPr>
        <w:t xml:space="preserve">. </w:t>
      </w:r>
    </w:p>
    <w:p w14:paraId="3B1D72B7" w14:textId="5EFDB377" w:rsidR="007424C2" w:rsidRPr="007424C2" w:rsidRDefault="007424C2" w:rsidP="007424C2">
      <w:pPr>
        <w:pStyle w:val="Default"/>
        <w:rPr>
          <w:color w:val="538135"/>
          <w:sz w:val="20"/>
        </w:rPr>
      </w:pPr>
      <w:r>
        <w:rPr>
          <w:color w:val="538135"/>
          <w:sz w:val="20"/>
        </w:rPr>
        <w:t>-</w:t>
      </w:r>
      <w:r w:rsidRPr="007424C2">
        <w:rPr>
          <w:color w:val="538135"/>
          <w:sz w:val="20"/>
        </w:rPr>
        <w:t xml:space="preserve"> </w:t>
      </w:r>
      <w:hyperlink r:id="rId24" w:anchor="biblio-canna" w:history="1">
        <w:proofErr w:type="spellStart"/>
        <w:r w:rsidRPr="007424C2">
          <w:rPr>
            <w:color w:val="538135"/>
            <w:sz w:val="20"/>
          </w:rPr>
          <w:t>Phytocannabinoïdes</w:t>
        </w:r>
        <w:proofErr w:type="spellEnd"/>
        <w:r w:rsidRPr="007424C2">
          <w:rPr>
            <w:color w:val="538135"/>
            <w:sz w:val="20"/>
          </w:rPr>
          <w:t xml:space="preserve"> : un inventaire critique unifié (Natural </w:t>
        </w:r>
        <w:proofErr w:type="spellStart"/>
        <w:r w:rsidRPr="007424C2">
          <w:rPr>
            <w:color w:val="538135"/>
            <w:sz w:val="20"/>
          </w:rPr>
          <w:t>Products</w:t>
        </w:r>
        <w:proofErr w:type="spellEnd"/>
        <w:r w:rsidRPr="007424C2">
          <w:rPr>
            <w:color w:val="538135"/>
            <w:sz w:val="20"/>
          </w:rPr>
          <w:t xml:space="preserve"> Reports, 10/10/2016, en anglais)</w:t>
        </w:r>
      </w:hyperlink>
      <w:r w:rsidRPr="007424C2">
        <w:rPr>
          <w:color w:val="538135"/>
          <w:sz w:val="20"/>
        </w:rPr>
        <w:t xml:space="preserve">. </w:t>
      </w:r>
    </w:p>
    <w:p w14:paraId="5DFE3EA3" w14:textId="3DCC058B" w:rsidR="00263E21" w:rsidRDefault="007424C2" w:rsidP="007424C2">
      <w:pPr>
        <w:pStyle w:val="Default"/>
        <w:rPr>
          <w:color w:val="538135"/>
          <w:sz w:val="20"/>
        </w:rPr>
      </w:pPr>
      <w:r>
        <w:rPr>
          <w:color w:val="538135"/>
          <w:sz w:val="20"/>
        </w:rPr>
        <w:t xml:space="preserve">- </w:t>
      </w:r>
      <w:hyperlink r:id="rId25" w:anchor="biblio-canna" w:history="1">
        <w:r w:rsidRPr="007424C2">
          <w:rPr>
            <w:color w:val="538135"/>
            <w:sz w:val="20"/>
          </w:rPr>
          <w:t>Une étude majeure révèle que le cannabis est un fléau pour le cœur et double le risque de décès par maladie cardiovasculaire (</w:t>
        </w:r>
        <w:proofErr w:type="spellStart"/>
        <w:r w:rsidRPr="007424C2">
          <w:rPr>
            <w:color w:val="538135"/>
            <w:sz w:val="20"/>
          </w:rPr>
          <w:t>Medscape</w:t>
        </w:r>
        <w:proofErr w:type="spellEnd"/>
        <w:r w:rsidRPr="007424C2">
          <w:rPr>
            <w:color w:val="538135"/>
            <w:sz w:val="20"/>
          </w:rPr>
          <w:t>, 24/06/2025)</w:t>
        </w:r>
      </w:hyperlink>
      <w:r w:rsidRPr="007424C2">
        <w:rPr>
          <w:color w:val="538135"/>
          <w:sz w:val="20"/>
        </w:rPr>
        <w:t>.</w:t>
      </w:r>
      <w:r w:rsidR="004B1C7D" w:rsidRPr="004B1C7D">
        <w:rPr>
          <w:color w:val="538135"/>
          <w:sz w:val="20"/>
        </w:rPr>
        <w:br/>
      </w:r>
    </w:p>
    <w:p w14:paraId="1C2F0841" w14:textId="77777777" w:rsidR="00C477DF" w:rsidRDefault="00C477DF" w:rsidP="004B1C7D">
      <w:pPr>
        <w:pStyle w:val="Default"/>
        <w:rPr>
          <w:color w:val="538135"/>
          <w:sz w:val="20"/>
        </w:rPr>
      </w:pPr>
    </w:p>
    <w:p w14:paraId="57CF5863" w14:textId="40D6AAA2" w:rsidR="00C477DF" w:rsidRPr="00F24AA7" w:rsidRDefault="00C477DF" w:rsidP="00C477DF">
      <w:pPr>
        <w:pStyle w:val="Default"/>
        <w:jc w:val="both"/>
        <w:rPr>
          <w:rStyle w:val="Lienhypertexte"/>
        </w:rPr>
      </w:pPr>
      <w:r>
        <w:rPr>
          <w:rStyle w:val="Lienhypertexte"/>
        </w:rPr>
        <w:lastRenderedPageBreak/>
        <w:fldChar w:fldCharType="begin"/>
      </w:r>
      <w:r>
        <w:rPr>
          <w:rStyle w:val="Lienhypertexte"/>
        </w:rPr>
        <w:instrText>HYPERLINK "https://peps.sante.gouv.fr/themes/vaccination/vaccination.html"</w:instrText>
      </w:r>
      <w:r>
        <w:rPr>
          <w:rStyle w:val="Lienhypertexte"/>
        </w:rPr>
      </w:r>
      <w:r>
        <w:rPr>
          <w:rStyle w:val="Lienhypertexte"/>
        </w:rPr>
        <w:fldChar w:fldCharType="separate"/>
      </w:r>
      <w:r>
        <w:rPr>
          <w:rStyle w:val="Lienhypertexte"/>
        </w:rPr>
        <w:t>Vaccination</w:t>
      </w:r>
    </w:p>
    <w:p w14:paraId="487EC075" w14:textId="0B3320C5" w:rsidR="00C477DF" w:rsidRDefault="00C477DF" w:rsidP="00C477DF">
      <w:pPr>
        <w:pStyle w:val="Default"/>
        <w:jc w:val="both"/>
        <w:rPr>
          <w:color w:val="538135"/>
          <w:sz w:val="20"/>
        </w:rPr>
      </w:pPr>
      <w:r>
        <w:rPr>
          <w:rStyle w:val="Lienhypertexte"/>
        </w:rPr>
        <w:fldChar w:fldCharType="end"/>
      </w:r>
      <w:r>
        <w:rPr>
          <w:color w:val="538135"/>
          <w:sz w:val="20"/>
        </w:rPr>
        <w:t xml:space="preserve">- </w:t>
      </w:r>
      <w:r w:rsidRPr="00C477DF">
        <w:rPr>
          <w:color w:val="538135"/>
          <w:sz w:val="20"/>
        </w:rPr>
        <w:t>Le calendrier des vaccinations, mis à jour le 27/04/2026</w:t>
      </w:r>
      <w:r>
        <w:rPr>
          <w:color w:val="538135"/>
          <w:sz w:val="20"/>
        </w:rPr>
        <w:t>.</w:t>
      </w:r>
    </w:p>
    <w:p w14:paraId="2582E4FC" w14:textId="3C9144F6" w:rsidR="00C477DF" w:rsidRDefault="00C477DF" w:rsidP="00C477DF">
      <w:pPr>
        <w:pStyle w:val="Default"/>
        <w:jc w:val="both"/>
        <w:rPr>
          <w:color w:val="538135"/>
          <w:sz w:val="20"/>
        </w:rPr>
      </w:pPr>
      <w:r>
        <w:rPr>
          <w:color w:val="538135"/>
          <w:sz w:val="20"/>
        </w:rPr>
        <w:t xml:space="preserve">- </w:t>
      </w:r>
      <w:r w:rsidRPr="00C477DF">
        <w:rPr>
          <w:color w:val="538135"/>
          <w:sz w:val="20"/>
        </w:rPr>
        <w:t>Vaccination des enfants, adolescents et jeunes adultes. Données 2025. SPF 27/04/2026</w:t>
      </w:r>
      <w:r>
        <w:rPr>
          <w:color w:val="538135"/>
          <w:sz w:val="20"/>
        </w:rPr>
        <w:t>.</w:t>
      </w:r>
    </w:p>
    <w:p w14:paraId="2EAD260C" w14:textId="77777777" w:rsidR="00C477DF" w:rsidRPr="00C477DF" w:rsidRDefault="00C477DF" w:rsidP="00C477DF">
      <w:pPr>
        <w:pStyle w:val="Default"/>
        <w:jc w:val="both"/>
        <w:rPr>
          <w:color w:val="538135"/>
          <w:sz w:val="20"/>
        </w:rPr>
      </w:pPr>
      <w:r>
        <w:rPr>
          <w:color w:val="538135"/>
          <w:sz w:val="20"/>
        </w:rPr>
        <w:t xml:space="preserve">- </w:t>
      </w:r>
      <w:r w:rsidRPr="00C477DF">
        <w:rPr>
          <w:color w:val="538135"/>
          <w:sz w:val="20"/>
        </w:rPr>
        <w:t>Semaine Européenne de la Vaccination 2026 - Protéger les jeunes grâce à la vaccination, un enjeu de santé publique majeur.</w:t>
      </w:r>
    </w:p>
    <w:p w14:paraId="43996596" w14:textId="77777777" w:rsidR="00C477DF" w:rsidRPr="00C477DF" w:rsidRDefault="00C477DF" w:rsidP="00C477DF">
      <w:pPr>
        <w:pStyle w:val="Default"/>
        <w:jc w:val="both"/>
        <w:rPr>
          <w:color w:val="538135"/>
          <w:sz w:val="20"/>
        </w:rPr>
      </w:pPr>
      <w:r w:rsidRPr="00C477DF">
        <w:rPr>
          <w:color w:val="538135"/>
          <w:sz w:val="20"/>
        </w:rPr>
        <w:t xml:space="preserve">La Semaine Européenne de la Vaccination (SEV), organisée par le </w:t>
      </w:r>
      <w:proofErr w:type="gramStart"/>
      <w:r w:rsidRPr="00C477DF">
        <w:rPr>
          <w:color w:val="538135"/>
          <w:sz w:val="20"/>
        </w:rPr>
        <w:t>Ministère</w:t>
      </w:r>
      <w:proofErr w:type="gramEnd"/>
      <w:r w:rsidRPr="00C477DF">
        <w:rPr>
          <w:color w:val="538135"/>
          <w:sz w:val="20"/>
        </w:rPr>
        <w:t xml:space="preserve"> de la Santé, des Familles, de l’Autonomie et des Personnes handicapées et Santé publique France, et pilotée en régions par les Agences Régionales de Santé (ARS), se déroule cette année du 27 avril au 3 mai. </w:t>
      </w:r>
    </w:p>
    <w:p w14:paraId="6EDB136A" w14:textId="77777777" w:rsidR="00C477DF" w:rsidRPr="00C477DF" w:rsidRDefault="00C477DF" w:rsidP="00C477DF">
      <w:pPr>
        <w:pStyle w:val="Default"/>
        <w:jc w:val="both"/>
        <w:rPr>
          <w:color w:val="538135"/>
          <w:sz w:val="20"/>
        </w:rPr>
      </w:pPr>
      <w:r w:rsidRPr="00C477DF">
        <w:rPr>
          <w:color w:val="538135"/>
          <w:sz w:val="20"/>
        </w:rPr>
        <w:t xml:space="preserve">En 2026, la SEV met particulièrement l’accent sur la vaccination des adolescents et des jeunes adultes. </w:t>
      </w:r>
    </w:p>
    <w:p w14:paraId="65712EDB" w14:textId="31DC4135" w:rsidR="00C477DF" w:rsidRDefault="00C477DF" w:rsidP="00C477DF">
      <w:pPr>
        <w:pStyle w:val="Default"/>
        <w:jc w:val="both"/>
        <w:rPr>
          <w:color w:val="538135"/>
          <w:sz w:val="20"/>
        </w:rPr>
      </w:pPr>
      <w:r w:rsidRPr="00C477DF">
        <w:rPr>
          <w:color w:val="538135"/>
          <w:sz w:val="20"/>
        </w:rPr>
        <w:t>L’objectif : mieux protéger ces populations en renforçant la promotion des vaccinations contre les infections à papillomavirus humains (HPV) et les méningocoques, dont les recommandations vaccinales ont récemment évolué</w:t>
      </w:r>
      <w:r>
        <w:rPr>
          <w:color w:val="538135"/>
          <w:sz w:val="20"/>
        </w:rPr>
        <w:t>.</w:t>
      </w:r>
    </w:p>
    <w:p w14:paraId="4EFC1733" w14:textId="77777777" w:rsidR="00C477DF" w:rsidRPr="00C477DF" w:rsidRDefault="00C477DF" w:rsidP="00C477DF">
      <w:pPr>
        <w:pStyle w:val="Default"/>
        <w:jc w:val="both"/>
        <w:rPr>
          <w:color w:val="538135"/>
          <w:sz w:val="20"/>
        </w:rPr>
      </w:pPr>
      <w:r>
        <w:rPr>
          <w:color w:val="538135"/>
          <w:sz w:val="20"/>
        </w:rPr>
        <w:t xml:space="preserve">- </w:t>
      </w:r>
      <w:r w:rsidRPr="00C477DF">
        <w:rPr>
          <w:color w:val="538135"/>
          <w:sz w:val="20"/>
        </w:rPr>
        <w:t xml:space="preserve">Le Grand rattrapage, lancé par l’OMS en 2023 à l’occasion de la Semaine mondiale de la vaccination, a administré plus de 100 millions de doses de vaccin à quelque 18,3 millions d’enfants dans 36 pays. </w:t>
      </w:r>
    </w:p>
    <w:p w14:paraId="3812EB93" w14:textId="77777777" w:rsidR="00C477DF" w:rsidRPr="00C477DF" w:rsidRDefault="00C477DF" w:rsidP="00C477DF">
      <w:pPr>
        <w:pStyle w:val="Default"/>
        <w:jc w:val="both"/>
        <w:rPr>
          <w:color w:val="538135"/>
          <w:sz w:val="20"/>
        </w:rPr>
      </w:pPr>
      <w:r w:rsidRPr="00C477DF">
        <w:rPr>
          <w:color w:val="538135"/>
          <w:sz w:val="20"/>
        </w:rPr>
        <w:t xml:space="preserve">Plus de 12,3 millions d’entre eux étaient des « enfants zéro dose », c’est-à-dire des enfants qui n’avaient jamais reçu de vaccin, et 15 millions d’entre eux n’avaient jamais été vaccinés contre la rougeole. </w:t>
      </w:r>
    </w:p>
    <w:p w14:paraId="4813D93F" w14:textId="48E43D65" w:rsidR="00C477DF" w:rsidRDefault="00C477DF" w:rsidP="00C477DF">
      <w:pPr>
        <w:pStyle w:val="Default"/>
        <w:jc w:val="both"/>
        <w:rPr>
          <w:color w:val="538135"/>
          <w:sz w:val="20"/>
        </w:rPr>
      </w:pPr>
      <w:r w:rsidRPr="00C477DF">
        <w:rPr>
          <w:color w:val="538135"/>
          <w:sz w:val="20"/>
        </w:rPr>
        <w:t>L’initiative, conclue en mars 2026, est en voie d’atteindre sa cible de 21 millions d’enfants – mais les organismes responsables avertissent que de nombreux nourrissons ratent toujours des doses de vaccins vitaux administrés dans le cadre de la vaccination systématique.</w:t>
      </w:r>
    </w:p>
    <w:p w14:paraId="543030DC" w14:textId="77777777" w:rsidR="00C477DF" w:rsidRDefault="00C477DF" w:rsidP="004B1C7D">
      <w:pPr>
        <w:pStyle w:val="Default"/>
        <w:rPr>
          <w:color w:val="538135"/>
          <w:sz w:val="20"/>
        </w:rPr>
      </w:pPr>
    </w:p>
    <w:p w14:paraId="7DB5E122" w14:textId="77777777" w:rsidR="00D82BEE" w:rsidRDefault="00D82BEE" w:rsidP="00263E21">
      <w:pPr>
        <w:pStyle w:val="Default"/>
        <w:jc w:val="both"/>
      </w:pPr>
    </w:p>
    <w:p w14:paraId="458AC119" w14:textId="77777777" w:rsidR="003C2418" w:rsidRPr="00672CE5" w:rsidRDefault="003C2418" w:rsidP="003C2418">
      <w:pPr>
        <w:pStyle w:val="PEPS"/>
      </w:pPr>
      <w:r w:rsidRPr="00672CE5">
        <w:t>Manuel des formalités administratives :</w:t>
      </w:r>
    </w:p>
    <w:p w14:paraId="771EBDB6" w14:textId="77777777" w:rsidR="003C2418" w:rsidRPr="00126647" w:rsidRDefault="003C2418" w:rsidP="003C2418">
      <w:pPr>
        <w:pStyle w:val="PEPS"/>
        <w:rPr>
          <w:rFonts w:ascii="Calibri" w:eastAsia="Calibri" w:hAnsi="Calibri" w:cs="Times New Roman"/>
          <w:b w:val="0"/>
          <w:color w:val="auto"/>
          <w:sz w:val="22"/>
          <w:szCs w:val="21"/>
          <w:lang w:eastAsia="en-US"/>
        </w:rPr>
      </w:pPr>
      <w:hyperlink r:id="rId26" w:history="1">
        <w:r w:rsidRPr="00E146CA">
          <w:rPr>
            <w:rStyle w:val="Lienhypertexte"/>
            <w:rFonts w:ascii="Calibri" w:eastAsia="Calibri" w:hAnsi="Calibri" w:cs="Times New Roman"/>
            <w:b w:val="0"/>
            <w:sz w:val="22"/>
            <w:szCs w:val="21"/>
            <w:lang w:eastAsia="en-US"/>
          </w:rPr>
          <w:t>https://peps.sante.gouv.fr/outils/guide_proced/guide.html</w:t>
        </w:r>
      </w:hyperlink>
    </w:p>
    <w:p w14:paraId="2CEFA3F3" w14:textId="77777777" w:rsidR="003C2418" w:rsidRDefault="003C2418" w:rsidP="003C2418">
      <w:pPr>
        <w:pStyle w:val="Textebrut"/>
      </w:pPr>
    </w:p>
    <w:p w14:paraId="567DD2BD" w14:textId="77777777" w:rsidR="007424C2" w:rsidRDefault="007424C2" w:rsidP="003C2418">
      <w:pPr>
        <w:pStyle w:val="Textebrut"/>
      </w:pPr>
    </w:p>
    <w:p w14:paraId="146A7065" w14:textId="77777777" w:rsidR="007424C2" w:rsidRPr="00672CE5" w:rsidRDefault="007424C2" w:rsidP="003C2418">
      <w:pPr>
        <w:pStyle w:val="Textebrut"/>
      </w:pPr>
    </w:p>
    <w:p w14:paraId="00717E1E" w14:textId="77777777" w:rsidR="003C2418" w:rsidRPr="00672CE5" w:rsidRDefault="003C2418" w:rsidP="003C2418">
      <w:pPr>
        <w:pStyle w:val="PEPS"/>
      </w:pPr>
      <w:r w:rsidRPr="00947196">
        <w:t>Textes en projet</w:t>
      </w:r>
      <w:r w:rsidRPr="00672CE5">
        <w:t> :</w:t>
      </w:r>
    </w:p>
    <w:p w14:paraId="1CFFFA66" w14:textId="77777777" w:rsidR="003C2418" w:rsidRDefault="003C2418" w:rsidP="003C2418">
      <w:pPr>
        <w:pStyle w:val="Textebrut"/>
      </w:pPr>
      <w:hyperlink r:id="rId27" w:history="1">
        <w:r>
          <w:rPr>
            <w:rStyle w:val="Lienhypertexte"/>
          </w:rPr>
          <w:t>https://peps.sante.gouv.fr/textes_projets/projets.html</w:t>
        </w:r>
      </w:hyperlink>
    </w:p>
    <w:p w14:paraId="2335E90F" w14:textId="77777777" w:rsidR="003C2418" w:rsidRDefault="003C2418" w:rsidP="003C2418">
      <w:pPr>
        <w:pStyle w:val="Textebrut"/>
      </w:pPr>
    </w:p>
    <w:p w14:paraId="731DC718" w14:textId="77777777" w:rsidR="003C2418" w:rsidRDefault="003C2418" w:rsidP="003C2418">
      <w:pPr>
        <w:pStyle w:val="Textebrut"/>
      </w:pPr>
    </w:p>
    <w:p w14:paraId="586BEA4A" w14:textId="77777777" w:rsidR="003C2418" w:rsidRDefault="003C2418" w:rsidP="003C2418">
      <w:pPr>
        <w:pStyle w:val="Textebrut"/>
      </w:pPr>
    </w:p>
    <w:p w14:paraId="3F07FB6A" w14:textId="77777777" w:rsidR="003C2418" w:rsidRDefault="003C2418" w:rsidP="003C2418">
      <w:pPr>
        <w:pStyle w:val="Textebrut"/>
      </w:pPr>
    </w:p>
    <w:p w14:paraId="3044E5E1" w14:textId="77777777" w:rsidR="003C2418" w:rsidRPr="00672CE5" w:rsidRDefault="003C2418" w:rsidP="003C2418">
      <w:pPr>
        <w:pStyle w:val="Textebrut"/>
      </w:pPr>
    </w:p>
    <w:p w14:paraId="5E33B071" w14:textId="77777777" w:rsidR="003C2418" w:rsidRPr="00672CE5" w:rsidRDefault="003C2418" w:rsidP="003C2418">
      <w:pPr>
        <w:pStyle w:val="PEPS"/>
      </w:pPr>
      <w:r>
        <w:t>Actualité réglementaire</w:t>
      </w:r>
      <w:r w:rsidRPr="00672CE5">
        <w:t> :</w:t>
      </w:r>
    </w:p>
    <w:p w14:paraId="0004D8BD" w14:textId="77777777" w:rsidR="003C2418" w:rsidRDefault="003C2418" w:rsidP="003C2418">
      <w:pPr>
        <w:pStyle w:val="Textebrut"/>
      </w:pPr>
      <w:hyperlink r:id="rId28" w:history="1">
        <w:r w:rsidRPr="00460C8B">
          <w:rPr>
            <w:rStyle w:val="Lienhypertexte"/>
          </w:rPr>
          <w:t>https://peps.sante.gouv.fr/outils/docu/texto.xlsm</w:t>
        </w:r>
      </w:hyperlink>
    </w:p>
    <w:p w14:paraId="54FB7D89" w14:textId="77777777" w:rsidR="003C2418" w:rsidRDefault="003C2418" w:rsidP="003C2418">
      <w:pPr>
        <w:pStyle w:val="Textebrut"/>
      </w:pPr>
    </w:p>
    <w:p w14:paraId="01CE8DCA" w14:textId="77777777" w:rsidR="0001452A" w:rsidRPr="0001452A" w:rsidRDefault="0001452A" w:rsidP="0001452A">
      <w:pPr>
        <w:pStyle w:val="Textebrut"/>
        <w:rPr>
          <w:b/>
          <w:bCs/>
        </w:rPr>
      </w:pPr>
      <w:r w:rsidRPr="0001452A">
        <w:rPr>
          <w:b/>
          <w:bCs/>
        </w:rPr>
        <w:t xml:space="preserve">Décision du 3 mars 2026 de l'Union nationale des caisses d'assurance maladie relative à la liste des actes et prestations pris en charge par l'assurance maladie (modification de la NABM concernant la facturation d’actes </w:t>
      </w:r>
      <w:proofErr w:type="spellStart"/>
      <w:r w:rsidRPr="0001452A">
        <w:rPr>
          <w:b/>
          <w:bCs/>
        </w:rPr>
        <w:t>préanalytiques</w:t>
      </w:r>
      <w:proofErr w:type="spellEnd"/>
      <w:r w:rsidRPr="0001452A">
        <w:rPr>
          <w:b/>
          <w:bCs/>
        </w:rPr>
        <w:t>, radiation de la VS)</w:t>
      </w:r>
    </w:p>
    <w:p w14:paraId="6C22318E" w14:textId="0451F138" w:rsidR="0001452A" w:rsidRPr="0001452A" w:rsidRDefault="0001452A" w:rsidP="0001452A">
      <w:pPr>
        <w:pStyle w:val="Textebrut"/>
      </w:pPr>
      <w:hyperlink r:id="rId29" w:history="1">
        <w:r w:rsidRPr="0001452A">
          <w:rPr>
            <w:rStyle w:val="Lienhypertexte"/>
          </w:rPr>
          <w:t>https://www.legifrance.gouv.fr/jorf/id/JORFTEXT000053749152</w:t>
        </w:r>
      </w:hyperlink>
    </w:p>
    <w:p w14:paraId="7C2C50BC" w14:textId="199EF29F" w:rsidR="003C2418" w:rsidRPr="00475175" w:rsidRDefault="003C2418" w:rsidP="003C2418">
      <w:pPr>
        <w:pStyle w:val="Textebrut"/>
      </w:pPr>
    </w:p>
    <w:p w14:paraId="075B2D4F" w14:textId="77777777" w:rsidR="00730A8D" w:rsidRPr="00730A8D" w:rsidRDefault="00730A8D" w:rsidP="00730A8D">
      <w:pPr>
        <w:pStyle w:val="Textebrut"/>
        <w:rPr>
          <w:b/>
          <w:bCs/>
        </w:rPr>
      </w:pPr>
      <w:r w:rsidRPr="00730A8D">
        <w:rPr>
          <w:b/>
          <w:bCs/>
        </w:rPr>
        <w:t>Note d’information n° DGOS/RI2/2026/37 du 7 avril 2026 relative à la diffusion du guide à destination des services des agences régionales de santé (ARS) concernés par la gestion des comités de protection des personnes (CPP).</w:t>
      </w:r>
    </w:p>
    <w:p w14:paraId="4FE5EBDE" w14:textId="77777777" w:rsidR="00730A8D" w:rsidRPr="00730A8D" w:rsidRDefault="00730A8D" w:rsidP="00730A8D">
      <w:pPr>
        <w:pStyle w:val="Textebrut"/>
      </w:pPr>
      <w:r w:rsidRPr="00730A8D">
        <w:t>Résumé : Les articles R. 1123-1 et suivant du code de la santé publique attribuent certaines missions aux ARS relatives à la gestion des comités de protection des personnes. Néanmoins, il est constaté un manque d’harmonisation et de connaissance des ARS dans l’exercice de ces missions.</w:t>
      </w:r>
    </w:p>
    <w:p w14:paraId="42967805" w14:textId="77777777" w:rsidR="00730A8D" w:rsidRDefault="00730A8D" w:rsidP="00730A8D">
      <w:pPr>
        <w:pStyle w:val="Textebrut"/>
      </w:pPr>
      <w:r w:rsidRPr="00730A8D">
        <w:t>Ce document rappelle le fonctionnement des CPP et permet aux services des ARS une meilleure appréhension de leurs missions</w:t>
      </w:r>
    </w:p>
    <w:p w14:paraId="1465C3BA" w14:textId="025E8E68" w:rsidR="00824BCF" w:rsidRDefault="00824BCF" w:rsidP="00730A8D">
      <w:pPr>
        <w:pStyle w:val="Textebrut"/>
      </w:pPr>
      <w:hyperlink r:id="rId30" w:history="1">
        <w:r w:rsidRPr="0057336A">
          <w:rPr>
            <w:rStyle w:val="Lienhypertexte"/>
          </w:rPr>
          <w:t>https://bulletins-officiels.social.gouv.fr/note-dinformation-ndeg-dgosri2202637-du-7-avril-2026-relative-la-diffusion-du-guide-destination-des-services-des-agences-regionales-de-sante-ars-concernes-par-la-gestion-des-comites-de-protection-des-personnes-cpp</w:t>
        </w:r>
      </w:hyperlink>
    </w:p>
    <w:p w14:paraId="6BDB4D1D" w14:textId="77777777" w:rsidR="00730A8D" w:rsidRDefault="00730A8D" w:rsidP="00730A8D">
      <w:pPr>
        <w:pStyle w:val="Textebrut"/>
      </w:pPr>
    </w:p>
    <w:p w14:paraId="1B78C9CD" w14:textId="77777777" w:rsidR="006A4C9D" w:rsidRPr="006A4C9D" w:rsidRDefault="006A4C9D" w:rsidP="006A4C9D">
      <w:pPr>
        <w:pStyle w:val="Textebrut"/>
        <w:rPr>
          <w:b/>
          <w:bCs/>
        </w:rPr>
      </w:pPr>
      <w:r w:rsidRPr="006A4C9D">
        <w:rPr>
          <w:b/>
          <w:bCs/>
        </w:rPr>
        <w:lastRenderedPageBreak/>
        <w:t>LOI n° 2026-247 du 7 avril 2026 relative aux missions des professionnels de santé, vétérinaires, psychothérapeutes et psychologues des services d'incendie et de secours</w:t>
      </w:r>
    </w:p>
    <w:p w14:paraId="03E27B4B" w14:textId="088BD2B5" w:rsidR="006A4C9D" w:rsidRPr="006A4C9D" w:rsidRDefault="006A4C9D" w:rsidP="006A4C9D">
      <w:pPr>
        <w:pStyle w:val="Textebrut"/>
      </w:pPr>
      <w:hyperlink r:id="rId31" w:history="1">
        <w:r w:rsidRPr="006A4C9D">
          <w:rPr>
            <w:rStyle w:val="Lienhypertexte"/>
          </w:rPr>
          <w:t>https://www.legifrance.gouv.fr/jorf/id/JORFTEXT000053773136</w:t>
        </w:r>
      </w:hyperlink>
    </w:p>
    <w:p w14:paraId="0B60EA80" w14:textId="77777777" w:rsidR="00730A8D" w:rsidRDefault="00730A8D" w:rsidP="00730A8D">
      <w:pPr>
        <w:pStyle w:val="Textebrut"/>
      </w:pPr>
    </w:p>
    <w:p w14:paraId="12DA8E5E" w14:textId="77777777" w:rsidR="00BD62BF" w:rsidRPr="00BD62BF" w:rsidRDefault="00BD62BF" w:rsidP="00BD62BF">
      <w:pPr>
        <w:pStyle w:val="Textebrut"/>
        <w:rPr>
          <w:b/>
          <w:bCs/>
        </w:rPr>
      </w:pPr>
      <w:r w:rsidRPr="00BD62BF">
        <w:rPr>
          <w:b/>
          <w:bCs/>
        </w:rPr>
        <w:t>Décision n° 500780 du 27/02/2026 du Conseil d'État, 1ère - 4ème chambres réunies considérant notamment que, pour le transfert d’une officine au sein d’un même quartier, l’approvisionnement des quartiers limitrophes par la pharmacie dans son emplacement d’origine n’a pas à être pris en compte</w:t>
      </w:r>
    </w:p>
    <w:p w14:paraId="65946B03" w14:textId="77777777" w:rsidR="00BD62BF" w:rsidRPr="00BD62BF" w:rsidRDefault="00BD62BF" w:rsidP="00BD62BF">
      <w:pPr>
        <w:pStyle w:val="Textebrut"/>
      </w:pPr>
      <w:hyperlink r:id="rId32" w:history="1">
        <w:r w:rsidRPr="00BD62BF">
          <w:rPr>
            <w:rStyle w:val="Lienhypertexte"/>
          </w:rPr>
          <w:t>https://www.legifrance.gouv.fr/ceta/id/CETATEXT000053635766</w:t>
        </w:r>
      </w:hyperlink>
    </w:p>
    <w:p w14:paraId="00384C08" w14:textId="77777777" w:rsidR="006A4C9D" w:rsidRDefault="006A4C9D" w:rsidP="00730A8D">
      <w:pPr>
        <w:pStyle w:val="Textebrut"/>
      </w:pPr>
    </w:p>
    <w:p w14:paraId="3A707627" w14:textId="77777777" w:rsidR="005F53D3" w:rsidRPr="005F53D3" w:rsidRDefault="005F53D3" w:rsidP="005F53D3">
      <w:pPr>
        <w:pStyle w:val="Textebrut"/>
      </w:pPr>
      <w:r w:rsidRPr="005F53D3">
        <w:t>Arrêté du 10 avril 2026 modifiant l'arrêté du 20 février 2025 fixant la liste des groupes biologiques similaires substituables par le pharmacien d'officine et les conditions de substitution et d'information du prescripteur et du patient telles que prévues au 2° de l'article L. 5125-23-2 du code de la santé publique</w:t>
      </w:r>
    </w:p>
    <w:p w14:paraId="07717962" w14:textId="4D74989E" w:rsidR="005F53D3" w:rsidRPr="005F53D3" w:rsidRDefault="005F53D3" w:rsidP="005F53D3">
      <w:pPr>
        <w:pStyle w:val="Textebrut"/>
      </w:pPr>
      <w:hyperlink r:id="rId33" w:history="1">
        <w:r w:rsidRPr="005F53D3">
          <w:rPr>
            <w:rStyle w:val="Lienhypertexte"/>
          </w:rPr>
          <w:t>https://www.legifrance.gouv.fr/jorf/id/JORFTEXT000053876558</w:t>
        </w:r>
      </w:hyperlink>
    </w:p>
    <w:p w14:paraId="39555D02" w14:textId="77777777" w:rsidR="00BD62BF" w:rsidRDefault="00BD62BF" w:rsidP="00730A8D">
      <w:pPr>
        <w:pStyle w:val="Textebrut"/>
      </w:pPr>
    </w:p>
    <w:p w14:paraId="6B95FB22" w14:textId="77777777" w:rsidR="00C50462" w:rsidRPr="00C50462" w:rsidRDefault="00C50462" w:rsidP="00C50462">
      <w:pPr>
        <w:pStyle w:val="Textebrut"/>
      </w:pPr>
      <w:r w:rsidRPr="00C50462">
        <w:t>Arrêté du 10 avril 2026 modifiant l'arrêté du 12 avril 2022 fixant la liste des classes de médicaments pouvant faire l'objet de groupes inscrits au registre des groupes hybrides</w:t>
      </w:r>
    </w:p>
    <w:p w14:paraId="73D027A2" w14:textId="47BD5C68" w:rsidR="00C50462" w:rsidRPr="00C50462" w:rsidRDefault="00C50462" w:rsidP="00C50462">
      <w:pPr>
        <w:pStyle w:val="Textebrut"/>
      </w:pPr>
      <w:hyperlink r:id="rId34" w:history="1">
        <w:r w:rsidRPr="00C50462">
          <w:rPr>
            <w:rStyle w:val="Lienhypertexte"/>
          </w:rPr>
          <w:t>https://www.legifrance.gouv.fr/jorf/id/JORFTEXT000053876573</w:t>
        </w:r>
      </w:hyperlink>
      <w:r w:rsidRPr="00C50462">
        <w:t xml:space="preserve"> </w:t>
      </w:r>
    </w:p>
    <w:p w14:paraId="64D8B822" w14:textId="77777777" w:rsidR="00C50462" w:rsidRPr="00C50462" w:rsidRDefault="00C50462" w:rsidP="00C50462">
      <w:pPr>
        <w:pStyle w:val="Textebrut"/>
      </w:pPr>
      <w:r w:rsidRPr="00C50462">
        <w:t>Arrêté du 10 avril 2026 modifiant l'arrêté du 31 janvier 2023 précisant, en application de l'article L. 5125-23 du code de la santé publique, les situations médicales dans lesquelles la substitution peut être effectuée par le pharmacien au sein d'un groupe hybride</w:t>
      </w:r>
    </w:p>
    <w:p w14:paraId="32C8FA92" w14:textId="5920A591" w:rsidR="005F53D3" w:rsidRDefault="00C50462" w:rsidP="00C50462">
      <w:pPr>
        <w:pStyle w:val="Textebrut"/>
      </w:pPr>
      <w:hyperlink r:id="rId35" w:history="1">
        <w:r w:rsidRPr="00C50462">
          <w:rPr>
            <w:rStyle w:val="Lienhypertexte"/>
          </w:rPr>
          <w:t>https://www.legifrance.gouv.fr/jorf/id/JORFTEXT000053876584</w:t>
        </w:r>
      </w:hyperlink>
    </w:p>
    <w:p w14:paraId="7371FE93" w14:textId="77777777" w:rsidR="00C50462" w:rsidRDefault="00C50462" w:rsidP="00730A8D">
      <w:pPr>
        <w:pStyle w:val="Textebrut"/>
      </w:pPr>
    </w:p>
    <w:p w14:paraId="2FB86A6C" w14:textId="77777777" w:rsidR="00C50462" w:rsidRPr="00C50462" w:rsidRDefault="00C50462" w:rsidP="00C50462">
      <w:pPr>
        <w:pStyle w:val="Textebrut"/>
        <w:rPr>
          <w:b/>
          <w:bCs/>
        </w:rPr>
      </w:pPr>
      <w:r w:rsidRPr="00C50462">
        <w:rPr>
          <w:b/>
          <w:bCs/>
        </w:rPr>
        <w:t>Arrêté du 13 avril 2026 fixant le prix de vente au public de la préparation magistrale d'</w:t>
      </w:r>
      <w:proofErr w:type="spellStart"/>
      <w:r w:rsidRPr="00C50462">
        <w:rPr>
          <w:b/>
          <w:bCs/>
        </w:rPr>
        <w:t>aprepitant</w:t>
      </w:r>
      <w:proofErr w:type="spellEnd"/>
      <w:r w:rsidRPr="00C50462">
        <w:rPr>
          <w:b/>
          <w:bCs/>
        </w:rPr>
        <w:t xml:space="preserve"> prise en charge par l'assurance maladie jusqu'à la remise à disposition du médicament concerné</w:t>
      </w:r>
    </w:p>
    <w:p w14:paraId="50D76FE0" w14:textId="1E7C55A6" w:rsidR="00C50462" w:rsidRPr="00C50462" w:rsidRDefault="00C50462" w:rsidP="00C50462">
      <w:pPr>
        <w:pStyle w:val="Textebrut"/>
      </w:pPr>
      <w:hyperlink r:id="rId36" w:history="1">
        <w:r w:rsidRPr="00C50462">
          <w:rPr>
            <w:rStyle w:val="Lienhypertexte"/>
          </w:rPr>
          <w:t>https://www.legifrance.gouv.fr/jorf/id/JORFTEXT000053876614</w:t>
        </w:r>
      </w:hyperlink>
      <w:r w:rsidRPr="00C50462">
        <w:t xml:space="preserve"> </w:t>
      </w:r>
    </w:p>
    <w:p w14:paraId="48FD83B4" w14:textId="552835F6" w:rsidR="00A83438" w:rsidRPr="00A83438" w:rsidRDefault="00A83438" w:rsidP="00A83438">
      <w:pPr>
        <w:pStyle w:val="Textebrut"/>
        <w:rPr>
          <w:b/>
          <w:bCs/>
        </w:rPr>
      </w:pPr>
      <w:r w:rsidRPr="00A83438">
        <w:rPr>
          <w:b/>
          <w:bCs/>
        </w:rPr>
        <w:t>Arrêté du 15 avril 2026 modifiant l'arrêté du 13 avril 2026 fixant le prix de vente au public de la préparation magistrale d'</w:t>
      </w:r>
      <w:proofErr w:type="spellStart"/>
      <w:r w:rsidRPr="00A83438">
        <w:rPr>
          <w:b/>
          <w:bCs/>
        </w:rPr>
        <w:t>aprepitant</w:t>
      </w:r>
      <w:proofErr w:type="spellEnd"/>
      <w:r w:rsidRPr="00A83438">
        <w:rPr>
          <w:b/>
          <w:bCs/>
        </w:rPr>
        <w:t xml:space="preserve"> prise en charge par l'assurance maladie jusqu'à la remise à disposition du médicament concerné</w:t>
      </w:r>
      <w:r w:rsidRPr="00A83438">
        <w:t xml:space="preserve"> (baisse de </w:t>
      </w:r>
      <w:r>
        <w:t>0</w:t>
      </w:r>
      <w:r w:rsidRPr="00A83438">
        <w:t>,20€ à 64,45€)</w:t>
      </w:r>
    </w:p>
    <w:p w14:paraId="40B2656F" w14:textId="632F9159" w:rsidR="00A83438" w:rsidRPr="00A83438" w:rsidRDefault="00A83438" w:rsidP="00A83438">
      <w:pPr>
        <w:pStyle w:val="Textebrut"/>
      </w:pPr>
      <w:hyperlink r:id="rId37" w:history="1">
        <w:r w:rsidRPr="00A83438">
          <w:rPr>
            <w:rStyle w:val="Lienhypertexte"/>
          </w:rPr>
          <w:t>https://www.legifrance.gouv.fr/jorf/id/JORFTEXT000053907247</w:t>
        </w:r>
      </w:hyperlink>
    </w:p>
    <w:p w14:paraId="569BE79A" w14:textId="77777777" w:rsidR="00DD21A3" w:rsidRPr="00A83438" w:rsidRDefault="00DD21A3" w:rsidP="003D46C3">
      <w:pPr>
        <w:pStyle w:val="Textebrut"/>
      </w:pPr>
    </w:p>
    <w:p w14:paraId="10A42068" w14:textId="11CBE84F" w:rsidR="003D46C3" w:rsidRPr="003D46C3" w:rsidRDefault="003D46C3" w:rsidP="003D46C3">
      <w:pPr>
        <w:pStyle w:val="Textebrut"/>
        <w:rPr>
          <w:b/>
          <w:bCs/>
        </w:rPr>
      </w:pPr>
      <w:r w:rsidRPr="003D46C3">
        <w:rPr>
          <w:b/>
          <w:bCs/>
        </w:rPr>
        <w:t>Rupture d’approvisionnement d’</w:t>
      </w:r>
      <w:proofErr w:type="spellStart"/>
      <w:r w:rsidRPr="003D46C3">
        <w:rPr>
          <w:b/>
          <w:bCs/>
        </w:rPr>
        <w:t>Emend</w:t>
      </w:r>
      <w:proofErr w:type="spellEnd"/>
      <w:r w:rsidRPr="003D46C3">
        <w:rPr>
          <w:b/>
          <w:bCs/>
        </w:rPr>
        <w:t xml:space="preserve"> 125 mg (</w:t>
      </w:r>
      <w:proofErr w:type="spellStart"/>
      <w:r w:rsidRPr="003D46C3">
        <w:rPr>
          <w:b/>
          <w:bCs/>
        </w:rPr>
        <w:t>aprépitant</w:t>
      </w:r>
      <w:proofErr w:type="spellEnd"/>
      <w:r w:rsidRPr="003D46C3">
        <w:rPr>
          <w:b/>
          <w:bCs/>
        </w:rPr>
        <w:t>) buvable : quelles solutions pour les patients ? (ANSM, 15/04/2026).</w:t>
      </w:r>
    </w:p>
    <w:p w14:paraId="037BE07F" w14:textId="77777777" w:rsidR="003D46C3" w:rsidRPr="003D46C3" w:rsidRDefault="003D46C3" w:rsidP="003D46C3">
      <w:pPr>
        <w:pStyle w:val="Textebrut"/>
      </w:pPr>
      <w:proofErr w:type="spellStart"/>
      <w:r w:rsidRPr="003D46C3">
        <w:t>Emend</w:t>
      </w:r>
      <w:proofErr w:type="spellEnd"/>
      <w:r w:rsidRPr="003D46C3">
        <w:t xml:space="preserve"> 125 mg, poudre pour suspension buvable (MSD), est un médicament antiémétique utilisé en chimiothérapie. Il fait l’objet d’importantes difficultés d’approvisionnement dans un contexte d'arrêt de commercialisation initié par le laboratoire. Afin de permettre la poursuite de la prise en charge des enfants et nourrissons, dans la continuité des mesures déjà mises en place, nous faisons le point sur les alternatives thérapeutiques disponibles et à venir</w:t>
      </w:r>
    </w:p>
    <w:p w14:paraId="426009C8" w14:textId="77777777" w:rsidR="003D46C3" w:rsidRPr="003D46C3" w:rsidRDefault="003D46C3" w:rsidP="003D46C3">
      <w:pPr>
        <w:pStyle w:val="Textebrut"/>
      </w:pPr>
      <w:hyperlink r:id="rId38" w:history="1">
        <w:r w:rsidRPr="003D46C3">
          <w:rPr>
            <w:rStyle w:val="Lienhypertexte"/>
          </w:rPr>
          <w:t>https://ansm.sante.fr/actualites/rupture-dapprovisionnement-demend-125-mg-aprepitant-buvable-quelles-solutions-pour-les-patients</w:t>
        </w:r>
      </w:hyperlink>
    </w:p>
    <w:p w14:paraId="7964067C" w14:textId="1CD93410" w:rsidR="003D46C3" w:rsidRDefault="003D46C3" w:rsidP="003D46C3">
      <w:pPr>
        <w:pStyle w:val="Textebrut"/>
        <w:numPr>
          <w:ilvl w:val="0"/>
          <w:numId w:val="24"/>
        </w:numPr>
      </w:pPr>
      <w:r>
        <w:t xml:space="preserve">La </w:t>
      </w:r>
      <w:r w:rsidRPr="003D46C3">
        <w:t>recommandation de remplacement</w:t>
      </w:r>
    </w:p>
    <w:p w14:paraId="7C8DE229" w14:textId="01F4DDF3" w:rsidR="003D46C3" w:rsidRDefault="003D46C3" w:rsidP="003D46C3">
      <w:pPr>
        <w:pStyle w:val="Textebrut"/>
        <w:ind w:left="720"/>
      </w:pPr>
      <w:hyperlink r:id="rId39" w:history="1">
        <w:r w:rsidRPr="00C849CC">
          <w:rPr>
            <w:rStyle w:val="Lienhypertexte"/>
          </w:rPr>
          <w:t>https://ansm.sante.fr/uploads/2026/04/15/20260415-emend-reco-remplacement.pdf</w:t>
        </w:r>
      </w:hyperlink>
    </w:p>
    <w:p w14:paraId="4BD2F698" w14:textId="6777F270" w:rsidR="003D46C3" w:rsidRDefault="003D46C3" w:rsidP="003D46C3">
      <w:pPr>
        <w:pStyle w:val="Textebrut"/>
        <w:numPr>
          <w:ilvl w:val="0"/>
          <w:numId w:val="24"/>
        </w:numPr>
      </w:pPr>
      <w:r>
        <w:t xml:space="preserve">La </w:t>
      </w:r>
      <w:r w:rsidRPr="003D46C3">
        <w:t>monographie de préparation magistrale d’</w:t>
      </w:r>
      <w:proofErr w:type="spellStart"/>
      <w:r w:rsidRPr="003D46C3">
        <w:t>aprépitant</w:t>
      </w:r>
      <w:proofErr w:type="spellEnd"/>
      <w:r w:rsidRPr="003D46C3">
        <w:t xml:space="preserve"> 20 mg/</w:t>
      </w:r>
      <w:proofErr w:type="spellStart"/>
      <w:r w:rsidRPr="003D46C3">
        <w:t>mL</w:t>
      </w:r>
      <w:proofErr w:type="spellEnd"/>
      <w:r w:rsidRPr="003D46C3">
        <w:t>, suspension buvable en pharmacie de ville à partir des gélules d’</w:t>
      </w:r>
      <w:proofErr w:type="spellStart"/>
      <w:r w:rsidRPr="003D46C3">
        <w:t>aprépitant</w:t>
      </w:r>
      <w:proofErr w:type="spellEnd"/>
      <w:r w:rsidRPr="003D46C3">
        <w:t xml:space="preserve"> 80 mg</w:t>
      </w:r>
    </w:p>
    <w:p w14:paraId="3565D618" w14:textId="6FB528A7" w:rsidR="003D46C3" w:rsidRDefault="003D46C3" w:rsidP="003D46C3">
      <w:pPr>
        <w:pStyle w:val="Textebrut"/>
        <w:ind w:left="720"/>
      </w:pPr>
      <w:hyperlink r:id="rId40" w:history="1">
        <w:r w:rsidRPr="00C849CC">
          <w:rPr>
            <w:rStyle w:val="Lienhypertexte"/>
          </w:rPr>
          <w:t>https://ansm.sante.fr/uploads/2026/04/15/20260415-monographie-apre-pitant-formule-orablend-80-mg.pdf</w:t>
        </w:r>
      </w:hyperlink>
    </w:p>
    <w:p w14:paraId="335B3669" w14:textId="1EA80228" w:rsidR="003D46C3" w:rsidRDefault="003D46C3" w:rsidP="003D46C3">
      <w:pPr>
        <w:pStyle w:val="Textebrut"/>
        <w:numPr>
          <w:ilvl w:val="0"/>
          <w:numId w:val="24"/>
        </w:numPr>
      </w:pPr>
      <w:r>
        <w:t xml:space="preserve">La </w:t>
      </w:r>
      <w:r w:rsidRPr="003D46C3">
        <w:t>note d’information technique relative aux préparations magistrales d’</w:t>
      </w:r>
      <w:proofErr w:type="spellStart"/>
      <w:r w:rsidRPr="003D46C3">
        <w:t>aprépitant</w:t>
      </w:r>
      <w:proofErr w:type="spellEnd"/>
      <w:r w:rsidRPr="003D46C3">
        <w:t xml:space="preserve"> 20 mg/</w:t>
      </w:r>
      <w:proofErr w:type="spellStart"/>
      <w:r w:rsidRPr="003D46C3">
        <w:t>mL</w:t>
      </w:r>
      <w:proofErr w:type="spellEnd"/>
      <w:r w:rsidRPr="003D46C3">
        <w:t>, suspension buvable en pharmacie de ville à partir des gélules d’</w:t>
      </w:r>
      <w:proofErr w:type="spellStart"/>
      <w:r w:rsidRPr="003D46C3">
        <w:t>aprépitant</w:t>
      </w:r>
      <w:proofErr w:type="spellEnd"/>
      <w:r w:rsidRPr="003D46C3">
        <w:t xml:space="preserve"> 80 mg</w:t>
      </w:r>
    </w:p>
    <w:p w14:paraId="516AD19A" w14:textId="5DDD5FE3" w:rsidR="003D46C3" w:rsidRDefault="003D46C3" w:rsidP="003D46C3">
      <w:pPr>
        <w:pStyle w:val="Textebrut"/>
        <w:ind w:left="720"/>
      </w:pPr>
      <w:hyperlink r:id="rId41" w:history="1">
        <w:r w:rsidRPr="00C849CC">
          <w:rPr>
            <w:rStyle w:val="Lienhypertexte"/>
          </w:rPr>
          <w:t>https://ansm.sante.fr/uploads/2026/04/15/20260415-aprepitant-note-information-80-mg.pdf</w:t>
        </w:r>
      </w:hyperlink>
    </w:p>
    <w:p w14:paraId="5EE3FFED" w14:textId="388858E8" w:rsidR="00DD21A3" w:rsidRDefault="00DD21A3" w:rsidP="00DD21A3">
      <w:pPr>
        <w:pStyle w:val="Textebrut"/>
        <w:numPr>
          <w:ilvl w:val="0"/>
          <w:numId w:val="24"/>
        </w:numPr>
      </w:pPr>
      <w:r>
        <w:t>La f</w:t>
      </w:r>
      <w:r w:rsidRPr="00DD21A3">
        <w:t>iche d'utilisation à destination des parents et aidants des patients</w:t>
      </w:r>
    </w:p>
    <w:p w14:paraId="677A8A91" w14:textId="03066DB7" w:rsidR="00DD21A3" w:rsidRDefault="00DD21A3" w:rsidP="00DD21A3">
      <w:pPr>
        <w:pStyle w:val="Textebrut"/>
        <w:ind w:left="720"/>
      </w:pPr>
      <w:hyperlink r:id="rId42" w:history="1">
        <w:r w:rsidRPr="00C849CC">
          <w:rPr>
            <w:rStyle w:val="Lienhypertexte"/>
          </w:rPr>
          <w:t>https://ansm.sante.fr/uploads/2026/04/15/20260415-aprepitant-suspension-buvable-20mgml-fiche-utilisation-2.pdf</w:t>
        </w:r>
      </w:hyperlink>
    </w:p>
    <w:p w14:paraId="2D94DFBD" w14:textId="77777777" w:rsidR="00DD21A3" w:rsidRPr="00DD21A3" w:rsidRDefault="00DD21A3" w:rsidP="00DD21A3">
      <w:pPr>
        <w:pStyle w:val="Textebrut"/>
        <w:rPr>
          <w:b/>
          <w:bCs/>
        </w:rPr>
      </w:pPr>
      <w:r w:rsidRPr="00DD21A3">
        <w:rPr>
          <w:b/>
          <w:bCs/>
        </w:rPr>
        <w:lastRenderedPageBreak/>
        <w:t>Le pharmacien temporairement autorisé à délivrer des préparations magistrales d’</w:t>
      </w:r>
      <w:proofErr w:type="spellStart"/>
      <w:r w:rsidRPr="00DD21A3">
        <w:rPr>
          <w:b/>
          <w:bCs/>
        </w:rPr>
        <w:t>aprépitant</w:t>
      </w:r>
      <w:proofErr w:type="spellEnd"/>
      <w:r w:rsidRPr="00DD21A3">
        <w:rPr>
          <w:b/>
          <w:bCs/>
        </w:rPr>
        <w:t xml:space="preserve"> (Le Quotidien du pharmacien, 15/04/2026).</w:t>
      </w:r>
    </w:p>
    <w:p w14:paraId="435828AE" w14:textId="77777777" w:rsidR="00DD21A3" w:rsidRPr="00DD21A3" w:rsidRDefault="00DD21A3" w:rsidP="00DD21A3">
      <w:pPr>
        <w:pStyle w:val="Textebrut"/>
      </w:pPr>
      <w:proofErr w:type="gramStart"/>
      <w:r w:rsidRPr="00DD21A3">
        <w:t>Suite à</w:t>
      </w:r>
      <w:proofErr w:type="gramEnd"/>
      <w:r w:rsidRPr="00DD21A3">
        <w:t xml:space="preserve"> la publication d’une recommandation par l’Agence nationale de sécurité du médicament et des produits de santé (ANSM), les pharmaciens sont officiellement autorisés à délivrer des préparations magistrales d’</w:t>
      </w:r>
      <w:proofErr w:type="spellStart"/>
      <w:r w:rsidRPr="00DD21A3">
        <w:t>aprépitant</w:t>
      </w:r>
      <w:proofErr w:type="spellEnd"/>
      <w:r w:rsidRPr="00DD21A3">
        <w:t xml:space="preserve"> 320 mg/16 ml (soit 20 mg/ml) en solution buvable</w:t>
      </w:r>
    </w:p>
    <w:p w14:paraId="281D7EF1" w14:textId="77777777" w:rsidR="00DD21A3" w:rsidRPr="00DD21A3" w:rsidRDefault="00DD21A3" w:rsidP="00DD21A3">
      <w:pPr>
        <w:pStyle w:val="Textebrut"/>
      </w:pPr>
      <w:hyperlink r:id="rId43" w:history="1">
        <w:r w:rsidRPr="00DD21A3">
          <w:rPr>
            <w:rStyle w:val="Lienhypertexte"/>
          </w:rPr>
          <w:t>https://www.lequotidiendupharmacien.fr/exercice-pro/le-pharmacien-temporairement-autorise-delivrer-des-preparations-magistrales-daprepitant</w:t>
        </w:r>
      </w:hyperlink>
    </w:p>
    <w:p w14:paraId="223B3EF2" w14:textId="77777777" w:rsidR="003D46C3" w:rsidRDefault="003D46C3" w:rsidP="003D46C3">
      <w:pPr>
        <w:pStyle w:val="Textebrut"/>
      </w:pPr>
    </w:p>
    <w:p w14:paraId="043E45A5" w14:textId="77777777" w:rsidR="00A83438" w:rsidRDefault="00A83438" w:rsidP="00A83438">
      <w:pPr>
        <w:pStyle w:val="Textebrut"/>
        <w:rPr>
          <w:b/>
          <w:bCs/>
        </w:rPr>
      </w:pPr>
      <w:r w:rsidRPr="00A83438">
        <w:rPr>
          <w:b/>
          <w:bCs/>
        </w:rPr>
        <w:t xml:space="preserve">Arrêté du 16 avril 2026 portant renouvellement de la suspension d'importation, d'introduction et de mise sur le marché à titre gratuit ou onéreux en France de compléments alimentaires contenant la plante Garcinia </w:t>
      </w:r>
      <w:proofErr w:type="spellStart"/>
      <w:r w:rsidRPr="00A83438">
        <w:rPr>
          <w:b/>
          <w:bCs/>
        </w:rPr>
        <w:t>cambogia</w:t>
      </w:r>
      <w:proofErr w:type="spellEnd"/>
      <w:r w:rsidRPr="00A83438">
        <w:rPr>
          <w:b/>
          <w:bCs/>
        </w:rPr>
        <w:t xml:space="preserve"> </w:t>
      </w:r>
      <w:proofErr w:type="spellStart"/>
      <w:r w:rsidRPr="00A83438">
        <w:rPr>
          <w:b/>
          <w:bCs/>
        </w:rPr>
        <w:t>Desr</w:t>
      </w:r>
      <w:proofErr w:type="spellEnd"/>
      <w:r w:rsidRPr="00A83438">
        <w:rPr>
          <w:b/>
          <w:bCs/>
        </w:rPr>
        <w:t xml:space="preserve">. </w:t>
      </w:r>
      <w:proofErr w:type="gramStart"/>
      <w:r w:rsidRPr="00A83438">
        <w:rPr>
          <w:b/>
          <w:bCs/>
        </w:rPr>
        <w:t>et</w:t>
      </w:r>
      <w:proofErr w:type="gramEnd"/>
      <w:r w:rsidRPr="00A83438">
        <w:rPr>
          <w:b/>
          <w:bCs/>
        </w:rPr>
        <w:t xml:space="preserve"> toutes préparations issues de parties de cette plante</w:t>
      </w:r>
    </w:p>
    <w:p w14:paraId="06391A59" w14:textId="2B22A729" w:rsidR="00A83438" w:rsidRPr="00A83438" w:rsidRDefault="00A83438" w:rsidP="00A83438">
      <w:pPr>
        <w:pStyle w:val="Textebrut"/>
      </w:pPr>
      <w:r w:rsidRPr="00A83438">
        <w:t xml:space="preserve">Objet : renouvellement de l'interdiction, pour une durée d'un an, de l'importation, l'introduction et la mise sur le marché à titre gratuit ou onéreux de compléments alimentaires contenant la plante Garcinia </w:t>
      </w:r>
      <w:proofErr w:type="spellStart"/>
      <w:r w:rsidRPr="00A83438">
        <w:t>cambogia</w:t>
      </w:r>
      <w:proofErr w:type="spellEnd"/>
      <w:r w:rsidRPr="00A83438">
        <w:t xml:space="preserve"> </w:t>
      </w:r>
      <w:proofErr w:type="spellStart"/>
      <w:r w:rsidRPr="00A83438">
        <w:t>Desr</w:t>
      </w:r>
      <w:proofErr w:type="spellEnd"/>
      <w:r w:rsidRPr="00A83438">
        <w:t xml:space="preserve">. </w:t>
      </w:r>
      <w:proofErr w:type="gramStart"/>
      <w:r w:rsidRPr="00A83438">
        <w:t>et</w:t>
      </w:r>
      <w:proofErr w:type="gramEnd"/>
      <w:r w:rsidRPr="00A83438">
        <w:t xml:space="preserve"> toutes préparations issues de parties de cette plante.</w:t>
      </w:r>
      <w:r w:rsidRPr="00A83438">
        <w:br/>
        <w:t xml:space="preserve">En application de l'article 54 du règlement (CE) n° 178/2002 du Parlement européen et du Conseil du 28 janvier 2002, le présent arrêté vise à interdire à titre conservatoire, sur l'ensemble du territoire national, la mise sur le marché à titre gratuit ou onéreux de compléments alimentaires à base de Garcinia </w:t>
      </w:r>
      <w:proofErr w:type="spellStart"/>
      <w:r w:rsidRPr="00A83438">
        <w:t>cambogia</w:t>
      </w:r>
      <w:proofErr w:type="spellEnd"/>
    </w:p>
    <w:p w14:paraId="6E124BE4" w14:textId="4E119DEC" w:rsidR="00DD21A3" w:rsidRPr="003D46C3" w:rsidRDefault="00A83438" w:rsidP="00A83438">
      <w:pPr>
        <w:pStyle w:val="Textebrut"/>
      </w:pPr>
      <w:hyperlink r:id="rId44" w:history="1">
        <w:r w:rsidRPr="00A83438">
          <w:rPr>
            <w:rStyle w:val="Lienhypertexte"/>
          </w:rPr>
          <w:t>https://www.legifrance.gouv.fr/jorf/id/JORFTEXT000053907152</w:t>
        </w:r>
      </w:hyperlink>
    </w:p>
    <w:p w14:paraId="4B960289" w14:textId="77777777" w:rsidR="00C50462" w:rsidRDefault="00C50462" w:rsidP="00730A8D">
      <w:pPr>
        <w:pStyle w:val="Textebrut"/>
      </w:pPr>
    </w:p>
    <w:p w14:paraId="0120561D" w14:textId="77777777" w:rsidR="00B93E2E" w:rsidRPr="00B93E2E" w:rsidRDefault="00B93E2E" w:rsidP="00B93E2E">
      <w:pPr>
        <w:pStyle w:val="Textebrut"/>
      </w:pPr>
      <w:r w:rsidRPr="00B93E2E">
        <w:rPr>
          <w:b/>
          <w:bCs/>
        </w:rPr>
        <w:t>Arrêté du 16 avril 2026 modifiant l'arrêté du 29 octobre 2009 relatif aux médicaments à usage humain classés dans l'une des catégories de prescription restreinte pour l'application de l'article R. 5141-122 du code de la santé publique</w:t>
      </w:r>
      <w:r w:rsidRPr="00B93E2E">
        <w:t xml:space="preserve"> (actualisation de la liste des médicaments à prescription restreinte qui peuvent être cédées à des vétérinaires)</w:t>
      </w:r>
    </w:p>
    <w:p w14:paraId="50944D9B" w14:textId="483F04B4" w:rsidR="00B93E2E" w:rsidRPr="00B93E2E" w:rsidRDefault="001F17E9" w:rsidP="00B93E2E">
      <w:pPr>
        <w:pStyle w:val="Textebrut"/>
      </w:pPr>
      <w:hyperlink r:id="rId45" w:history="1">
        <w:r w:rsidRPr="00CB3104">
          <w:rPr>
            <w:rStyle w:val="Lienhypertexte"/>
          </w:rPr>
          <w:t>https://www.legifrance.gouv.fr/jorf/id/JORFTEXT000053910150</w:t>
        </w:r>
      </w:hyperlink>
    </w:p>
    <w:p w14:paraId="3AA9C877" w14:textId="77777777" w:rsidR="00C50462" w:rsidRDefault="00C50462" w:rsidP="00730A8D">
      <w:pPr>
        <w:pStyle w:val="Textebrut"/>
      </w:pPr>
    </w:p>
    <w:p w14:paraId="76CB2808" w14:textId="77777777" w:rsidR="001F17E9" w:rsidRPr="001F17E9" w:rsidRDefault="001F17E9" w:rsidP="001F17E9">
      <w:pPr>
        <w:pStyle w:val="Textebrut"/>
        <w:rPr>
          <w:b/>
          <w:bCs/>
        </w:rPr>
      </w:pPr>
      <w:r w:rsidRPr="001F17E9">
        <w:rPr>
          <w:b/>
          <w:bCs/>
        </w:rPr>
        <w:t>Décret n° 2026-298 du 17 avril 2026 relatif aux dispositifs médicaux de diagnostic in vitro.</w:t>
      </w:r>
    </w:p>
    <w:p w14:paraId="6ACBABD2" w14:textId="77777777" w:rsidR="001F17E9" w:rsidRPr="001F17E9" w:rsidRDefault="001F17E9" w:rsidP="001F17E9">
      <w:pPr>
        <w:pStyle w:val="Textebrut"/>
      </w:pPr>
      <w:r w:rsidRPr="001F17E9">
        <w:t>Publics concernés : usagers du système de santé, professionnels de santé, opérateurs économiques dans le secteur des dispositifs médicaux de diagnostic in vitro, Agence nationale de sécurité du médicament et des produits de santé, agences régionales de santé.</w:t>
      </w:r>
    </w:p>
    <w:p w14:paraId="228B8D4E" w14:textId="77777777" w:rsidR="001F17E9" w:rsidRPr="001F17E9" w:rsidRDefault="001F17E9" w:rsidP="001F17E9">
      <w:pPr>
        <w:pStyle w:val="Textebrut"/>
      </w:pPr>
      <w:r w:rsidRPr="001F17E9">
        <w:t>Objet : le décret adapte la partie réglementaire du code de la santé publique en prenant en compte les dispositions de l'ordonnance n° 2022-1086 du 29 juillet 2022 portant adaptation du droit français au règlement (UE) 2017/746 du Parlement européen et du Conseil du 5 avril 2017 relatif aux dispositifs médicaux de diagnostic in vitro. Il fixe le régime juridique, les conditions de déclarations et les conditions dans lesquelles la réactovigilance et la traçabilité des dispositifs médicaux de diagnostic in vitro s'exercent. Par ailleurs, il précise les sanctions en cas de manquement aux dispositions relatives aux dispositifs médicaux de diagnostic in vitro</w:t>
      </w:r>
    </w:p>
    <w:p w14:paraId="5EB8A01B" w14:textId="34A45551" w:rsidR="001F17E9" w:rsidRPr="001F17E9" w:rsidRDefault="001F17E9" w:rsidP="001F17E9">
      <w:pPr>
        <w:pStyle w:val="Textebrut"/>
      </w:pPr>
      <w:hyperlink r:id="rId46" w:history="1">
        <w:r w:rsidRPr="001F17E9">
          <w:rPr>
            <w:rStyle w:val="Lienhypertexte"/>
          </w:rPr>
          <w:t>https://www.legifrance.gouv.fr/jorf/id/JORFTEXT000053916182</w:t>
        </w:r>
      </w:hyperlink>
      <w:r w:rsidRPr="001F17E9">
        <w:t xml:space="preserve"> </w:t>
      </w:r>
    </w:p>
    <w:p w14:paraId="6BE3238B" w14:textId="77777777" w:rsidR="001F17E9" w:rsidRPr="001F17E9" w:rsidRDefault="001F17E9" w:rsidP="001F17E9">
      <w:pPr>
        <w:pStyle w:val="Textebrut"/>
      </w:pPr>
    </w:p>
    <w:p w14:paraId="03D76F61" w14:textId="77777777" w:rsidR="001F17E9" w:rsidRPr="001F17E9" w:rsidRDefault="001F17E9" w:rsidP="001F17E9">
      <w:pPr>
        <w:pStyle w:val="Textebrut"/>
        <w:rPr>
          <w:b/>
          <w:bCs/>
        </w:rPr>
      </w:pPr>
      <w:bookmarkStart w:id="0" w:name="_Hlk227741145"/>
      <w:r w:rsidRPr="001F17E9">
        <w:rPr>
          <w:b/>
          <w:bCs/>
        </w:rPr>
        <w:t>Décret n° 2026-299 du 17 avril 2026 relatif aux dispositifs médicaux.</w:t>
      </w:r>
    </w:p>
    <w:p w14:paraId="7AD894A8" w14:textId="77777777" w:rsidR="001F17E9" w:rsidRPr="001F17E9" w:rsidRDefault="001F17E9" w:rsidP="001F17E9">
      <w:pPr>
        <w:pStyle w:val="Textebrut"/>
      </w:pPr>
      <w:r w:rsidRPr="001F17E9">
        <w:t>Publics concernés : usagers du système de santé, professionnels de santé, opérateurs économiques dans le secteur des dispositifs médicaux, Agence nationale de sécurité du médicament et des produits de santé, agences régionales de santé.</w:t>
      </w:r>
    </w:p>
    <w:p w14:paraId="61CBE89D" w14:textId="5DD2888C" w:rsidR="001F17E9" w:rsidRPr="001F17E9" w:rsidRDefault="001F17E9" w:rsidP="001F17E9">
      <w:pPr>
        <w:pStyle w:val="Textebrut"/>
      </w:pPr>
      <w:r w:rsidRPr="001F17E9">
        <w:t>Objet : le décret adapte la partie réglementaire du code de la santé publique en prenant en compte les dispositions de l'ordonnance n° 2022-582 du 20 avril 2022 portant adaptation du droit français au règlement (UE) 2017/745 du Parlement européen et du Conseil du 5 avril 2017 relatif aux dispositifs médicaux. Il fixe le régime juridique, les conditions de déclarations et les conditions dans lesquelles la matériovigilance et la traçabilité des dispositifs médicaux s'exercent. Par ailleurs, il précise les sanctions en cas de manquement aux dispositions relatives aux dispositifs médicaux</w:t>
      </w:r>
      <w:r w:rsidR="001E5999">
        <w:t xml:space="preserve">. </w:t>
      </w:r>
      <w:proofErr w:type="spellStart"/>
      <w:r w:rsidR="001E5999">
        <w:t>NdlR</w:t>
      </w:r>
      <w:proofErr w:type="spellEnd"/>
      <w:r w:rsidR="001E5999">
        <w:t> : ce décret concerne également la prescription des DM avec 2 articles du CSP consacrés à l’acide hyaluronique (R5211-11 &amp; R5211-12)</w:t>
      </w:r>
    </w:p>
    <w:p w14:paraId="66A7CB57" w14:textId="1F69DBCB" w:rsidR="001F17E9" w:rsidRPr="001F17E9" w:rsidRDefault="001F17E9" w:rsidP="001F17E9">
      <w:pPr>
        <w:pStyle w:val="Textebrut"/>
      </w:pPr>
      <w:hyperlink r:id="rId47" w:history="1">
        <w:r w:rsidRPr="001F17E9">
          <w:rPr>
            <w:rStyle w:val="Lienhypertexte"/>
          </w:rPr>
          <w:t>https://www.legifrance.gouv.fr/jorf/id/JORFTEXT000053916215</w:t>
        </w:r>
      </w:hyperlink>
    </w:p>
    <w:bookmarkEnd w:id="0"/>
    <w:p w14:paraId="1E97C987" w14:textId="77777777" w:rsidR="00EA2546" w:rsidRPr="00EA2546" w:rsidRDefault="00EA2546" w:rsidP="00EA2546">
      <w:pPr>
        <w:pStyle w:val="Textebrut"/>
      </w:pPr>
      <w:r w:rsidRPr="00EA2546">
        <w:rPr>
          <w:b/>
          <w:bCs/>
        </w:rPr>
        <w:t>Dispositifs médicaux : ce que les deux nouveaux décrets changent concrètement pour l’officine (Le Moniteur des pharmacies, 21/04/2026).</w:t>
      </w:r>
      <w:r w:rsidRPr="00EA2546">
        <w:t xml:space="preserve"> Article réservé aux abonnés (ou F9).</w:t>
      </w:r>
    </w:p>
    <w:p w14:paraId="401AF611" w14:textId="77777777" w:rsidR="00EA2546" w:rsidRPr="00EA2546" w:rsidRDefault="00EA2546" w:rsidP="00EA2546">
      <w:pPr>
        <w:pStyle w:val="Textebrut"/>
      </w:pPr>
      <w:r w:rsidRPr="00EA2546">
        <w:lastRenderedPageBreak/>
        <w:t>Deux textes publiés au Journal officiel le 21 avril 2026 redéfinissent en profondeur le cadre des dispositifs médicaux. Derrière une architecture juridique dense, plusieurs dispositions ciblent directement l’exercice officinal : délivrance exceptionnelle, traçabilité renforcée, obligations de vigilance. Décryptage des impacts opérationnels pour les pharmaciens</w:t>
      </w:r>
    </w:p>
    <w:p w14:paraId="655EC297" w14:textId="77777777" w:rsidR="00EA2546" w:rsidRPr="00EA2546" w:rsidRDefault="00EA2546" w:rsidP="00EA2546">
      <w:pPr>
        <w:pStyle w:val="Textebrut"/>
      </w:pPr>
      <w:hyperlink r:id="rId48" w:history="1">
        <w:r w:rsidRPr="00EA2546">
          <w:rPr>
            <w:rStyle w:val="Lienhypertexte"/>
          </w:rPr>
          <w:t>https://www.lemoniteurdespharmacies.fr/profession/socio-professionnel/dispositifs-medicaux-ce-que-les-deux-nouveaux-decrets-changent-concretement-pour-lofficine</w:t>
        </w:r>
      </w:hyperlink>
    </w:p>
    <w:p w14:paraId="4E30AF8E" w14:textId="77777777" w:rsidR="001F17E9" w:rsidRDefault="001F17E9" w:rsidP="001F17E9">
      <w:pPr>
        <w:pStyle w:val="Textebrut"/>
      </w:pPr>
    </w:p>
    <w:p w14:paraId="2562F649" w14:textId="77777777" w:rsidR="001E5999" w:rsidRPr="001E5999" w:rsidRDefault="001E5999" w:rsidP="001E5999">
      <w:pPr>
        <w:pStyle w:val="Textebrut"/>
        <w:rPr>
          <w:b/>
          <w:bCs/>
        </w:rPr>
      </w:pPr>
      <w:r w:rsidRPr="001E5999">
        <w:rPr>
          <w:b/>
          <w:bCs/>
        </w:rPr>
        <w:t>Arrêté du 20 avril 2026 modifiant l'arrêté du 22 août 2011 relatif à la notification obligatoire des maladies infectieuses et autres maladies mentionnées à l'article D. 3113-7 du code de la santé publique</w:t>
      </w:r>
    </w:p>
    <w:p w14:paraId="396B8642" w14:textId="2C6A90FF" w:rsidR="001E5999" w:rsidRDefault="001E5999" w:rsidP="001E5999">
      <w:pPr>
        <w:pStyle w:val="Textebrut"/>
      </w:pPr>
      <w:hyperlink r:id="rId49" w:history="1">
        <w:r w:rsidRPr="001E5999">
          <w:rPr>
            <w:rStyle w:val="Lienhypertexte"/>
          </w:rPr>
          <w:t>https://www.legifrance.gouv.fr/jorf/id/JORFTEXT000053916276</w:t>
        </w:r>
      </w:hyperlink>
    </w:p>
    <w:p w14:paraId="5E969A63" w14:textId="77777777" w:rsidR="001E5999" w:rsidRPr="001E5999" w:rsidRDefault="001E5999" w:rsidP="001E5999">
      <w:pPr>
        <w:pStyle w:val="Textebrut"/>
        <w:rPr>
          <w:b/>
          <w:bCs/>
        </w:rPr>
      </w:pPr>
      <w:r w:rsidRPr="001E5999">
        <w:rPr>
          <w:b/>
          <w:bCs/>
        </w:rPr>
        <w:t>MINSANTE n°2026-06 du 20/04/2026 : Dématérialisation des maladies à signalement obligatoire</w:t>
      </w:r>
    </w:p>
    <w:p w14:paraId="52ADBECD" w14:textId="77777777" w:rsidR="001E5999" w:rsidRDefault="001E5999" w:rsidP="001E5999">
      <w:pPr>
        <w:pStyle w:val="Textebrut"/>
      </w:pPr>
      <w:hyperlink r:id="rId50" w:history="1">
        <w:r w:rsidRPr="007107CC">
          <w:rPr>
            <w:rStyle w:val="Lienhypertexte"/>
          </w:rPr>
          <w:t>https://peps.sante.gouv.fr/actu/2026/26_minsante_2026-06.pdf</w:t>
        </w:r>
      </w:hyperlink>
    </w:p>
    <w:p w14:paraId="6E7D9B75" w14:textId="77777777" w:rsidR="001E5999" w:rsidRDefault="001E5999" w:rsidP="001E5999">
      <w:pPr>
        <w:pStyle w:val="Textebrut"/>
      </w:pPr>
      <w:proofErr w:type="gramStart"/>
      <w:r>
        <w:t>et</w:t>
      </w:r>
      <w:proofErr w:type="gramEnd"/>
      <w:r>
        <w:t xml:space="preserve"> ses annexes :</w:t>
      </w:r>
    </w:p>
    <w:p w14:paraId="63C1C14D" w14:textId="77777777" w:rsidR="001E5999" w:rsidRDefault="001E5999" w:rsidP="001E5999">
      <w:pPr>
        <w:pStyle w:val="Textebrut"/>
        <w:numPr>
          <w:ilvl w:val="0"/>
          <w:numId w:val="24"/>
        </w:numPr>
      </w:pPr>
      <w:r w:rsidRPr="008A3CB8">
        <w:t>Courrier du 17/04/2026 de la DGS et de SPF au président de la SPILF concernant la dématérialisation des maladies à signalement obligatoire (MSO)</w:t>
      </w:r>
    </w:p>
    <w:p w14:paraId="1B219319" w14:textId="77777777" w:rsidR="001E5999" w:rsidRDefault="001E5999" w:rsidP="001E5999">
      <w:pPr>
        <w:pStyle w:val="Textebrut"/>
        <w:ind w:left="720"/>
      </w:pPr>
      <w:hyperlink r:id="rId51" w:history="1">
        <w:r w:rsidRPr="007107CC">
          <w:rPr>
            <w:rStyle w:val="Lienhypertexte"/>
          </w:rPr>
          <w:t>https://peps.sante.gouv.fr/actu/2026/26_minsante_2026-06_annexe1.pdf</w:t>
        </w:r>
      </w:hyperlink>
    </w:p>
    <w:p w14:paraId="7214DDAD" w14:textId="77777777" w:rsidR="001E5999" w:rsidRDefault="001E5999" w:rsidP="001E5999">
      <w:pPr>
        <w:pStyle w:val="Textebrut"/>
        <w:numPr>
          <w:ilvl w:val="0"/>
          <w:numId w:val="24"/>
        </w:numPr>
      </w:pPr>
      <w:r w:rsidRPr="008A3CB8">
        <w:t>Fiche d'information sur la dématérialisation des MSO pilotes v0.1.1</w:t>
      </w:r>
    </w:p>
    <w:p w14:paraId="25892D83" w14:textId="77777777" w:rsidR="001E5999" w:rsidRDefault="001E5999" w:rsidP="001E5999">
      <w:pPr>
        <w:pStyle w:val="Textebrut"/>
        <w:ind w:left="720"/>
      </w:pPr>
      <w:hyperlink r:id="rId52" w:history="1">
        <w:r w:rsidRPr="007107CC">
          <w:rPr>
            <w:rStyle w:val="Lienhypertexte"/>
          </w:rPr>
          <w:t>https://peps.sante.gouv.fr/actu/2026/26_minsante_2026-06_annexe2.pdf</w:t>
        </w:r>
      </w:hyperlink>
    </w:p>
    <w:p w14:paraId="1AA3B137" w14:textId="77777777" w:rsidR="001E5999" w:rsidRDefault="001E5999" w:rsidP="001E5999">
      <w:pPr>
        <w:pStyle w:val="Textebrut"/>
        <w:numPr>
          <w:ilvl w:val="0"/>
          <w:numId w:val="24"/>
        </w:numPr>
      </w:pPr>
      <w:r w:rsidRPr="008A3CB8">
        <w:t>Guide Déclarant – Maladies à Signalement Obligatoire (MSO)</w:t>
      </w:r>
    </w:p>
    <w:p w14:paraId="14D24E6B" w14:textId="77777777" w:rsidR="001E5999" w:rsidRDefault="001E5999" w:rsidP="001E5999">
      <w:pPr>
        <w:pStyle w:val="Textebrut"/>
        <w:ind w:left="720"/>
      </w:pPr>
      <w:hyperlink r:id="rId53" w:history="1">
        <w:r w:rsidRPr="007107CC">
          <w:rPr>
            <w:rStyle w:val="Lienhypertexte"/>
          </w:rPr>
          <w:t>https://peps.sante.gouv.fr/actu/2026/26_minsante_2026-06_annexe3.pdf</w:t>
        </w:r>
      </w:hyperlink>
    </w:p>
    <w:p w14:paraId="631724A1" w14:textId="77777777" w:rsidR="001E5999" w:rsidRDefault="001E5999" w:rsidP="001E5999">
      <w:pPr>
        <w:pStyle w:val="Textebrut"/>
        <w:numPr>
          <w:ilvl w:val="0"/>
          <w:numId w:val="24"/>
        </w:numPr>
      </w:pPr>
      <w:r w:rsidRPr="008A3CB8">
        <w:t>Guide Evaluateur – Maladies à Signalement Obligatoire (MSO)</w:t>
      </w:r>
    </w:p>
    <w:p w14:paraId="09E51274" w14:textId="77777777" w:rsidR="001E5999" w:rsidRDefault="001E5999" w:rsidP="001E5999">
      <w:pPr>
        <w:pStyle w:val="Textebrut"/>
        <w:ind w:left="720"/>
      </w:pPr>
      <w:hyperlink r:id="rId54" w:history="1">
        <w:r w:rsidRPr="007107CC">
          <w:rPr>
            <w:rStyle w:val="Lienhypertexte"/>
          </w:rPr>
          <w:t>https://peps.sante.gouv.fr/actu/2026/26_minsante_2026-06_annexe4.pdf</w:t>
        </w:r>
      </w:hyperlink>
    </w:p>
    <w:p w14:paraId="60A2D018" w14:textId="0913BE31" w:rsidR="00E53F35" w:rsidRDefault="00E53F35" w:rsidP="00E53F35">
      <w:pPr>
        <w:pStyle w:val="Textebrut"/>
        <w:numPr>
          <w:ilvl w:val="0"/>
          <w:numId w:val="24"/>
        </w:numPr>
      </w:pPr>
      <w:r w:rsidRPr="00E53F35">
        <w:t>Complément au MINSANTE n°2026-06 du 20/04/2026 précisant quelques éléments relatifs à la gestion des comptes et les notifications</w:t>
      </w:r>
    </w:p>
    <w:p w14:paraId="4206C4D5" w14:textId="3401BBCC" w:rsidR="00E53F35" w:rsidRDefault="00E53F35" w:rsidP="00E53F35">
      <w:pPr>
        <w:pStyle w:val="Textebrut"/>
        <w:ind w:left="720"/>
      </w:pPr>
      <w:hyperlink r:id="rId55" w:history="1">
        <w:r w:rsidRPr="00DF7112">
          <w:rPr>
            <w:rStyle w:val="Lienhypertexte"/>
          </w:rPr>
          <w:t>https://peps.sante.gouv.fr/actu/2026/26_minsante_2026-06_complement_22042026.pdf</w:t>
        </w:r>
      </w:hyperlink>
    </w:p>
    <w:p w14:paraId="34019713" w14:textId="77777777" w:rsidR="001E5999" w:rsidRDefault="001E5999" w:rsidP="001E5999">
      <w:pPr>
        <w:pStyle w:val="Textebrut"/>
      </w:pPr>
    </w:p>
    <w:p w14:paraId="0CC49407" w14:textId="3D80B982" w:rsidR="00F465DD" w:rsidRPr="00F465DD" w:rsidRDefault="00F465DD" w:rsidP="00F465DD">
      <w:pPr>
        <w:pStyle w:val="Textebrut"/>
        <w:rPr>
          <w:b/>
          <w:bCs/>
        </w:rPr>
      </w:pPr>
      <w:r w:rsidRPr="00F465DD">
        <w:rPr>
          <w:b/>
          <w:bCs/>
        </w:rPr>
        <w:t xml:space="preserve">Décision </w:t>
      </w:r>
      <w:r w:rsidR="00146846">
        <w:rPr>
          <w:b/>
          <w:bCs/>
        </w:rPr>
        <w:t xml:space="preserve">ANSM </w:t>
      </w:r>
      <w:r w:rsidRPr="00F465DD">
        <w:rPr>
          <w:b/>
          <w:bCs/>
        </w:rPr>
        <w:t>du 20/04/2026 portant modification au registre des groupes hybrides mentionné à l’article L. 5121-10 du code de la santé publique (ANSM, 22/04/2026)</w:t>
      </w:r>
    </w:p>
    <w:p w14:paraId="6C6F8F1B" w14:textId="77777777" w:rsidR="00F465DD" w:rsidRPr="00F465DD" w:rsidRDefault="00F465DD" w:rsidP="00F465DD">
      <w:pPr>
        <w:pStyle w:val="Textebrut"/>
      </w:pPr>
      <w:hyperlink r:id="rId56" w:history="1">
        <w:r w:rsidRPr="00F465DD">
          <w:rPr>
            <w:rStyle w:val="Lienhypertexte"/>
          </w:rPr>
          <w:t>https://ansm.sante.fr/actualites/decision-du-20-04-2026-portant-modification-au-registre-des-groupes-hybrides-mentionne-a-larticle-l-5121-10-du-code-de-la-sante-publique</w:t>
        </w:r>
      </w:hyperlink>
    </w:p>
    <w:p w14:paraId="4F773CF6" w14:textId="77777777" w:rsidR="001E5999" w:rsidRDefault="001E5999" w:rsidP="001E5999">
      <w:pPr>
        <w:pStyle w:val="Textebrut"/>
      </w:pPr>
    </w:p>
    <w:p w14:paraId="23FCB238" w14:textId="77777777" w:rsidR="00146846" w:rsidRPr="00146846" w:rsidRDefault="00146846" w:rsidP="00146846">
      <w:pPr>
        <w:pStyle w:val="Textebrut"/>
        <w:rPr>
          <w:b/>
          <w:bCs/>
        </w:rPr>
      </w:pPr>
      <w:r w:rsidRPr="00146846">
        <w:rPr>
          <w:b/>
          <w:bCs/>
        </w:rPr>
        <w:t>Décision ANSM du 22/04/2026 portant modification de la liste de référence des groupes biologiques similaires mentionnée à l’article R. 5121-9-1 du code de la santé publique</w:t>
      </w:r>
    </w:p>
    <w:p w14:paraId="304DD54D" w14:textId="77777777" w:rsidR="00146846" w:rsidRPr="00146846" w:rsidRDefault="00146846" w:rsidP="00146846">
      <w:pPr>
        <w:pStyle w:val="Textebrut"/>
      </w:pPr>
      <w:hyperlink r:id="rId57" w:history="1">
        <w:r w:rsidRPr="00146846">
          <w:rPr>
            <w:rStyle w:val="Lienhypertexte"/>
          </w:rPr>
          <w:t>https://ansm.sante.fr/actualites/decision-du-22-04-2026-portant-modification-de-la-liste-de-reference-des-groupes-biologiques-similaires-mentionnee-a-larticle-r-5121-9-1-du-code-de-la-sante-publique</w:t>
        </w:r>
      </w:hyperlink>
    </w:p>
    <w:p w14:paraId="34FCC556" w14:textId="77777777" w:rsidR="00146846" w:rsidRPr="00146846" w:rsidRDefault="00146846" w:rsidP="00146846">
      <w:pPr>
        <w:pStyle w:val="Textebrut"/>
      </w:pPr>
    </w:p>
    <w:p w14:paraId="5D197ABA" w14:textId="2AEEA12C" w:rsidR="00146846" w:rsidRPr="00146846" w:rsidRDefault="00146846" w:rsidP="00146846">
      <w:pPr>
        <w:pStyle w:val="Textebrut"/>
        <w:rPr>
          <w:b/>
          <w:bCs/>
        </w:rPr>
      </w:pPr>
      <w:r w:rsidRPr="00146846">
        <w:rPr>
          <w:b/>
          <w:bCs/>
        </w:rPr>
        <w:t>Décision ANSM n° 2026-30 du 27/03/2026 - Prorogation de la durée du Comité scientifique temporaire « Suivi de l’expérimentation française de l’usage médical du cannabis » à l’ANSM (</w:t>
      </w:r>
      <w:r w:rsidR="0069536C" w:rsidRPr="0069536C">
        <w:rPr>
          <w:b/>
          <w:bCs/>
        </w:rPr>
        <w:t xml:space="preserve">jusqu'au </w:t>
      </w:r>
      <w:r w:rsidRPr="00146846">
        <w:rPr>
          <w:b/>
          <w:bCs/>
        </w:rPr>
        <w:t>31/12/2026 au lieu du 31/03/2026)</w:t>
      </w:r>
    </w:p>
    <w:p w14:paraId="35862C01" w14:textId="77777777" w:rsidR="00146846" w:rsidRPr="00146846" w:rsidRDefault="00146846" w:rsidP="00146846">
      <w:pPr>
        <w:pStyle w:val="Textebrut"/>
      </w:pPr>
      <w:hyperlink r:id="rId58" w:history="1">
        <w:r w:rsidRPr="00146846">
          <w:rPr>
            <w:rStyle w:val="Lienhypertexte"/>
          </w:rPr>
          <w:t>https://ansm.sante.fr/actualites/decision-ndeg-2026-30-du-27-03-2026-prorogation-de-la-duree-du-comite-scientifique-temporaire-suivi-de-lexperimentation-francaise-de-lusage-medical-du-cannabis-a-lansm</w:t>
        </w:r>
      </w:hyperlink>
    </w:p>
    <w:p w14:paraId="7752F48E" w14:textId="77777777" w:rsidR="00146846" w:rsidRPr="00146846" w:rsidRDefault="00146846" w:rsidP="00146846">
      <w:pPr>
        <w:pStyle w:val="Textebrut"/>
      </w:pPr>
    </w:p>
    <w:p w14:paraId="3CF9DE96" w14:textId="77777777" w:rsidR="00F465DD" w:rsidRDefault="00F465DD" w:rsidP="001E5999">
      <w:pPr>
        <w:pStyle w:val="Textebrut"/>
      </w:pPr>
    </w:p>
    <w:p w14:paraId="087ACE5F" w14:textId="77777777" w:rsidR="001E5999" w:rsidRPr="001F17E9" w:rsidRDefault="001E5999" w:rsidP="001E5999">
      <w:pPr>
        <w:pStyle w:val="Textebrut"/>
      </w:pPr>
    </w:p>
    <w:p w14:paraId="7493623B" w14:textId="77777777" w:rsidR="00B93E2E" w:rsidRDefault="00B93E2E" w:rsidP="00730A8D">
      <w:pPr>
        <w:pStyle w:val="Textebrut"/>
      </w:pPr>
    </w:p>
    <w:p w14:paraId="22220DCB" w14:textId="77777777" w:rsidR="00B93E2E" w:rsidRDefault="00B93E2E" w:rsidP="00730A8D">
      <w:pPr>
        <w:pStyle w:val="Textebrut"/>
      </w:pPr>
    </w:p>
    <w:p w14:paraId="19A0C54A" w14:textId="77777777" w:rsidR="00C50462" w:rsidRDefault="00C50462" w:rsidP="00730A8D">
      <w:pPr>
        <w:pStyle w:val="Textebrut"/>
      </w:pPr>
    </w:p>
    <w:p w14:paraId="6F457F27" w14:textId="77777777" w:rsidR="006A4C9D" w:rsidRDefault="006A4C9D" w:rsidP="00730A8D">
      <w:pPr>
        <w:pStyle w:val="Textebrut"/>
      </w:pPr>
    </w:p>
    <w:p w14:paraId="43151ED8" w14:textId="77777777" w:rsidR="00730A8D" w:rsidRDefault="00730A8D" w:rsidP="00730A8D">
      <w:pPr>
        <w:pStyle w:val="Textebrut"/>
      </w:pPr>
    </w:p>
    <w:p w14:paraId="788F4DAA" w14:textId="77777777" w:rsidR="003C2418" w:rsidRDefault="003C2418" w:rsidP="003C2418">
      <w:pPr>
        <w:pStyle w:val="Textebrut"/>
      </w:pPr>
    </w:p>
    <w:p w14:paraId="2CA36BB2" w14:textId="77777777" w:rsidR="003C2418" w:rsidRDefault="003C2418" w:rsidP="003C2418">
      <w:pPr>
        <w:pStyle w:val="Textebrut"/>
      </w:pPr>
    </w:p>
    <w:p w14:paraId="146745BD" w14:textId="77777777" w:rsidR="003C2418" w:rsidRPr="00672CE5" w:rsidRDefault="003C2418" w:rsidP="003C2418">
      <w:pPr>
        <w:pStyle w:val="Textebrut"/>
      </w:pPr>
    </w:p>
    <w:p w14:paraId="58EB0E5E" w14:textId="77777777" w:rsidR="00EE17EA" w:rsidRPr="0089584B" w:rsidRDefault="00EE17EA" w:rsidP="00EE17EA">
      <w:pPr>
        <w:pStyle w:val="PEPS"/>
      </w:pPr>
      <w:hyperlink r:id="rId59" w:history="1">
        <w:r w:rsidRPr="0089584B">
          <w:t>Actualités</w:t>
        </w:r>
      </w:hyperlink>
      <w:r>
        <w:t xml:space="preserve"> covid-19</w:t>
      </w:r>
      <w:r w:rsidRPr="0089584B">
        <w:t> :</w:t>
      </w:r>
    </w:p>
    <w:p w14:paraId="4C931A84" w14:textId="77777777" w:rsidR="00EE17EA" w:rsidRDefault="00EE17EA" w:rsidP="00EE17EA">
      <w:pPr>
        <w:pStyle w:val="Textebrut"/>
      </w:pPr>
    </w:p>
    <w:p w14:paraId="426D2926" w14:textId="77777777" w:rsidR="00EE17EA" w:rsidRDefault="00EE17EA" w:rsidP="00EE17EA">
      <w:pPr>
        <w:pStyle w:val="Textebrut"/>
      </w:pPr>
      <w:r>
        <w:t>Vous retrouverez tout sur ce sujet sur la page d’actualités du PEPPS dédiée :</w:t>
      </w:r>
    </w:p>
    <w:p w14:paraId="70D05F8F" w14:textId="77777777" w:rsidR="00EE17EA" w:rsidRDefault="00EE17EA" w:rsidP="00EE17EA">
      <w:pPr>
        <w:pStyle w:val="Textebrut"/>
      </w:pPr>
      <w:hyperlink r:id="rId60" w:history="1">
        <w:r w:rsidRPr="009D7C82">
          <w:rPr>
            <w:rStyle w:val="Lienhypertexte"/>
          </w:rPr>
          <w:t>https://peps.sante.gouv.fr/actu/ncov/actus_2019-ncov.html</w:t>
        </w:r>
      </w:hyperlink>
    </w:p>
    <w:p w14:paraId="04EED91A" w14:textId="77777777" w:rsidR="00EE17EA" w:rsidRDefault="00EE17EA" w:rsidP="00EE17EA">
      <w:pPr>
        <w:pStyle w:val="Textebrut"/>
      </w:pPr>
    </w:p>
    <w:p w14:paraId="541121A9" w14:textId="77777777" w:rsidR="005711C2" w:rsidRPr="005711C2" w:rsidRDefault="005711C2" w:rsidP="005711C2">
      <w:pPr>
        <w:pStyle w:val="Textebrut"/>
        <w:rPr>
          <w:b/>
          <w:bCs/>
        </w:rPr>
      </w:pPr>
      <w:r w:rsidRPr="005711C2">
        <w:rPr>
          <w:b/>
          <w:bCs/>
        </w:rPr>
        <w:t>MISP n°2026_05 du 03/04/2026 relatif à la campagne de renouvellement vaccinal Covid-19 des plus fragiles au printemps 2026</w:t>
      </w:r>
    </w:p>
    <w:p w14:paraId="30452BCF" w14:textId="77777777" w:rsidR="005711C2" w:rsidRPr="005711C2" w:rsidRDefault="005711C2" w:rsidP="005711C2">
      <w:pPr>
        <w:pStyle w:val="Textebrut"/>
      </w:pPr>
      <w:hyperlink r:id="rId61" w:history="1">
        <w:r w:rsidRPr="005711C2">
          <w:rPr>
            <w:rStyle w:val="Lienhypertexte"/>
          </w:rPr>
          <w:t>https://sante.gouv.fr/IMG/pdf/misp_no2025_05_campagne_covid.pdf</w:t>
        </w:r>
      </w:hyperlink>
    </w:p>
    <w:p w14:paraId="5A0B8081" w14:textId="77777777" w:rsidR="00EE17EA" w:rsidRDefault="00EE17EA" w:rsidP="00EE17EA">
      <w:pPr>
        <w:pStyle w:val="Textebrut"/>
      </w:pPr>
    </w:p>
    <w:p w14:paraId="7885631D" w14:textId="57839EED" w:rsidR="00BB7CED" w:rsidRPr="00BB7CED" w:rsidRDefault="00BB7CED" w:rsidP="00BB7CED">
      <w:pPr>
        <w:pStyle w:val="Textebrut"/>
        <w:rPr>
          <w:b/>
          <w:bCs/>
        </w:rPr>
      </w:pPr>
      <w:r w:rsidRPr="00BB7CED">
        <w:rPr>
          <w:b/>
          <w:bCs/>
        </w:rPr>
        <w:t>Emission "Covid : 6 ans après, la question des origines demeure" (Public Sénat, mars 2026).</w:t>
      </w:r>
    </w:p>
    <w:p w14:paraId="30384EB1" w14:textId="77777777" w:rsidR="00BB7CED" w:rsidRPr="00BB7CED" w:rsidRDefault="00BB7CED" w:rsidP="00BB7CED">
      <w:pPr>
        <w:pStyle w:val="Textebrut"/>
      </w:pPr>
      <w:r w:rsidRPr="00BB7CED">
        <w:t>Cela fait 6 ans que le sujet occupe chercheurs, scientifiques et instances sanitaires intergouvernementales : d’où le Covid 19 est-il parti ? Plusieurs thèses s’affrontent, mais deux d’entre elles sont privilégiées : celle de l’origine animale, chauve-souris ou pangolin… Et celle de la fuite accidentelle de laboratoire… Alors, même si l’incertitude demeure et ne sera que difficilement tranchée, pourquoi est-ce si important de rechercher les origines du Covid ? Quelles conséquences cela a-t-il de ne pas vraiment savoir ? Faut-il plus de transparence sur l’activité de ces laboratoires qui manipulent des virus dangereux ? Peut-on imaginer qu’une telle pandémie se reproduise ? Rebecca Fitoussi et ses invités ouvrent le débat (36’)</w:t>
      </w:r>
    </w:p>
    <w:p w14:paraId="764587DB" w14:textId="7B2F9937" w:rsidR="005711C2" w:rsidRDefault="00BB7CED" w:rsidP="00BB7CED">
      <w:pPr>
        <w:pStyle w:val="Textebrut"/>
      </w:pPr>
      <w:hyperlink r:id="rId62" w:history="1">
        <w:r w:rsidRPr="00BB7CED">
          <w:rPr>
            <w:rStyle w:val="Lienhypertexte"/>
          </w:rPr>
          <w:t>https://www.dailymotion.com/video/xa3dlea</w:t>
        </w:r>
      </w:hyperlink>
    </w:p>
    <w:p w14:paraId="267F5502" w14:textId="77777777" w:rsidR="00BB7CED" w:rsidRDefault="00BB7CED" w:rsidP="00BB7CED">
      <w:pPr>
        <w:pStyle w:val="Textebrut"/>
      </w:pPr>
    </w:p>
    <w:p w14:paraId="7C19E157" w14:textId="77777777" w:rsidR="00C7330E" w:rsidRPr="00C7330E" w:rsidRDefault="00C7330E" w:rsidP="00C7330E">
      <w:pPr>
        <w:pStyle w:val="Textebrut"/>
        <w:rPr>
          <w:b/>
          <w:bCs/>
        </w:rPr>
      </w:pPr>
      <w:r w:rsidRPr="00C7330E">
        <w:rPr>
          <w:b/>
          <w:bCs/>
        </w:rPr>
        <w:t>Vaccin Covid-19 : rappel de printemps à partir du 20 avril (ameli.fr, 13/04/2026).</w:t>
      </w:r>
    </w:p>
    <w:p w14:paraId="07E6B9A0" w14:textId="77777777" w:rsidR="00C7330E" w:rsidRPr="00C7330E" w:rsidRDefault="00C7330E" w:rsidP="00C7330E">
      <w:pPr>
        <w:pStyle w:val="Textebrut"/>
      </w:pPr>
      <w:r w:rsidRPr="00C7330E">
        <w:t>Les personnes les plus à risque de forme grave de Covid-19 et celles dont la protection immunitaire diminue plus rapidement dans le temps peuvent recevoir une nouvelle dose de vaccin à partir du 20 avril et jusqu’au 30 juin 2026</w:t>
      </w:r>
    </w:p>
    <w:p w14:paraId="396BDBB5" w14:textId="77777777" w:rsidR="00C7330E" w:rsidRPr="00C7330E" w:rsidRDefault="00C7330E" w:rsidP="00C7330E">
      <w:pPr>
        <w:pStyle w:val="Textebrut"/>
      </w:pPr>
      <w:hyperlink r:id="rId63" w:history="1">
        <w:r w:rsidRPr="00C7330E">
          <w:rPr>
            <w:rStyle w:val="Lienhypertexte"/>
          </w:rPr>
          <w:t>https://www.ameli.fr/assure/actualites/vaccin-covid-19-rappel-de-printemps-partir-du-20-avril-0</w:t>
        </w:r>
      </w:hyperlink>
    </w:p>
    <w:p w14:paraId="05FC6D4F" w14:textId="77777777" w:rsidR="00BB7CED" w:rsidRDefault="00BB7CED" w:rsidP="00BB7CED">
      <w:pPr>
        <w:pStyle w:val="Textebrut"/>
      </w:pPr>
    </w:p>
    <w:p w14:paraId="7F5F5AB6" w14:textId="77777777" w:rsidR="006478A2" w:rsidRPr="006478A2" w:rsidRDefault="006478A2" w:rsidP="006478A2">
      <w:pPr>
        <w:pStyle w:val="Textebrut"/>
        <w:rPr>
          <w:b/>
          <w:bCs/>
        </w:rPr>
      </w:pPr>
      <w:r w:rsidRPr="006478A2">
        <w:rPr>
          <w:b/>
          <w:bCs/>
        </w:rPr>
        <w:t>Communiqué du 16/04/2026 - Protection contre le Covid-19 : la campagne de renouvellement vaccinal pour les personnes les plus fragiles débutera le 20 avril 2026.</w:t>
      </w:r>
    </w:p>
    <w:p w14:paraId="0827F939" w14:textId="77777777" w:rsidR="006478A2" w:rsidRPr="006478A2" w:rsidRDefault="006478A2" w:rsidP="006478A2">
      <w:pPr>
        <w:pStyle w:val="Textebrut"/>
      </w:pPr>
      <w:r w:rsidRPr="006478A2">
        <w:t>Du 20 avril au 30 juin 2026, les personnes les plus à risque de formes graves de Covid-19 sont invitées à recevoir une dose supplémentaire de vaccin. Cette mesure vise à renforcer leur protection, notamment à l’approche de l’été, période durant laquelle le virus continue de circuler. Les professionnels de santé sont également appelés à se mobiliser pour protéger ces publics vulnérables</w:t>
      </w:r>
    </w:p>
    <w:p w14:paraId="0090B1FD" w14:textId="77777777" w:rsidR="006478A2" w:rsidRPr="006478A2" w:rsidRDefault="006478A2" w:rsidP="006478A2">
      <w:pPr>
        <w:pStyle w:val="Textebrut"/>
      </w:pPr>
      <w:hyperlink r:id="rId64" w:history="1">
        <w:r w:rsidRPr="006478A2">
          <w:rPr>
            <w:rStyle w:val="Lienhypertexte"/>
          </w:rPr>
          <w:t>https://sante.gouv.fr/actualites-presse/presse/communiques-de-presse/article/protection-contre-le-covid-19-la-campagne-de-renouvellement-vaccinal-pour-les-433276</w:t>
        </w:r>
      </w:hyperlink>
    </w:p>
    <w:p w14:paraId="28920EB5" w14:textId="77777777" w:rsidR="00C7330E" w:rsidRDefault="00C7330E" w:rsidP="00BB7CED">
      <w:pPr>
        <w:pStyle w:val="Textebrut"/>
      </w:pPr>
    </w:p>
    <w:p w14:paraId="4F509435" w14:textId="77777777" w:rsidR="007F1E49" w:rsidRPr="007F1E49" w:rsidRDefault="007F1E49" w:rsidP="007F1E49">
      <w:pPr>
        <w:pStyle w:val="Textebrut"/>
        <w:rPr>
          <w:b/>
          <w:bCs/>
        </w:rPr>
      </w:pPr>
      <w:r w:rsidRPr="007F1E49">
        <w:rPr>
          <w:b/>
          <w:bCs/>
        </w:rPr>
        <w:t xml:space="preserve">Vaccination Covid : pourquoi les commandes de seringues et d’aiguilles posent </w:t>
      </w:r>
      <w:proofErr w:type="gramStart"/>
      <w:r w:rsidRPr="007F1E49">
        <w:rPr>
          <w:b/>
          <w:bCs/>
        </w:rPr>
        <w:t>problème</w:t>
      </w:r>
      <w:proofErr w:type="gramEnd"/>
      <w:r w:rsidRPr="007F1E49">
        <w:rPr>
          <w:b/>
          <w:bCs/>
        </w:rPr>
        <w:t xml:space="preserve"> (Le Quotidien du pharmacien, 17/04/2026).</w:t>
      </w:r>
    </w:p>
    <w:p w14:paraId="61528FD7" w14:textId="77777777" w:rsidR="007F1E49" w:rsidRPr="007F1E49" w:rsidRDefault="007F1E49" w:rsidP="007F1E49">
      <w:pPr>
        <w:pStyle w:val="Textebrut"/>
      </w:pPr>
      <w:r w:rsidRPr="007F1E49">
        <w:t>Lundi 20 avril, une nouvelle campagne de vaccination contre le Covid-19 dédiée aux patients les plus vulnérables va officiellement commencer. Si les pharmaciens ont déjà pu commander des doses issues du stock État, ils ne peuvent désormais plus s’approvisionner en seringues ni aiguilles sur le portail de Santé publique France. Problème : des officinaux rencontrent maintenant des difficultés pour obtenir ces dispositifs médicaux…</w:t>
      </w:r>
    </w:p>
    <w:p w14:paraId="37651C19" w14:textId="77777777" w:rsidR="007F1E49" w:rsidRPr="007F1E49" w:rsidRDefault="007F1E49" w:rsidP="007F1E49">
      <w:pPr>
        <w:pStyle w:val="Textebrut"/>
      </w:pPr>
      <w:hyperlink r:id="rId65" w:history="1">
        <w:r w:rsidRPr="007F1E49">
          <w:rPr>
            <w:rStyle w:val="Lienhypertexte"/>
          </w:rPr>
          <w:t>https://www.lequotidiendupharmacien.fr/exercice-pro/vaccination-covid-pourquoi-les-commandes-de-seringues-et-daiguilles-posent-probleme</w:t>
        </w:r>
      </w:hyperlink>
    </w:p>
    <w:p w14:paraId="0E012621" w14:textId="77777777" w:rsidR="006478A2" w:rsidRDefault="006478A2" w:rsidP="00BB7CED">
      <w:pPr>
        <w:pStyle w:val="Textebrut"/>
      </w:pPr>
    </w:p>
    <w:p w14:paraId="5B5A1D3B" w14:textId="77777777" w:rsidR="00EA2546" w:rsidRPr="00EA2546" w:rsidRDefault="00EA2546" w:rsidP="00EA2546">
      <w:pPr>
        <w:pStyle w:val="Textebrut"/>
      </w:pPr>
      <w:r w:rsidRPr="00EA2546">
        <w:rPr>
          <w:b/>
          <w:bCs/>
        </w:rPr>
        <w:t>Coût des seringues, rémunération insuffisante, la vaccination anti-Covid-19 vacille (Le Moniteur des pharmacies, 21/04/2026).</w:t>
      </w:r>
      <w:r w:rsidRPr="00EA2546">
        <w:t xml:space="preserve"> Article réservé aux abonnés (ou F9).</w:t>
      </w:r>
    </w:p>
    <w:p w14:paraId="2B2046B6" w14:textId="77777777" w:rsidR="00EA2546" w:rsidRPr="00EA2546" w:rsidRDefault="00EA2546" w:rsidP="00EA2546">
      <w:pPr>
        <w:pStyle w:val="Textebrut"/>
      </w:pPr>
      <w:r w:rsidRPr="00EA2546">
        <w:t>À peine lancée, la campagne de renouvellement vaccinal contre le Covid-19 pour les personnes les plus fragiles se heurte à des difficultés. En cause, la fin de la fourniture de seringues et d’aiguilles aux officines, qui complique l’approvisionnement et suscite la mobilisation des syndicats de pharmaciens</w:t>
      </w:r>
    </w:p>
    <w:p w14:paraId="10458BA3" w14:textId="77777777" w:rsidR="00EA2546" w:rsidRPr="00EA2546" w:rsidRDefault="00EA2546" w:rsidP="00EA2546">
      <w:pPr>
        <w:pStyle w:val="Textebrut"/>
      </w:pPr>
      <w:hyperlink r:id="rId66" w:history="1">
        <w:r w:rsidRPr="00EA2546">
          <w:rPr>
            <w:rStyle w:val="Lienhypertexte"/>
          </w:rPr>
          <w:t>https://www.lemoniteurdespharmacies.fr/nouvelles-missions/vaccination/vaccination-covid-cout-des-seringues-remuneration-insuffisante-la-campagne-vacille</w:t>
        </w:r>
      </w:hyperlink>
    </w:p>
    <w:p w14:paraId="196F5C5D" w14:textId="77777777" w:rsidR="00907704" w:rsidRDefault="00907704" w:rsidP="00BB7CED">
      <w:pPr>
        <w:pStyle w:val="Textebrut"/>
      </w:pPr>
    </w:p>
    <w:p w14:paraId="6BBD3CB9" w14:textId="77777777" w:rsidR="00E53F35" w:rsidRPr="00E53F35" w:rsidRDefault="00E53F35" w:rsidP="00E53F35">
      <w:pPr>
        <w:pStyle w:val="Textebrut"/>
        <w:rPr>
          <w:b/>
          <w:bCs/>
        </w:rPr>
      </w:pPr>
      <w:r w:rsidRPr="00E53F35">
        <w:rPr>
          <w:b/>
          <w:bCs/>
        </w:rPr>
        <w:lastRenderedPageBreak/>
        <w:t xml:space="preserve">Moderna décroche l’AMM européenne pour </w:t>
      </w:r>
      <w:proofErr w:type="spellStart"/>
      <w:r w:rsidRPr="00E53F35">
        <w:rPr>
          <w:b/>
          <w:bCs/>
        </w:rPr>
        <w:t>mCombriax</w:t>
      </w:r>
      <w:proofErr w:type="spellEnd"/>
      <w:r w:rsidRPr="00E53F35">
        <w:rPr>
          <w:b/>
          <w:bCs/>
        </w:rPr>
        <w:t>, premier vaccin combiné grippe-Covid-19 (Le Moniteur des pharmacies, 22/04/2026).</w:t>
      </w:r>
    </w:p>
    <w:p w14:paraId="55CF7047" w14:textId="77777777" w:rsidR="00E53F35" w:rsidRPr="00E53F35" w:rsidRDefault="00E53F35" w:rsidP="00E53F35">
      <w:pPr>
        <w:pStyle w:val="Textebrut"/>
      </w:pPr>
      <w:r w:rsidRPr="00E53F35">
        <w:t xml:space="preserve">La Commission européenne a accordé une autorisation de mise sur le marché à </w:t>
      </w:r>
      <w:proofErr w:type="spellStart"/>
      <w:r w:rsidRPr="00E53F35">
        <w:t>mCombriax</w:t>
      </w:r>
      <w:proofErr w:type="spellEnd"/>
      <w:r w:rsidRPr="00E53F35">
        <w:t xml:space="preserve"> (mRNA-1083) de Moderna, premier vaccin combiné au monde contre la grippe et le Covid-19, indiqué chez les adultes de 50 ans et plus</w:t>
      </w:r>
    </w:p>
    <w:p w14:paraId="1213435D" w14:textId="77777777" w:rsidR="00E53F35" w:rsidRPr="00E53F35" w:rsidRDefault="00E53F35" w:rsidP="00E53F35">
      <w:pPr>
        <w:pStyle w:val="Textebrut"/>
      </w:pPr>
      <w:hyperlink r:id="rId67" w:history="1">
        <w:r w:rsidRPr="00E53F35">
          <w:rPr>
            <w:rStyle w:val="Lienhypertexte"/>
          </w:rPr>
          <w:t>https://www.lemoniteurdespharmacies.fr/therapeutique/medicaments/recherche-et-innovation/moderna-decroche-lamm-europeenne-pour-mcombriax-premier-vaccin-combine-grippe-covid-19</w:t>
        </w:r>
      </w:hyperlink>
    </w:p>
    <w:p w14:paraId="07E4318D" w14:textId="77777777" w:rsidR="00EA2546" w:rsidRDefault="00EA2546" w:rsidP="00BB7CED">
      <w:pPr>
        <w:pStyle w:val="Textebrut"/>
      </w:pPr>
    </w:p>
    <w:p w14:paraId="0552C6DF" w14:textId="77777777" w:rsidR="00D63798" w:rsidRPr="00D63798" w:rsidRDefault="00D63798" w:rsidP="00D63798">
      <w:pPr>
        <w:pStyle w:val="Textebrut"/>
        <w:rPr>
          <w:b/>
          <w:bCs/>
        </w:rPr>
      </w:pPr>
      <w:r w:rsidRPr="00D63798">
        <w:rPr>
          <w:b/>
          <w:bCs/>
        </w:rPr>
        <w:t>Vaccination anti-Covid-19 : l’URPS Bourgogne-Franche-Comté vole au secours des pharmacies privées de seringues (Le Moniteur des pharmacies, 28/04/2026).</w:t>
      </w:r>
    </w:p>
    <w:p w14:paraId="53A4090A" w14:textId="77777777" w:rsidR="00D63798" w:rsidRPr="00D63798" w:rsidRDefault="00D63798" w:rsidP="00D63798">
      <w:pPr>
        <w:pStyle w:val="Textebrut"/>
      </w:pPr>
      <w:r w:rsidRPr="00D63798">
        <w:t>L’Union régionale des professionnels de santé Pharmaciens Bourgogne-Franche-Comté va fournir gratuitement aux officines une boîte de 100 seringues et une boîte de 100 aiguilles pour sécuriser la vaccination contre le Covid-19, après l’arrêt de leur fourniture par les pouvoirs publics. Ces boîtes seront livrées directement par les grossistes-répartiteurs</w:t>
      </w:r>
    </w:p>
    <w:p w14:paraId="56FBAF08" w14:textId="77777777" w:rsidR="00D63798" w:rsidRPr="00D63798" w:rsidRDefault="00D63798" w:rsidP="00D63798">
      <w:pPr>
        <w:pStyle w:val="Textebrut"/>
      </w:pPr>
      <w:hyperlink r:id="rId68" w:history="1">
        <w:r w:rsidRPr="00D63798">
          <w:rPr>
            <w:rStyle w:val="Lienhypertexte"/>
          </w:rPr>
          <w:t>https://www.lemoniteurdespharmacies.fr/profession/socio-professionnel/vaccination-anti-covid-19-lurps-bourgogne-franche-comte-vole-au-secours-des-pharmacies-privees-de-seringues</w:t>
        </w:r>
      </w:hyperlink>
    </w:p>
    <w:p w14:paraId="084088B1" w14:textId="77777777" w:rsidR="00E53F35" w:rsidRDefault="00E53F35" w:rsidP="00BB7CED">
      <w:pPr>
        <w:pStyle w:val="Textebrut"/>
      </w:pPr>
    </w:p>
    <w:p w14:paraId="6E06E983" w14:textId="77777777" w:rsidR="00D63798" w:rsidRDefault="00D63798" w:rsidP="00BB7CED">
      <w:pPr>
        <w:pStyle w:val="Textebrut"/>
      </w:pPr>
    </w:p>
    <w:p w14:paraId="6C3FAC0E" w14:textId="77777777" w:rsidR="00EE17EA" w:rsidRDefault="00EE17EA" w:rsidP="00EE17EA">
      <w:pPr>
        <w:pStyle w:val="Textebrut"/>
      </w:pPr>
    </w:p>
    <w:p w14:paraId="61B8737E" w14:textId="77777777" w:rsidR="00EE17EA" w:rsidRPr="0089584B" w:rsidRDefault="00EE17EA" w:rsidP="00EE17EA">
      <w:pPr>
        <w:pStyle w:val="PEPS"/>
      </w:pPr>
      <w:hyperlink r:id="rId69" w:history="1">
        <w:r w:rsidRPr="0089584B">
          <w:t>Actualités</w:t>
        </w:r>
      </w:hyperlink>
      <w:r>
        <w:t xml:space="preserve"> </w:t>
      </w:r>
      <w:r w:rsidR="00562C83">
        <w:t>variole B</w:t>
      </w:r>
      <w:r w:rsidRPr="0089584B">
        <w:t> :</w:t>
      </w:r>
    </w:p>
    <w:p w14:paraId="7C33A3E1" w14:textId="77777777" w:rsidR="00EE17EA" w:rsidRDefault="00EE17EA" w:rsidP="00EE17EA">
      <w:pPr>
        <w:pStyle w:val="Textebrut"/>
      </w:pPr>
    </w:p>
    <w:p w14:paraId="6422D949" w14:textId="77777777" w:rsidR="00EE17EA" w:rsidRDefault="00EE17EA" w:rsidP="00EE17EA">
      <w:pPr>
        <w:pStyle w:val="Textebrut"/>
      </w:pPr>
      <w:r>
        <w:t>Vous retrouverez tout sur ce sujet sur la page d’actualités du PEPPS dédiée :</w:t>
      </w:r>
    </w:p>
    <w:p w14:paraId="27F6AAC0" w14:textId="77777777" w:rsidR="00EE17EA" w:rsidRDefault="00EE17EA" w:rsidP="00EE17EA">
      <w:pPr>
        <w:pStyle w:val="Textebrut"/>
      </w:pPr>
      <w:hyperlink r:id="rId70" w:history="1">
        <w:r w:rsidRPr="008E33DA">
          <w:rPr>
            <w:rStyle w:val="Lienhypertexte"/>
          </w:rPr>
          <w:t>https://peps.sante.gouv.fr/actu/mpx/actus_mpx.html</w:t>
        </w:r>
      </w:hyperlink>
    </w:p>
    <w:p w14:paraId="3D014A70" w14:textId="77777777" w:rsidR="00EE17EA" w:rsidRDefault="00EE17EA" w:rsidP="00EE17EA">
      <w:pPr>
        <w:pStyle w:val="Textebrut"/>
      </w:pPr>
    </w:p>
    <w:p w14:paraId="23CA4CE6" w14:textId="77777777" w:rsidR="00EE17EA" w:rsidRDefault="00EE17EA" w:rsidP="00EE17EA">
      <w:pPr>
        <w:pStyle w:val="Textebrut"/>
      </w:pPr>
    </w:p>
    <w:p w14:paraId="627A2E62" w14:textId="77777777" w:rsidR="007424C2" w:rsidRDefault="007424C2" w:rsidP="00EE17EA">
      <w:pPr>
        <w:pStyle w:val="Textebrut"/>
      </w:pPr>
    </w:p>
    <w:p w14:paraId="650A84AF" w14:textId="77777777" w:rsidR="007424C2" w:rsidRDefault="007424C2" w:rsidP="00EE17EA">
      <w:pPr>
        <w:pStyle w:val="Textebrut"/>
      </w:pPr>
    </w:p>
    <w:p w14:paraId="5B06F178" w14:textId="77777777" w:rsidR="007424C2" w:rsidRDefault="007424C2" w:rsidP="00EE17EA">
      <w:pPr>
        <w:pStyle w:val="Textebrut"/>
      </w:pPr>
    </w:p>
    <w:p w14:paraId="73C46629" w14:textId="77777777" w:rsidR="007424C2" w:rsidRDefault="007424C2" w:rsidP="00EE17EA">
      <w:pPr>
        <w:pStyle w:val="Textebrut"/>
      </w:pPr>
    </w:p>
    <w:p w14:paraId="22F4C6F5" w14:textId="77777777" w:rsidR="00EE17EA" w:rsidRDefault="00EE17EA" w:rsidP="00EE17EA">
      <w:pPr>
        <w:pStyle w:val="Textebrut"/>
      </w:pPr>
    </w:p>
    <w:p w14:paraId="23816FB6" w14:textId="77777777" w:rsidR="00107ABA" w:rsidRPr="0089584B" w:rsidRDefault="00930CE0" w:rsidP="0089584B">
      <w:pPr>
        <w:pStyle w:val="PEPS"/>
      </w:pPr>
      <w:hyperlink r:id="rId71" w:history="1">
        <w:r w:rsidRPr="0089584B">
          <w:t>Autres actualités</w:t>
        </w:r>
      </w:hyperlink>
      <w:r w:rsidRPr="0089584B">
        <w:t> :</w:t>
      </w:r>
    </w:p>
    <w:p w14:paraId="37A75044" w14:textId="77777777" w:rsidR="00AC503D" w:rsidRDefault="00AC503D" w:rsidP="00AC503D">
      <w:pPr>
        <w:pStyle w:val="Textebrut"/>
      </w:pPr>
      <w:r>
        <w:t>En ligne sur la page d’actualités du PEPPS :</w:t>
      </w:r>
    </w:p>
    <w:p w14:paraId="28BF0E8E" w14:textId="77777777" w:rsidR="00AC503D" w:rsidRDefault="00AC503D" w:rsidP="00AC503D">
      <w:pPr>
        <w:pStyle w:val="Textebrut"/>
      </w:pPr>
      <w:hyperlink r:id="rId72" w:history="1">
        <w:r w:rsidRPr="002859B7">
          <w:rPr>
            <w:rStyle w:val="Lienhypertexte"/>
          </w:rPr>
          <w:t>https://peps.sante.gouv.fr/actu/actualites.html</w:t>
        </w:r>
      </w:hyperlink>
    </w:p>
    <w:p w14:paraId="449E2CDC" w14:textId="77777777" w:rsidR="00930CE0" w:rsidRDefault="00930CE0" w:rsidP="00F8571B">
      <w:pPr>
        <w:pStyle w:val="Textebrut"/>
      </w:pPr>
    </w:p>
    <w:p w14:paraId="04D3A4A9" w14:textId="273D053E" w:rsidR="00A94E82" w:rsidRPr="00A94E82" w:rsidRDefault="00A94E82" w:rsidP="00A94E82">
      <w:pPr>
        <w:pStyle w:val="Textebrut"/>
      </w:pPr>
      <w:r w:rsidRPr="00A94E82">
        <w:rPr>
          <w:b/>
          <w:bCs/>
        </w:rPr>
        <w:t>Maillage pharmaceutique : bientôt 12 antennes pour sauver le réseau ? (Le Moniteur des pharmacies, 31/03/2025).</w:t>
      </w:r>
      <w:r>
        <w:t xml:space="preserve"> Article réservé aux abonnés (ou F9).</w:t>
      </w:r>
    </w:p>
    <w:p w14:paraId="4660A13E" w14:textId="77777777" w:rsidR="00A94E82" w:rsidRPr="00A94E82" w:rsidRDefault="00A94E82" w:rsidP="00A94E82">
      <w:pPr>
        <w:pStyle w:val="Textebrut"/>
      </w:pPr>
      <w:r w:rsidRPr="00A94E82">
        <w:t>Le dispositif s’ouvre à tout le territoire. Douze antennes sont attendues dans les prochains mois, pour une expérimentation appelée à se prolonger jusqu’en 2029. Reste une question de fond : s’agit-il d’une réponse ciblée aux fragilités locales ou de l’expression symptomatique d’un déséquilibre plus profond du réseau officinal ?</w:t>
      </w:r>
    </w:p>
    <w:p w14:paraId="04169AB0" w14:textId="77777777" w:rsidR="00A94E82" w:rsidRPr="00A94E82" w:rsidRDefault="00A94E82" w:rsidP="00A94E82">
      <w:pPr>
        <w:pStyle w:val="Textebrut"/>
      </w:pPr>
      <w:hyperlink r:id="rId73" w:history="1">
        <w:r w:rsidRPr="00A94E82">
          <w:rPr>
            <w:rStyle w:val="Lienhypertexte"/>
          </w:rPr>
          <w:t>https://www.lemoniteurdespharmacies.fr/business/transactions/acquisition/maillage-pharmaceutique-bientot-12-antennes-pour-sauver-le-reseau</w:t>
        </w:r>
      </w:hyperlink>
    </w:p>
    <w:p w14:paraId="39306E66" w14:textId="77777777" w:rsidR="00A94E82" w:rsidRDefault="00A94E82" w:rsidP="00F8571B">
      <w:pPr>
        <w:pStyle w:val="Textebrut"/>
      </w:pPr>
    </w:p>
    <w:p w14:paraId="113EF8A8" w14:textId="77777777" w:rsidR="00F012F8" w:rsidRPr="00F012F8" w:rsidRDefault="00F012F8" w:rsidP="00F012F8">
      <w:pPr>
        <w:pStyle w:val="Textebrut"/>
      </w:pPr>
      <w:r w:rsidRPr="00F012F8">
        <w:rPr>
          <w:b/>
          <w:bCs/>
        </w:rPr>
        <w:t>MNU : l’expérimentation hospitalière qui pourrait gagner l’officine (Le Moniteur des pharmacies, 31/03/2026).</w:t>
      </w:r>
      <w:r w:rsidRPr="00F012F8">
        <w:t xml:space="preserve"> Article réservé aux abonnés (ou F9).</w:t>
      </w:r>
    </w:p>
    <w:p w14:paraId="37D60013" w14:textId="77777777" w:rsidR="00F012F8" w:rsidRPr="00F012F8" w:rsidRDefault="00F012F8" w:rsidP="00F012F8">
      <w:pPr>
        <w:pStyle w:val="Textebrut"/>
      </w:pPr>
      <w:r w:rsidRPr="00F012F8">
        <w:t xml:space="preserve">La </w:t>
      </w:r>
      <w:proofErr w:type="spellStart"/>
      <w:r w:rsidRPr="00F012F8">
        <w:t>redispensation</w:t>
      </w:r>
      <w:proofErr w:type="spellEnd"/>
      <w:r w:rsidRPr="00F012F8">
        <w:t xml:space="preserve"> des anticancéreux non utilisés entre dans une phase opérationnelle. Prévue par la loi de financement de la sécurité sociale pour 2026, l’expérimentation doit démarrer au second semestre. L’enjeu est double : sécuriser un circuit inédit et réduire un gaspillage estimé à près de 10 000 tonnes de médicaments par an</w:t>
      </w:r>
    </w:p>
    <w:p w14:paraId="27CDB7D7" w14:textId="77777777" w:rsidR="00F012F8" w:rsidRPr="00F012F8" w:rsidRDefault="00F012F8" w:rsidP="00F012F8">
      <w:pPr>
        <w:pStyle w:val="Textebrut"/>
      </w:pPr>
      <w:hyperlink r:id="rId74" w:history="1">
        <w:r w:rsidRPr="00F012F8">
          <w:rPr>
            <w:rStyle w:val="Lienhypertexte"/>
          </w:rPr>
          <w:t>https://www.lemoniteurdespharmacies.fr/profession/socio-professionnel/mnu-lexperimentation-hospitaliere-qui-pourrait-gagner-lofficine</w:t>
        </w:r>
      </w:hyperlink>
    </w:p>
    <w:p w14:paraId="0ABE096A" w14:textId="77777777" w:rsidR="00F012F8" w:rsidRDefault="00F012F8" w:rsidP="00F8571B">
      <w:pPr>
        <w:pStyle w:val="Textebrut"/>
      </w:pPr>
    </w:p>
    <w:p w14:paraId="2533AB3B" w14:textId="77777777" w:rsidR="00F012F8" w:rsidRDefault="00F012F8" w:rsidP="00F8571B">
      <w:pPr>
        <w:pStyle w:val="Textebrut"/>
      </w:pPr>
    </w:p>
    <w:p w14:paraId="63EAFC5D" w14:textId="77777777" w:rsidR="00F012F8" w:rsidRPr="00F012F8" w:rsidRDefault="00F012F8" w:rsidP="00F012F8">
      <w:pPr>
        <w:pStyle w:val="Textebrut"/>
        <w:rPr>
          <w:b/>
          <w:bCs/>
        </w:rPr>
      </w:pPr>
      <w:r w:rsidRPr="00F012F8">
        <w:rPr>
          <w:b/>
          <w:bCs/>
        </w:rPr>
        <w:lastRenderedPageBreak/>
        <w:t>Finastéride 1 mg : attestation obligatoire pour toute dispensation (FSPF, 01/04/2026).</w:t>
      </w:r>
    </w:p>
    <w:p w14:paraId="48E059BF" w14:textId="77777777" w:rsidR="00F012F8" w:rsidRPr="00F012F8" w:rsidRDefault="00F012F8" w:rsidP="00F012F8">
      <w:pPr>
        <w:pStyle w:val="Textebrut"/>
      </w:pPr>
      <w:r w:rsidRPr="00F012F8">
        <w:t>Afin de renforcer l’information des patients sur les médicaments par voie orale contenant du finastéride 1 mg, l’Agence nationale de sécurité du médicament et des produits de santé (ANSM) met en place une attestation annuelle d’information partagée devant être cosignée par le médecin et le patient</w:t>
      </w:r>
    </w:p>
    <w:p w14:paraId="61DFC5AF" w14:textId="77777777" w:rsidR="00F012F8" w:rsidRPr="00F012F8" w:rsidRDefault="00F012F8" w:rsidP="00F012F8">
      <w:pPr>
        <w:pStyle w:val="Textebrut"/>
      </w:pPr>
      <w:hyperlink r:id="rId75" w:history="1">
        <w:r w:rsidRPr="00F012F8">
          <w:rPr>
            <w:rStyle w:val="Lienhypertexte"/>
          </w:rPr>
          <w:t>https://www.fspf.fr/finasteride-1-mg-attestation-obligatoire-pour-toute-dispensation/</w:t>
        </w:r>
      </w:hyperlink>
    </w:p>
    <w:p w14:paraId="5FB35EFA" w14:textId="77777777" w:rsidR="00F012F8" w:rsidRDefault="00F012F8" w:rsidP="00F8571B">
      <w:pPr>
        <w:pStyle w:val="Textebrut"/>
      </w:pPr>
    </w:p>
    <w:p w14:paraId="20F9D5F3" w14:textId="77777777" w:rsidR="00507D29" w:rsidRPr="00507D29" w:rsidRDefault="00507D29" w:rsidP="00507D29">
      <w:pPr>
        <w:pStyle w:val="Textebrut"/>
        <w:rPr>
          <w:b/>
          <w:bCs/>
        </w:rPr>
      </w:pPr>
      <w:r w:rsidRPr="00507D29">
        <w:rPr>
          <w:b/>
          <w:bCs/>
        </w:rPr>
        <w:t>Fer injectable - Les spécialités à base de fer IV ne sont pas équivalentes et ne sont pas interchangeables (ANSM, actualisation du 01/04/2026</w:t>
      </w:r>
    </w:p>
    <w:p w14:paraId="2B91838D" w14:textId="77777777" w:rsidR="00507D29" w:rsidRPr="00507D29" w:rsidRDefault="00507D29" w:rsidP="00507D29">
      <w:pPr>
        <w:pStyle w:val="Textebrut"/>
      </w:pPr>
      <w:hyperlink r:id="rId76" w:history="1">
        <w:r w:rsidRPr="00507D29">
          <w:rPr>
            <w:rStyle w:val="Lienhypertexte"/>
          </w:rPr>
          <w:t>https://ansm.sante.fr/tableau-marr/sel-de-fer-injectable</w:t>
        </w:r>
      </w:hyperlink>
    </w:p>
    <w:p w14:paraId="364CAE06" w14:textId="77777777" w:rsidR="00F012F8" w:rsidRDefault="00F012F8" w:rsidP="00F8571B">
      <w:pPr>
        <w:pStyle w:val="Textebrut"/>
      </w:pPr>
    </w:p>
    <w:p w14:paraId="57B2F6A7" w14:textId="77777777" w:rsidR="00507D29" w:rsidRPr="00507D29" w:rsidRDefault="00507D29" w:rsidP="00507D29">
      <w:pPr>
        <w:pStyle w:val="Textebrut"/>
        <w:rPr>
          <w:b/>
          <w:bCs/>
        </w:rPr>
      </w:pPr>
      <w:r w:rsidRPr="00507D29">
        <w:rPr>
          <w:b/>
          <w:bCs/>
        </w:rPr>
        <w:t>Pesticides et cancer : une étude révèle les mécanismes d’un risque environnemental et sanitaire (Institut Pasteur, 01/04/2026).</w:t>
      </w:r>
    </w:p>
    <w:p w14:paraId="07AD4FF8" w14:textId="77777777" w:rsidR="00507D29" w:rsidRPr="00507D29" w:rsidRDefault="00507D29" w:rsidP="00507D29">
      <w:pPr>
        <w:pStyle w:val="Textebrut"/>
      </w:pPr>
      <w:r w:rsidRPr="00507D29">
        <w:t xml:space="preserve">Une nouvelle étude scientifique, publiée dans Nature </w:t>
      </w:r>
      <w:proofErr w:type="spellStart"/>
      <w:r w:rsidRPr="00507D29">
        <w:t>Health</w:t>
      </w:r>
      <w:proofErr w:type="spellEnd"/>
      <w:r w:rsidRPr="00507D29">
        <w:t xml:space="preserve">, révèle un lien solide entre l’exposition aux pesticides agricoles présents dans l’environnement et le risque d’apparition de cancers. En combinant des données environnementales, des registres nationaux du cancer et des analyses biologiques, les chercheurs de l’IRD, de l’Institut Pasteur, de l’Université de Toulouse et de l’Instituto </w:t>
      </w:r>
      <w:proofErr w:type="spellStart"/>
      <w:r w:rsidRPr="00507D29">
        <w:t>Nacional</w:t>
      </w:r>
      <w:proofErr w:type="spellEnd"/>
      <w:r w:rsidRPr="00507D29">
        <w:t xml:space="preserve"> de </w:t>
      </w:r>
      <w:proofErr w:type="spellStart"/>
      <w:r w:rsidRPr="00507D29">
        <w:t>Enfermedades</w:t>
      </w:r>
      <w:proofErr w:type="spellEnd"/>
      <w:r w:rsidRPr="00507D29">
        <w:t xml:space="preserve"> </w:t>
      </w:r>
      <w:proofErr w:type="spellStart"/>
      <w:r w:rsidRPr="00507D29">
        <w:t>Neoplásicas</w:t>
      </w:r>
      <w:proofErr w:type="spellEnd"/>
      <w:r w:rsidRPr="00507D29">
        <w:t xml:space="preserve"> (INEN) du Pérou ont mis en lumière pour la première fois comment des expositions aux pesticides peuvent contribuer au développement de certains cancers</w:t>
      </w:r>
    </w:p>
    <w:p w14:paraId="1EE194C5" w14:textId="77777777" w:rsidR="00507D29" w:rsidRPr="00507D29" w:rsidRDefault="00507D29" w:rsidP="00507D29">
      <w:pPr>
        <w:pStyle w:val="Textebrut"/>
      </w:pPr>
      <w:hyperlink r:id="rId77" w:history="1">
        <w:r w:rsidRPr="00507D29">
          <w:rPr>
            <w:rStyle w:val="Lienhypertexte"/>
          </w:rPr>
          <w:t>https://www.pasteur.fr/fr/espace-presse/documents-presse/pesticides-cancer-etude-revele-mecanismes-risque-environnemental-sanitaire</w:t>
        </w:r>
      </w:hyperlink>
    </w:p>
    <w:p w14:paraId="29BD71B2" w14:textId="77777777" w:rsidR="00507D29" w:rsidRDefault="00507D29" w:rsidP="00F8571B">
      <w:pPr>
        <w:pStyle w:val="Textebrut"/>
      </w:pPr>
    </w:p>
    <w:p w14:paraId="4DD1AFA5" w14:textId="77777777" w:rsidR="00644A1C" w:rsidRPr="00644A1C" w:rsidRDefault="00644A1C" w:rsidP="00644A1C">
      <w:pPr>
        <w:pStyle w:val="Textebrut"/>
        <w:rPr>
          <w:b/>
          <w:bCs/>
        </w:rPr>
      </w:pPr>
      <w:r w:rsidRPr="00644A1C">
        <w:rPr>
          <w:b/>
          <w:bCs/>
        </w:rPr>
        <w:t>Téléconsultation : liste des solutions certifiées et en cours d’évaluation (ANS, 01/04/2026).</w:t>
      </w:r>
    </w:p>
    <w:p w14:paraId="004C3E89" w14:textId="77777777" w:rsidR="00644A1C" w:rsidRPr="00644A1C" w:rsidRDefault="00644A1C" w:rsidP="00644A1C">
      <w:pPr>
        <w:pStyle w:val="Textebrut"/>
      </w:pPr>
      <w:r w:rsidRPr="00644A1C">
        <w:t>Conformité au référentiel d’interopérabilité, de sécurité et d’éthique des systèmes d'informations de téléconsultation</w:t>
      </w:r>
    </w:p>
    <w:p w14:paraId="04DDE503" w14:textId="0807CF56" w:rsidR="00507D29" w:rsidRDefault="00644A1C" w:rsidP="00644A1C">
      <w:pPr>
        <w:pStyle w:val="Textebrut"/>
      </w:pPr>
      <w:hyperlink r:id="rId78" w:history="1">
        <w:r w:rsidRPr="00644A1C">
          <w:rPr>
            <w:rStyle w:val="Lienhypertexte"/>
          </w:rPr>
          <w:t>https://esante.gouv.fr/actualites/teleconsultation-liste-solutions-certifiees-en-cours-evaluation</w:t>
        </w:r>
      </w:hyperlink>
    </w:p>
    <w:p w14:paraId="697BC76A" w14:textId="77777777" w:rsidR="00644A1C" w:rsidRDefault="00644A1C" w:rsidP="00644A1C">
      <w:pPr>
        <w:pStyle w:val="Textebrut"/>
      </w:pPr>
    </w:p>
    <w:p w14:paraId="5DEE33FC" w14:textId="77777777" w:rsidR="002B19EF" w:rsidRDefault="002B19EF" w:rsidP="002B19EF">
      <w:pPr>
        <w:pStyle w:val="Textebrut"/>
      </w:pPr>
      <w:r w:rsidRPr="002B19EF">
        <w:rPr>
          <w:b/>
          <w:bCs/>
        </w:rPr>
        <w:t>Indus : une asymétrie persistante entre pharmaciens et prescripteurs (Le Moniteur des pharmacies, 02/04/2026).</w:t>
      </w:r>
      <w:r>
        <w:t xml:space="preserve"> Article réservé aux abonnés (ou F9).</w:t>
      </w:r>
    </w:p>
    <w:p w14:paraId="164D33E6" w14:textId="77777777" w:rsidR="002B19EF" w:rsidRDefault="002B19EF" w:rsidP="002B19EF">
      <w:pPr>
        <w:pStyle w:val="Textebrut"/>
      </w:pPr>
      <w:r>
        <w:t>Alors que la charte du contrôle de l’activité des professionnels de santé portée par Assurance maladie affirme « veiller au respect de l’égalité de traitement des professionnels de santé sur le territoire », les pharmaciens dénoncent une dissymétrie persistante dans le traitement des indus</w:t>
      </w:r>
    </w:p>
    <w:p w14:paraId="0C0FD4FA" w14:textId="227F1F17" w:rsidR="002B19EF" w:rsidRDefault="002B19EF" w:rsidP="002B19EF">
      <w:pPr>
        <w:pStyle w:val="Textebrut"/>
      </w:pPr>
      <w:hyperlink r:id="rId79" w:history="1">
        <w:r w:rsidRPr="004D4D4E">
          <w:rPr>
            <w:rStyle w:val="Lienhypertexte"/>
          </w:rPr>
          <w:t>https://www.lemoniteurdespharmacies.fr/profession/socio-professionnel/indus-une-asymetrie-persistante-entre-pharmaciens-et-prescripteurs</w:t>
        </w:r>
      </w:hyperlink>
    </w:p>
    <w:p w14:paraId="61CAFED6" w14:textId="77777777" w:rsidR="002B19EF" w:rsidRDefault="002B19EF" w:rsidP="002B19EF">
      <w:pPr>
        <w:pStyle w:val="Textebrut"/>
      </w:pPr>
    </w:p>
    <w:p w14:paraId="566A2381" w14:textId="77777777" w:rsidR="002B19EF" w:rsidRDefault="002B19EF" w:rsidP="002B19EF">
      <w:pPr>
        <w:pStyle w:val="Textebrut"/>
      </w:pPr>
      <w:r w:rsidRPr="002B19EF">
        <w:rPr>
          <w:b/>
          <w:bCs/>
        </w:rPr>
        <w:t>Cannabis médical : Après plusieurs reports, un calendrier qui se précise (Le Moniteur des pharmacies, 02/04/2026).</w:t>
      </w:r>
      <w:r>
        <w:t xml:space="preserve"> Article réservé aux abonnés (ou F9).</w:t>
      </w:r>
    </w:p>
    <w:p w14:paraId="40E0FDE8" w14:textId="77777777" w:rsidR="002B19EF" w:rsidRDefault="002B19EF" w:rsidP="002B19EF">
      <w:pPr>
        <w:pStyle w:val="Textebrut"/>
      </w:pPr>
      <w:r>
        <w:t>Trois ans d’expérimentation et des mois de reports plus tard, un décret concernant le cannabis médical pourrait enfin être adopté d’ici fin juin 2026. Il ouvrirait la voie à une généralisation des médicaments à base de cannabinoïdes en France. Mais entre enjeux politiques et incertitudes réglementaires, le calendrier reste fragile</w:t>
      </w:r>
    </w:p>
    <w:p w14:paraId="1279724B" w14:textId="2805A271" w:rsidR="002B19EF" w:rsidRDefault="002B19EF" w:rsidP="002B19EF">
      <w:pPr>
        <w:pStyle w:val="Textebrut"/>
      </w:pPr>
      <w:hyperlink r:id="rId80" w:history="1">
        <w:r w:rsidRPr="004D4D4E">
          <w:rPr>
            <w:rStyle w:val="Lienhypertexte"/>
          </w:rPr>
          <w:t>https://www.lemoniteurdespharmacies.fr/therapeutique/vigilances/cannabis-medical-apres-plusieurs-reports-un-calendrier-qui-se-precise</w:t>
        </w:r>
      </w:hyperlink>
    </w:p>
    <w:p w14:paraId="758ED881" w14:textId="77777777" w:rsidR="002B19EF" w:rsidRDefault="002B19EF" w:rsidP="002B19EF">
      <w:pPr>
        <w:pStyle w:val="Textebrut"/>
      </w:pPr>
    </w:p>
    <w:p w14:paraId="6889839B" w14:textId="77777777" w:rsidR="00523A2E" w:rsidRDefault="00523A2E" w:rsidP="00523A2E">
      <w:pPr>
        <w:pStyle w:val="Textebrut"/>
      </w:pPr>
      <w:r w:rsidRPr="00523A2E">
        <w:rPr>
          <w:b/>
          <w:bCs/>
        </w:rPr>
        <w:t>Surveillance de marché des implants mammaires (ANSM, actualisation du 03/04/2026)</w:t>
      </w:r>
    </w:p>
    <w:p w14:paraId="1D8FA811" w14:textId="049597CF" w:rsidR="00523A2E" w:rsidRPr="00523A2E" w:rsidRDefault="00523A2E" w:rsidP="00523A2E">
      <w:pPr>
        <w:pStyle w:val="Textebrut"/>
      </w:pPr>
      <w:r w:rsidRPr="00523A2E">
        <w:t>Bilan de matériovigilance sur les prothèses mammaires – Impact de l’utilisation obligatoire du registre analyse des données de vigilance 2021 – 2024</w:t>
      </w:r>
    </w:p>
    <w:p w14:paraId="7E8ABDE0" w14:textId="77777777" w:rsidR="00523A2E" w:rsidRPr="00523A2E" w:rsidRDefault="00523A2E" w:rsidP="00523A2E">
      <w:pPr>
        <w:pStyle w:val="Textebrut"/>
      </w:pPr>
      <w:hyperlink r:id="rId81" w:history="1">
        <w:r w:rsidRPr="00523A2E">
          <w:rPr>
            <w:rStyle w:val="Lienhypertexte"/>
          </w:rPr>
          <w:t>https://ansm.sante.fr/dossiers-thematiques/surveillance-de-marche-des-implants-mammaires</w:t>
        </w:r>
      </w:hyperlink>
    </w:p>
    <w:p w14:paraId="52D3C0B7" w14:textId="77777777" w:rsidR="002B19EF" w:rsidRDefault="002B19EF" w:rsidP="002B19EF">
      <w:pPr>
        <w:pStyle w:val="Textebrut"/>
      </w:pPr>
    </w:p>
    <w:p w14:paraId="317D1337" w14:textId="77777777" w:rsidR="00003A9F" w:rsidRPr="00003A9F" w:rsidRDefault="00003A9F" w:rsidP="00003A9F">
      <w:pPr>
        <w:pStyle w:val="Textebrut"/>
        <w:rPr>
          <w:b/>
          <w:bCs/>
        </w:rPr>
      </w:pPr>
      <w:r w:rsidRPr="00003A9F">
        <w:rPr>
          <w:b/>
          <w:bCs/>
        </w:rPr>
        <w:t>Avis du HCSP du 06/02/2026 relatif à la mise à signalement obligatoire des cas d’infection invasive à Haemophilus influenzae</w:t>
      </w:r>
    </w:p>
    <w:p w14:paraId="265704BE" w14:textId="77777777" w:rsidR="00003A9F" w:rsidRPr="00003A9F" w:rsidRDefault="00003A9F" w:rsidP="00003A9F">
      <w:pPr>
        <w:pStyle w:val="Textebrut"/>
      </w:pPr>
      <w:hyperlink r:id="rId82" w:history="1">
        <w:r w:rsidRPr="00003A9F">
          <w:rPr>
            <w:rStyle w:val="Lienhypertexte"/>
          </w:rPr>
          <w:t>https://www.hcsp.fr/Explore.cgi/avisrapportsdomaine?clefr=1500</w:t>
        </w:r>
      </w:hyperlink>
    </w:p>
    <w:p w14:paraId="7C33959F" w14:textId="77777777" w:rsidR="00FE6FC3" w:rsidRPr="00FE6FC3" w:rsidRDefault="00FE6FC3" w:rsidP="00FE6FC3">
      <w:pPr>
        <w:pStyle w:val="Textebrut"/>
        <w:rPr>
          <w:b/>
          <w:bCs/>
        </w:rPr>
      </w:pPr>
      <w:r w:rsidRPr="00FE6FC3">
        <w:rPr>
          <w:b/>
          <w:bCs/>
        </w:rPr>
        <w:t>Les infections invasives à Haemophilus influenzae progressent encore (Le Moniteur des pharmacies, 08/04/2026).</w:t>
      </w:r>
    </w:p>
    <w:p w14:paraId="61FFEDD8" w14:textId="77777777" w:rsidR="00FE6FC3" w:rsidRPr="00FE6FC3" w:rsidRDefault="00FE6FC3" w:rsidP="00FE6FC3">
      <w:pPr>
        <w:pStyle w:val="Textebrut"/>
      </w:pPr>
      <w:r w:rsidRPr="00FE6FC3">
        <w:lastRenderedPageBreak/>
        <w:t>Le bilan de surveillance de 2025 de Santé publique France confirme la hausse continue des infections invasives à Haemophilus influenzae en France, avec un signal préoccupant chez les moins de 5 ans et, parmi eux, principalement les nourrissons</w:t>
      </w:r>
    </w:p>
    <w:p w14:paraId="325465B0" w14:textId="77777777" w:rsidR="00FE6FC3" w:rsidRPr="00FE6FC3" w:rsidRDefault="00FE6FC3" w:rsidP="00FE6FC3">
      <w:pPr>
        <w:pStyle w:val="Textebrut"/>
      </w:pPr>
      <w:hyperlink r:id="rId83" w:history="1">
        <w:r w:rsidRPr="00FE6FC3">
          <w:rPr>
            <w:rStyle w:val="Lienhypertexte"/>
          </w:rPr>
          <w:t>https://www.lemoniteurdespharmacies.fr/nouvelles-missions/vaccination/les-infections-invasives-a-haemophilus-influenzae-progressent-encore</w:t>
        </w:r>
      </w:hyperlink>
    </w:p>
    <w:p w14:paraId="31B421FC" w14:textId="77777777" w:rsidR="00523A2E" w:rsidRDefault="00523A2E" w:rsidP="002B19EF">
      <w:pPr>
        <w:pStyle w:val="Textebrut"/>
      </w:pPr>
    </w:p>
    <w:p w14:paraId="4CC05E9E" w14:textId="77777777" w:rsidR="008E3A19" w:rsidRPr="008E3A19" w:rsidRDefault="008E3A19" w:rsidP="008E3A19">
      <w:pPr>
        <w:pStyle w:val="Textebrut"/>
        <w:rPr>
          <w:b/>
          <w:bCs/>
        </w:rPr>
      </w:pPr>
      <w:r w:rsidRPr="008E3A19">
        <w:rPr>
          <w:b/>
          <w:bCs/>
        </w:rPr>
        <w:t>Financiarisation : comment les investisseurs avancent leurs pions jusque dans les facultés de pharmacie (Le Moniteur des pharmacies, 06/04/2026).</w:t>
      </w:r>
    </w:p>
    <w:p w14:paraId="0AFAC01F" w14:textId="77777777" w:rsidR="008E3A19" w:rsidRPr="008E3A19" w:rsidRDefault="008E3A19" w:rsidP="008E3A19">
      <w:pPr>
        <w:pStyle w:val="Textebrut"/>
      </w:pPr>
      <w:r w:rsidRPr="008E3A19">
        <w:t xml:space="preserve">L’offensive des fonds d’investissement dans le secteur officinal n’épargne pas les étudiants en pharmacie. De futurs diplômés se voient ainsi proposer des solutions « clé en main » leur permettant d’acquérir facilement une officine aux perspectives prometteuses. Pour Syrine </w:t>
      </w:r>
      <w:proofErr w:type="spellStart"/>
      <w:r w:rsidRPr="008E3A19">
        <w:t>Ayed</w:t>
      </w:r>
      <w:proofErr w:type="spellEnd"/>
      <w:r w:rsidRPr="008E3A19">
        <w:t>, porte-parole de l’Association nationale des étudiants en pharmacie de France (</w:t>
      </w:r>
      <w:proofErr w:type="spellStart"/>
      <w:r w:rsidRPr="008E3A19">
        <w:t>Anepf</w:t>
      </w:r>
      <w:proofErr w:type="spellEnd"/>
      <w:r w:rsidRPr="008E3A19">
        <w:t>), la formation initiale doit présenter la diversité des modes de financement plus vertueux</w:t>
      </w:r>
    </w:p>
    <w:p w14:paraId="50A92E3E" w14:textId="77777777" w:rsidR="008E3A19" w:rsidRPr="008E3A19" w:rsidRDefault="008E3A19" w:rsidP="008E3A19">
      <w:pPr>
        <w:pStyle w:val="Textebrut"/>
      </w:pPr>
      <w:hyperlink r:id="rId84" w:history="1">
        <w:r w:rsidRPr="008E3A19">
          <w:rPr>
            <w:rStyle w:val="Lienhypertexte"/>
          </w:rPr>
          <w:t>https://www.lemoniteurdespharmacies.fr/profession/socio-professionnel/financiarisation-comment-les-investisseurs-avancent-leurs-pions-jusque-dans-les-facultes-de-pharmacie</w:t>
        </w:r>
      </w:hyperlink>
    </w:p>
    <w:p w14:paraId="00B9376E" w14:textId="77777777" w:rsidR="007C3A68" w:rsidRPr="007C3A68" w:rsidRDefault="007C3A68" w:rsidP="007C3A68">
      <w:pPr>
        <w:pStyle w:val="Textebrut"/>
      </w:pPr>
      <w:r w:rsidRPr="007C3A68">
        <w:rPr>
          <w:b/>
          <w:bCs/>
        </w:rPr>
        <w:t>Financiarisation : les syndicats interviennent dans les facultés face aux investisseurs (Le Moniteur des pharmacies, 07/04/2026).</w:t>
      </w:r>
      <w:r w:rsidRPr="007C3A68">
        <w:t xml:space="preserve"> Article réservé aux abonnés (ou F9).</w:t>
      </w:r>
    </w:p>
    <w:p w14:paraId="5C903573" w14:textId="77777777" w:rsidR="007C3A68" w:rsidRPr="007C3A68" w:rsidRDefault="007C3A68" w:rsidP="007C3A68">
      <w:pPr>
        <w:pStyle w:val="Textebrut"/>
      </w:pPr>
      <w:r w:rsidRPr="007C3A68">
        <w:t>Faute d’une formation économique robuste à l’université, les syndicats officinaux tentent de combler un angle mort devenu stratégique. Interventions en faculté, promotion de modèles de financement alternatifs, plaidoyer pour une refonte pédagogique : la bataille s’engage désormais dès la formation initiale</w:t>
      </w:r>
    </w:p>
    <w:p w14:paraId="235F695A" w14:textId="77777777" w:rsidR="007C3A68" w:rsidRPr="007C3A68" w:rsidRDefault="007C3A68" w:rsidP="007C3A68">
      <w:pPr>
        <w:pStyle w:val="Textebrut"/>
      </w:pPr>
      <w:hyperlink r:id="rId85" w:history="1">
        <w:r w:rsidRPr="007C3A68">
          <w:rPr>
            <w:rStyle w:val="Lienhypertexte"/>
          </w:rPr>
          <w:t>https://www.lemoniteurdespharmacies.fr/profession/socio-professionnel/financiarisation-de-lofficine-les-syndicats-contre-attaquent-sur-le-terrain-de-la-formation</w:t>
        </w:r>
      </w:hyperlink>
    </w:p>
    <w:p w14:paraId="3CC38106" w14:textId="77777777" w:rsidR="00003A9F" w:rsidRDefault="00003A9F" w:rsidP="002B19EF">
      <w:pPr>
        <w:pStyle w:val="Textebrut"/>
      </w:pPr>
    </w:p>
    <w:p w14:paraId="1A430D25" w14:textId="77777777" w:rsidR="00350DA1" w:rsidRPr="00350DA1" w:rsidRDefault="00350DA1" w:rsidP="00350DA1">
      <w:pPr>
        <w:pStyle w:val="Textebrut"/>
        <w:rPr>
          <w:b/>
          <w:bCs/>
        </w:rPr>
      </w:pPr>
      <w:r w:rsidRPr="00350DA1">
        <w:rPr>
          <w:b/>
          <w:bCs/>
        </w:rPr>
        <w:t>La certification périodique en 13 points pratiques (Le Quotidien du pharmacien, 26/03/2026).</w:t>
      </w:r>
    </w:p>
    <w:p w14:paraId="195BFDFD" w14:textId="77777777" w:rsidR="00350DA1" w:rsidRPr="00350DA1" w:rsidRDefault="00350DA1" w:rsidP="00350DA1">
      <w:pPr>
        <w:pStyle w:val="Textebrut"/>
      </w:pPr>
      <w:r w:rsidRPr="00350DA1">
        <w:t>Avec la publication des référentiels, fin février, les pharmaciens ont tous les éléments pour construire leur parcours de certification périodique et répondre à cette obligation. En attendant que la plateforme numérique de suivi soit, elle aussi, opérationnelle… Décryptage</w:t>
      </w:r>
    </w:p>
    <w:p w14:paraId="792B9990" w14:textId="77777777" w:rsidR="00350DA1" w:rsidRPr="00350DA1" w:rsidRDefault="00350DA1" w:rsidP="00350DA1">
      <w:pPr>
        <w:pStyle w:val="Textebrut"/>
      </w:pPr>
      <w:hyperlink r:id="rId86" w:history="1">
        <w:r w:rsidRPr="00350DA1">
          <w:rPr>
            <w:rStyle w:val="Lienhypertexte"/>
          </w:rPr>
          <w:t>https://www.lequotidiendupharmacien.fr/exercice-pro/la-certification-periodique-en-13-points-pratiques</w:t>
        </w:r>
      </w:hyperlink>
    </w:p>
    <w:p w14:paraId="5AE9466A" w14:textId="77777777" w:rsidR="008E3A19" w:rsidRDefault="008E3A19" w:rsidP="002B19EF">
      <w:pPr>
        <w:pStyle w:val="Textebrut"/>
      </w:pPr>
    </w:p>
    <w:p w14:paraId="6E82BB8A" w14:textId="77777777" w:rsidR="00730A8D" w:rsidRPr="00730A8D" w:rsidRDefault="00730A8D" w:rsidP="00730A8D">
      <w:pPr>
        <w:pStyle w:val="Textebrut"/>
        <w:rPr>
          <w:b/>
          <w:bCs/>
        </w:rPr>
      </w:pPr>
      <w:proofErr w:type="spellStart"/>
      <w:r w:rsidRPr="00730A8D">
        <w:rPr>
          <w:b/>
          <w:bCs/>
        </w:rPr>
        <w:t>Ricimed</w:t>
      </w:r>
      <w:proofErr w:type="spellEnd"/>
      <w:r w:rsidRPr="00730A8D">
        <w:rPr>
          <w:b/>
          <w:bCs/>
        </w:rPr>
        <w:t xml:space="preserve"> (antidote des intoxications à la ricine) sort du statut d’AAP avec l’obtention d’une AMM (ANSM, 07/04/2026)</w:t>
      </w:r>
    </w:p>
    <w:p w14:paraId="28618D27" w14:textId="77777777" w:rsidR="00730A8D" w:rsidRPr="00730A8D" w:rsidRDefault="00730A8D" w:rsidP="00730A8D">
      <w:pPr>
        <w:pStyle w:val="Textebrut"/>
      </w:pPr>
      <w:hyperlink r:id="rId87" w:history="1">
        <w:r w:rsidRPr="00730A8D">
          <w:rPr>
            <w:rStyle w:val="Lienhypertexte"/>
          </w:rPr>
          <w:t>https://ansm.sante.fr/tableau-acces-derogatoire/ricimed</w:t>
        </w:r>
      </w:hyperlink>
    </w:p>
    <w:p w14:paraId="664D4F79" w14:textId="77777777" w:rsidR="00350DA1" w:rsidRDefault="00350DA1" w:rsidP="002B19EF">
      <w:pPr>
        <w:pStyle w:val="Textebrut"/>
      </w:pPr>
    </w:p>
    <w:p w14:paraId="734EF6F6" w14:textId="77777777" w:rsidR="00434620" w:rsidRPr="00434620" w:rsidRDefault="00434620" w:rsidP="00434620">
      <w:pPr>
        <w:pStyle w:val="Textebrut"/>
        <w:rPr>
          <w:b/>
          <w:bCs/>
        </w:rPr>
      </w:pPr>
      <w:r w:rsidRPr="00434620">
        <w:rPr>
          <w:b/>
          <w:bCs/>
        </w:rPr>
        <w:t>Cadmium : des dépistages seront bientôt remboursés en laboratoire de ville (Le Monde, 07/04/2026).</w:t>
      </w:r>
    </w:p>
    <w:p w14:paraId="37653667" w14:textId="77777777" w:rsidR="00434620" w:rsidRPr="00434620" w:rsidRDefault="00434620" w:rsidP="00434620">
      <w:pPr>
        <w:pStyle w:val="Textebrut"/>
      </w:pPr>
      <w:r w:rsidRPr="00434620">
        <w:t>Les représentants des biologistes médicaux et l’Assurance-maladie ont trouvé un accord sur le tarif du dépistage de l’exposition à ce métal toxique, auquel les Français sont fortement contaminés</w:t>
      </w:r>
    </w:p>
    <w:p w14:paraId="40E4E1B6" w14:textId="77777777" w:rsidR="00434620" w:rsidRPr="00434620" w:rsidRDefault="00434620" w:rsidP="00434620">
      <w:pPr>
        <w:pStyle w:val="Textebrut"/>
      </w:pPr>
      <w:hyperlink r:id="rId88" w:history="1">
        <w:r w:rsidRPr="00434620">
          <w:rPr>
            <w:rStyle w:val="Lienhypertexte"/>
          </w:rPr>
          <w:t>https://www.lemonde.fr/societe/article/2026/04/07/cadmium-des-depistages-seront-bientot-rembourses-en-laboratoire-de-ville_6677930_3224.html</w:t>
        </w:r>
      </w:hyperlink>
    </w:p>
    <w:p w14:paraId="27B3EA38" w14:textId="77777777" w:rsidR="00434620" w:rsidRPr="00434620" w:rsidRDefault="00434620" w:rsidP="00434620">
      <w:pPr>
        <w:pStyle w:val="Textebrut"/>
      </w:pPr>
    </w:p>
    <w:p w14:paraId="036B3F53" w14:textId="77777777" w:rsidR="007C3A68" w:rsidRPr="007C3A68" w:rsidRDefault="007C3A68" w:rsidP="007C3A68">
      <w:pPr>
        <w:pStyle w:val="Textebrut"/>
      </w:pPr>
      <w:r w:rsidRPr="007C3A68">
        <w:rPr>
          <w:b/>
          <w:bCs/>
        </w:rPr>
        <w:t>Indus en pharmacie : le bras de fer s’intensifie entre l’Assurance maladie et l’officine (Le Moniteur des pharmacies, 07/04/2026).</w:t>
      </w:r>
      <w:r w:rsidRPr="007C3A68">
        <w:t xml:space="preserve"> Article réservé aux abonnés (ou F9).</w:t>
      </w:r>
    </w:p>
    <w:p w14:paraId="44690820" w14:textId="77777777" w:rsidR="007C3A68" w:rsidRPr="007C3A68" w:rsidRDefault="007C3A68" w:rsidP="007C3A68">
      <w:pPr>
        <w:pStyle w:val="Textebrut"/>
      </w:pPr>
      <w:r w:rsidRPr="007C3A68">
        <w:t>Les notifications d’indus se multiplient dans les officines, souvent pour des motifs que les pharmaciens jugent discutables. Les syndicats dénoncent des contrôles plus lourds, des interprétations variables d’une caisse primaire d’assurance maladie à l’autre et un climat de défiance envers la profession. Si l’Assurance maladie a commencé à corriger certaines anomalies, les demandes des représentants officinaux, en particulier sur les médicaments onéreux, restent sans réponse</w:t>
      </w:r>
    </w:p>
    <w:p w14:paraId="0C699D94" w14:textId="77777777" w:rsidR="007C3A68" w:rsidRPr="007C3A68" w:rsidRDefault="007C3A68" w:rsidP="007C3A68">
      <w:pPr>
        <w:pStyle w:val="Textebrut"/>
      </w:pPr>
      <w:hyperlink r:id="rId89" w:history="1">
        <w:r w:rsidRPr="007C3A68">
          <w:rPr>
            <w:rStyle w:val="Lienhypertexte"/>
          </w:rPr>
          <w:t>https://www.lemoniteurdespharmacies.fr/profession/socio-professionnel/indus-le-bras-de-fer-est-engage</w:t>
        </w:r>
      </w:hyperlink>
    </w:p>
    <w:p w14:paraId="5AA5478A" w14:textId="77777777" w:rsidR="00730A8D" w:rsidRDefault="00730A8D" w:rsidP="002B19EF">
      <w:pPr>
        <w:pStyle w:val="Textebrut"/>
      </w:pPr>
    </w:p>
    <w:p w14:paraId="711FD7FA" w14:textId="77777777" w:rsidR="00901DCA" w:rsidRPr="00901DCA" w:rsidRDefault="00901DCA" w:rsidP="00901DCA">
      <w:pPr>
        <w:pStyle w:val="Textebrut"/>
        <w:rPr>
          <w:b/>
          <w:bCs/>
        </w:rPr>
      </w:pPr>
      <w:r w:rsidRPr="00901DCA">
        <w:rPr>
          <w:b/>
          <w:bCs/>
        </w:rPr>
        <w:t>Remboursements de soins à fin février 2026 (ameli.fr, 08/04/2026).</w:t>
      </w:r>
    </w:p>
    <w:p w14:paraId="6DAD76E5" w14:textId="77777777" w:rsidR="00901DCA" w:rsidRPr="00901DCA" w:rsidRDefault="00901DCA" w:rsidP="00901DCA">
      <w:pPr>
        <w:pStyle w:val="Textebrut"/>
      </w:pPr>
      <w:r w:rsidRPr="00901DCA">
        <w:t>Les remboursements de soins du régime général évoluent de +4,4% sur les douze derniers mois</w:t>
      </w:r>
    </w:p>
    <w:p w14:paraId="32B730BE" w14:textId="77777777" w:rsidR="00901DCA" w:rsidRPr="00901DCA" w:rsidRDefault="00901DCA" w:rsidP="00901DCA">
      <w:pPr>
        <w:pStyle w:val="Textebrut"/>
      </w:pPr>
      <w:hyperlink r:id="rId90" w:history="1">
        <w:r w:rsidRPr="00901DCA">
          <w:rPr>
            <w:rStyle w:val="Lienhypertexte"/>
          </w:rPr>
          <w:t>https://www.assurance-maladie.ameli.fr/presse/2026-04-08-cp-depenses-fin-fevrier-2026</w:t>
        </w:r>
      </w:hyperlink>
    </w:p>
    <w:p w14:paraId="6B62BA91" w14:textId="77777777" w:rsidR="007C3A68" w:rsidRDefault="007C3A68" w:rsidP="002B19EF">
      <w:pPr>
        <w:pStyle w:val="Textebrut"/>
      </w:pPr>
    </w:p>
    <w:p w14:paraId="6F936C75" w14:textId="77777777" w:rsidR="00901DCA" w:rsidRPr="00901DCA" w:rsidRDefault="00901DCA" w:rsidP="00901DCA">
      <w:pPr>
        <w:pStyle w:val="Textebrut"/>
        <w:rPr>
          <w:b/>
          <w:bCs/>
        </w:rPr>
      </w:pPr>
      <w:r w:rsidRPr="00901DCA">
        <w:rPr>
          <w:b/>
          <w:bCs/>
        </w:rPr>
        <w:lastRenderedPageBreak/>
        <w:t>Avenant à la convention pharmaceutique : un accord pour préserver le maillage officinal dans les territoires fragiles (ameli.fr, 08/04/2026).</w:t>
      </w:r>
    </w:p>
    <w:p w14:paraId="05B4A610" w14:textId="77777777" w:rsidR="00901DCA" w:rsidRPr="00901DCA" w:rsidRDefault="00901DCA" w:rsidP="00901DCA">
      <w:pPr>
        <w:pStyle w:val="Textebrut"/>
      </w:pPr>
      <w:r w:rsidRPr="00901DCA">
        <w:t>L’Union Nationale des Caisses d’Assurance Maladie, l'Union Nationale des Organismes Complémentaires d'Assurance Maladie, la Fédération des Syndicats Pharmaceutiques de France, et l'Union des syndicats de pharmaciens d’officine ont signé mardi 7 avril le 2ème avenant à la convention pharmaceutique. Cet avenant traduit la volonté commune des partenaires conventionnels de préserver le maillage territorial officinal et maintenir une offre pharmaceutique suffisante pour les assurés résidant dans des territoires fragiles</w:t>
      </w:r>
    </w:p>
    <w:p w14:paraId="7E537A77" w14:textId="77777777" w:rsidR="00901DCA" w:rsidRPr="00901DCA" w:rsidRDefault="00901DCA" w:rsidP="00901DCA">
      <w:pPr>
        <w:pStyle w:val="Textebrut"/>
      </w:pPr>
      <w:hyperlink r:id="rId91" w:history="1">
        <w:r w:rsidRPr="00901DCA">
          <w:rPr>
            <w:rStyle w:val="Lienhypertexte"/>
          </w:rPr>
          <w:t>https://www.assurance-maladie.ameli.fr/presse/2026-04-08-cp-avenant-pharmaciens</w:t>
        </w:r>
      </w:hyperlink>
    </w:p>
    <w:p w14:paraId="392A6EDD" w14:textId="77777777" w:rsidR="00944447" w:rsidRPr="00944447" w:rsidRDefault="00944447" w:rsidP="00944447">
      <w:pPr>
        <w:pStyle w:val="Textebrut"/>
        <w:rPr>
          <w:b/>
          <w:bCs/>
        </w:rPr>
      </w:pPr>
      <w:r w:rsidRPr="00944447">
        <w:rPr>
          <w:b/>
          <w:bCs/>
        </w:rPr>
        <w:t>L’avenant n° 2 est signé : que faut-il en retenir ? (Le Quotidien du pharmacien, 08/04/2026).</w:t>
      </w:r>
    </w:p>
    <w:p w14:paraId="2BEBE822" w14:textId="77777777" w:rsidR="00944447" w:rsidRPr="00944447" w:rsidRDefault="00944447" w:rsidP="00944447">
      <w:pPr>
        <w:pStyle w:val="Textebrut"/>
      </w:pPr>
      <w:r w:rsidRPr="00944447">
        <w:t>Les présidents des syndicats représentatifs de la profession et l’assurance-maladie ont signé le 7 avril l’avenant conventionnel n° 2 à la convention pharmaceutique. Un accord qui va notamment permettre à davantage de pharmacies de bénéficier de l’aide conventionnelle de 20 000 euros par an, initialement prévue pour les officines situées dans des territoires fragiles et qui n’avait été débloquée que pour une centaine d’entre elles jusqu’à présent. Cet accord fait également office de point de départ à des négociations structurelles qui doivent permettre de définir un nouveau modèle de rémunération pour le réseau</w:t>
      </w:r>
    </w:p>
    <w:p w14:paraId="14351DA5" w14:textId="77777777" w:rsidR="00944447" w:rsidRPr="00944447" w:rsidRDefault="00944447" w:rsidP="00944447">
      <w:pPr>
        <w:pStyle w:val="Textebrut"/>
      </w:pPr>
      <w:hyperlink r:id="rId92" w:history="1">
        <w:r w:rsidRPr="00944447">
          <w:rPr>
            <w:rStyle w:val="Lienhypertexte"/>
          </w:rPr>
          <w:t>https://www.lequotidiendupharmacien.fr/exercice-pro/politique-de-sante/lavenant-ndeg-2-est-signe-que-faut-il-en-retenir</w:t>
        </w:r>
      </w:hyperlink>
    </w:p>
    <w:p w14:paraId="5CDABCA5" w14:textId="77777777" w:rsidR="00901DCA" w:rsidRDefault="00901DCA" w:rsidP="002B19EF">
      <w:pPr>
        <w:pStyle w:val="Textebrut"/>
      </w:pPr>
    </w:p>
    <w:p w14:paraId="1D21625B" w14:textId="77777777" w:rsidR="005F18A7" w:rsidRPr="005F18A7" w:rsidRDefault="005F18A7" w:rsidP="005F18A7">
      <w:pPr>
        <w:pStyle w:val="Textebrut"/>
        <w:rPr>
          <w:b/>
          <w:bCs/>
        </w:rPr>
      </w:pPr>
      <w:r w:rsidRPr="005F18A7">
        <w:rPr>
          <w:b/>
          <w:bCs/>
        </w:rPr>
        <w:t>Des mesures pour prévenir les risques liés aux compléments alimentaires (Le Quotidien du pharmacien, 09/04/2026).</w:t>
      </w:r>
    </w:p>
    <w:p w14:paraId="24C6F0C3" w14:textId="77777777" w:rsidR="005F18A7" w:rsidRPr="005F18A7" w:rsidRDefault="005F18A7" w:rsidP="005F18A7">
      <w:pPr>
        <w:pStyle w:val="Textebrut"/>
      </w:pPr>
      <w:r w:rsidRPr="005F18A7">
        <w:t>Dans son cinquième Programme national nutrition santé (PNNS 5) qui vient d’être publié, le ministère de la Santé veut améliorer l’apport nutritionnel en vitamine B9 des femmes enceintes et des nouveau-nés, favoriser l’allaitement maternel ou encore lutter contre la dénutrition des seniors. Pour les cinq prochaines années, il prévoit aussi de s’appuyer sur les professionnels de santé pour sécuriser l’utilisation des compléments alimentaires</w:t>
      </w:r>
    </w:p>
    <w:p w14:paraId="7F0F290D" w14:textId="77777777" w:rsidR="005F18A7" w:rsidRPr="005F18A7" w:rsidRDefault="005F18A7" w:rsidP="005F18A7">
      <w:pPr>
        <w:pStyle w:val="Textebrut"/>
      </w:pPr>
      <w:hyperlink r:id="rId93" w:history="1">
        <w:r w:rsidRPr="005F18A7">
          <w:rPr>
            <w:rStyle w:val="Lienhypertexte"/>
          </w:rPr>
          <w:t>https://www.lequotidiendupharmacien.fr/exercice-pro/des-mesures-pour-prevenir-les-risques-lies-aux-complements-alimentaires</w:t>
        </w:r>
      </w:hyperlink>
    </w:p>
    <w:p w14:paraId="56EBA9F3" w14:textId="77777777" w:rsidR="00944447" w:rsidRDefault="00944447" w:rsidP="002B19EF">
      <w:pPr>
        <w:pStyle w:val="Textebrut"/>
      </w:pPr>
    </w:p>
    <w:p w14:paraId="5EB35D24" w14:textId="77777777" w:rsidR="00C61D19" w:rsidRPr="00C61D19" w:rsidRDefault="00C61D19" w:rsidP="00C61D19">
      <w:pPr>
        <w:pStyle w:val="Textebrut"/>
        <w:rPr>
          <w:b/>
          <w:bCs/>
        </w:rPr>
      </w:pPr>
      <w:r w:rsidRPr="00C61D19">
        <w:rPr>
          <w:b/>
          <w:bCs/>
        </w:rPr>
        <w:t>Bilan synthétique des actions menées en santé humaine en 2025 dans le cadre de la stratégie nationale de prévention des infections et de l'antibiorésistance (CNOP, 09/04/2026).</w:t>
      </w:r>
    </w:p>
    <w:p w14:paraId="2209157B" w14:textId="77777777" w:rsidR="00C61D19" w:rsidRPr="00C61D19" w:rsidRDefault="00C61D19" w:rsidP="00C61D19">
      <w:pPr>
        <w:pStyle w:val="Textebrut"/>
      </w:pPr>
      <w:r w:rsidRPr="00C61D19">
        <w:t>La stratégie nationale de prévention des infections et de l’antibiorésistance (SNPIA) en santé humaine constitue la déclinaison opérationnelle en santé humaine de la feuille de route interministérielle « Prévention et réduction de l’antibiorésistance, lutte contre la résistance aux antimicrobiens » 2024-2034. Un rapport synthétique propose une revue des principales actions menées au cours de l’année 2025</w:t>
      </w:r>
    </w:p>
    <w:p w14:paraId="5189DCA2" w14:textId="77777777" w:rsidR="00C61D19" w:rsidRPr="00C61D19" w:rsidRDefault="00C61D19" w:rsidP="00C61D19">
      <w:pPr>
        <w:pStyle w:val="Textebrut"/>
      </w:pPr>
      <w:hyperlink r:id="rId94" w:history="1">
        <w:r w:rsidRPr="00C61D19">
          <w:rPr>
            <w:rStyle w:val="Lienhypertexte"/>
          </w:rPr>
          <w:t>https://www.ordre.pharmacien.fr/les-communications/focus-sur/les-actualites/bilan-synthetique-des-actions-menees-en-sante-humaine-en-2025-dans-le-cadre-de-la-strategie-nationale-de-prevention-des-infections-et-de-l-antibior</w:t>
        </w:r>
      </w:hyperlink>
    </w:p>
    <w:p w14:paraId="7EF4368C" w14:textId="77777777" w:rsidR="005F18A7" w:rsidRDefault="005F18A7" w:rsidP="002B19EF">
      <w:pPr>
        <w:pStyle w:val="Textebrut"/>
      </w:pPr>
    </w:p>
    <w:p w14:paraId="3983106C" w14:textId="77777777" w:rsidR="000F5F1A" w:rsidRPr="000F5F1A" w:rsidRDefault="000F5F1A" w:rsidP="000F5F1A">
      <w:pPr>
        <w:pStyle w:val="Textebrut"/>
        <w:rPr>
          <w:b/>
          <w:bCs/>
        </w:rPr>
      </w:pPr>
      <w:r w:rsidRPr="000F5F1A">
        <w:rPr>
          <w:b/>
          <w:bCs/>
        </w:rPr>
        <w:t>MISP n°2026_06 du 09/04/2026 : Préparation de la campagne de vaccination contre la grippe saisonnière 2026-2027</w:t>
      </w:r>
    </w:p>
    <w:p w14:paraId="7419DB2B" w14:textId="77777777" w:rsidR="000F5F1A" w:rsidRPr="000F5F1A" w:rsidRDefault="000F5F1A" w:rsidP="000F5F1A">
      <w:pPr>
        <w:pStyle w:val="Textebrut"/>
      </w:pPr>
      <w:hyperlink r:id="rId95" w:history="1">
        <w:r w:rsidRPr="000F5F1A">
          <w:rPr>
            <w:rStyle w:val="Lienhypertexte"/>
          </w:rPr>
          <w:t>https://sante.gouv.fr/IMG/pdf/misp_no2026_06_preparation_campagne_de_vaccination_grippe_saisonniere.pdf</w:t>
        </w:r>
      </w:hyperlink>
    </w:p>
    <w:p w14:paraId="7AC4F436" w14:textId="77777777" w:rsidR="00C61D19" w:rsidRDefault="00C61D19" w:rsidP="002B19EF">
      <w:pPr>
        <w:pStyle w:val="Textebrut"/>
      </w:pPr>
    </w:p>
    <w:p w14:paraId="25DFD5D1" w14:textId="77777777" w:rsidR="00051500" w:rsidRPr="00051500" w:rsidRDefault="00051500" w:rsidP="00051500">
      <w:pPr>
        <w:pStyle w:val="Textebrut"/>
        <w:rPr>
          <w:b/>
          <w:bCs/>
        </w:rPr>
      </w:pPr>
      <w:r w:rsidRPr="00051500">
        <w:rPr>
          <w:b/>
          <w:bCs/>
        </w:rPr>
        <w:t>Carine Wolf-Thal : « Supprimer l’échelon régional de l’Ordre des pharmaciens serait un contresens pour la santé publique » (Le Moniteur des pharmacies, 09/04/2026). Article réservé aux abonnés (ou F9).</w:t>
      </w:r>
    </w:p>
    <w:p w14:paraId="171A7025" w14:textId="77777777" w:rsidR="00051500" w:rsidRPr="00051500" w:rsidRDefault="00051500" w:rsidP="00051500">
      <w:pPr>
        <w:pStyle w:val="Textebrut"/>
      </w:pPr>
      <w:r w:rsidRPr="00051500">
        <w:t>Après les révélations du Canard enchaîné concernant un rapport confidentiel de l’Inspection générale des finances, le Conseil national de l’Ordre des pharmaciens traverse une séquence sous tension. Gouvernance, organisation territoriale, gestion : plusieurs dimensions de son fonctionnement se trouvent questionnées. Sa présidente, Carine Wolf-Thal, réfute une interprétation qu’elle estime incomplète et revendique un modèle construit autour de la proximité. Les conseils régionaux de l’Ordre des pharmaciens disposent-ils d’une réelle autonomie décisionnelle, ou leur action reste-t-elle étroitement encadrée au niveau national ?</w:t>
      </w:r>
    </w:p>
    <w:p w14:paraId="6C4CFE46" w14:textId="77777777" w:rsidR="00051500" w:rsidRPr="00051500" w:rsidRDefault="00051500" w:rsidP="00051500">
      <w:pPr>
        <w:pStyle w:val="Textebrut"/>
      </w:pPr>
      <w:hyperlink r:id="rId96" w:history="1">
        <w:r w:rsidRPr="00051500">
          <w:rPr>
            <w:rStyle w:val="Lienhypertexte"/>
          </w:rPr>
          <w:t>https://www.lemoniteurdespharmacies.fr/profession/socio-professionnel/carine-wolf-thal-supprimer-lechelon-regional-de-lordre-serait-un-contresens-pour-la-sante-publique</w:t>
        </w:r>
      </w:hyperlink>
    </w:p>
    <w:p w14:paraId="047022AC" w14:textId="77777777" w:rsidR="000F5F1A" w:rsidRDefault="000F5F1A" w:rsidP="002B19EF">
      <w:pPr>
        <w:pStyle w:val="Textebrut"/>
      </w:pPr>
    </w:p>
    <w:p w14:paraId="782D1D36" w14:textId="77777777" w:rsidR="00B8089B" w:rsidRPr="00B8089B" w:rsidRDefault="00B8089B" w:rsidP="00B8089B">
      <w:pPr>
        <w:pStyle w:val="Textebrut"/>
        <w:rPr>
          <w:b/>
          <w:bCs/>
        </w:rPr>
      </w:pPr>
      <w:r w:rsidRPr="00B8089B">
        <w:rPr>
          <w:b/>
          <w:bCs/>
        </w:rPr>
        <w:t>Risque de troubles du neurodéveloppement - Valproate chez le père : que penser des récentes études contradictoires ? (Le Quotidien du pharmacien, 09/04/2026).</w:t>
      </w:r>
    </w:p>
    <w:p w14:paraId="75C6A610" w14:textId="77777777" w:rsidR="00B8089B" w:rsidRPr="00B8089B" w:rsidRDefault="00B8089B" w:rsidP="00B8089B">
      <w:pPr>
        <w:pStyle w:val="Textebrut"/>
      </w:pPr>
      <w:r w:rsidRPr="00B8089B">
        <w:t>Alors que des études, dont la française d’Epi-Phare, ont montré un risque de troubles du neurodéveloppement en cas d’exposition paternelle au valproate, d’autres, dont deux récentes, ne retrouvent pas ce signal. Des résultats à interpréter avec circonspection au vu de la puissance statistique</w:t>
      </w:r>
    </w:p>
    <w:p w14:paraId="60DDA0FB" w14:textId="77777777" w:rsidR="00B8089B" w:rsidRPr="00B8089B" w:rsidRDefault="00B8089B" w:rsidP="00B8089B">
      <w:pPr>
        <w:pStyle w:val="Textebrut"/>
      </w:pPr>
      <w:hyperlink r:id="rId97" w:history="1">
        <w:r w:rsidRPr="00B8089B">
          <w:rPr>
            <w:rStyle w:val="Lienhypertexte"/>
          </w:rPr>
          <w:t>https://www.lequotidiendupharmacien.fr/formation/specialites-medicales/neurologie/valproate-chez-le-pere-que-penser-des-recentes-etudes-contradictoires</w:t>
        </w:r>
      </w:hyperlink>
    </w:p>
    <w:p w14:paraId="4A52DEC8" w14:textId="77777777" w:rsidR="00B8089B" w:rsidRDefault="00B8089B" w:rsidP="002B19EF">
      <w:pPr>
        <w:pStyle w:val="Textebrut"/>
      </w:pPr>
    </w:p>
    <w:p w14:paraId="7A8833C4" w14:textId="77777777" w:rsidR="00B8089B" w:rsidRPr="00B8089B" w:rsidRDefault="00B8089B" w:rsidP="00B8089B">
      <w:pPr>
        <w:pStyle w:val="Textebrut"/>
        <w:rPr>
          <w:b/>
          <w:bCs/>
        </w:rPr>
      </w:pPr>
      <w:r w:rsidRPr="00B8089B">
        <w:rPr>
          <w:b/>
          <w:bCs/>
        </w:rPr>
        <w:t>Antiparkinsoniens : les troubles du contrôle des impulsions, des effets secondaires sous-estimés (Le Quotidien du pharmacien, 10/04/2026).</w:t>
      </w:r>
    </w:p>
    <w:p w14:paraId="5636D386" w14:textId="77777777" w:rsidR="00B8089B" w:rsidRPr="00B8089B" w:rsidRDefault="00B8089B" w:rsidP="00B8089B">
      <w:pPr>
        <w:pStyle w:val="Textebrut"/>
      </w:pPr>
      <w:r w:rsidRPr="00B8089B">
        <w:t>Surconsommation alimentaire, hypersexualité, hyperactivité, achats compulsifs… Les effets indésirables des traitements contre la maladie de Parkinson, identifiés comme des troubles du contrôle des impulsions (TCI), sont « sous-estimés » dans leur ampleur et « insuffisamment pris en charge » dans l’ajustement du traitement, rappelle l’association France Parkinson à l’occasion de la Journée mondiale de la maladie, le 11 avril</w:t>
      </w:r>
    </w:p>
    <w:p w14:paraId="7EA57F41" w14:textId="105D961F" w:rsidR="00B8089B" w:rsidRDefault="00B8089B" w:rsidP="00B8089B">
      <w:pPr>
        <w:pStyle w:val="Textebrut"/>
      </w:pPr>
      <w:hyperlink r:id="rId98" w:history="1">
        <w:r w:rsidRPr="00B8089B">
          <w:rPr>
            <w:rStyle w:val="Lienhypertexte"/>
          </w:rPr>
          <w:t>https://www.lequotidiendupharmacien.fr/exercice-pro/antiparkinsoniens-les-troubles-du-controle-des-impulsions-des-effets-secondaires-sous-estimes</w:t>
        </w:r>
      </w:hyperlink>
    </w:p>
    <w:p w14:paraId="4EA3D201" w14:textId="77777777" w:rsidR="00B8089B" w:rsidRDefault="00B8089B" w:rsidP="00B8089B">
      <w:pPr>
        <w:pStyle w:val="Textebrut"/>
      </w:pPr>
    </w:p>
    <w:p w14:paraId="1703583F" w14:textId="77777777" w:rsidR="000B479E" w:rsidRPr="000B479E" w:rsidRDefault="000B479E" w:rsidP="000B479E">
      <w:pPr>
        <w:pStyle w:val="Textebrut"/>
        <w:rPr>
          <w:b/>
          <w:bCs/>
        </w:rPr>
      </w:pPr>
      <w:r w:rsidRPr="000B479E">
        <w:rPr>
          <w:b/>
          <w:bCs/>
        </w:rPr>
        <w:t>Ordre des pharmaciens : les syndicats demandent une baisse des cotisations et défendent l’échelon régional (Le Moniteur des pharmacies, 11/04/2026).</w:t>
      </w:r>
    </w:p>
    <w:p w14:paraId="765D378F" w14:textId="77777777" w:rsidR="000B479E" w:rsidRPr="000B479E" w:rsidRDefault="000B479E" w:rsidP="000B479E">
      <w:pPr>
        <w:pStyle w:val="Textebrut"/>
      </w:pPr>
      <w:r w:rsidRPr="000B479E">
        <w:t>Ébruité dans le Canard enchaîné le 8 avril, un rapport de l’Inspection générale des finances (IGF) critique les pratiques disciplinaires du Conseil national de l’ordre des pharmaciens (</w:t>
      </w:r>
      <w:proofErr w:type="spellStart"/>
      <w:r w:rsidRPr="000B479E">
        <w:t>Cnop</w:t>
      </w:r>
      <w:proofErr w:type="spellEnd"/>
      <w:r w:rsidRPr="000B479E">
        <w:t>) ainsi que son budget, jugé trop élevé. Pour les syndicats, l’instance ordinale devrait alléger les cotisations des pharmaciens titulaires</w:t>
      </w:r>
    </w:p>
    <w:p w14:paraId="71295E82" w14:textId="77777777" w:rsidR="000B479E" w:rsidRPr="000B479E" w:rsidRDefault="000B479E" w:rsidP="000B479E">
      <w:pPr>
        <w:pStyle w:val="Textebrut"/>
      </w:pPr>
      <w:hyperlink r:id="rId99" w:history="1">
        <w:r w:rsidRPr="000B479E">
          <w:rPr>
            <w:rStyle w:val="Lienhypertexte"/>
          </w:rPr>
          <w:t>https://www.lemoniteurdespharmacies.fr/profession/socio-professionnel/ordre-des-pharmaciens-apres-le-rapport-de-ligf-les-syndicats-exigent-des-cotisations-en-baisse-et-defendent-lechelon-regional</w:t>
        </w:r>
      </w:hyperlink>
    </w:p>
    <w:p w14:paraId="09DB7ECB" w14:textId="77777777" w:rsidR="00051500" w:rsidRDefault="00051500" w:rsidP="002B19EF">
      <w:pPr>
        <w:pStyle w:val="Textebrut"/>
      </w:pPr>
    </w:p>
    <w:p w14:paraId="129D0EB5" w14:textId="77777777" w:rsidR="000B479E" w:rsidRPr="000B479E" w:rsidRDefault="000B479E" w:rsidP="000B479E">
      <w:pPr>
        <w:pStyle w:val="Textebrut"/>
      </w:pPr>
      <w:r w:rsidRPr="000B479E">
        <w:rPr>
          <w:b/>
          <w:bCs/>
        </w:rPr>
        <w:t>HAS et ANSM : ce qu’une fusion pourrait changer pour l’accès aux médicaments (Le Moniteur des pharmacies, 10/04/2026).</w:t>
      </w:r>
      <w:r w:rsidRPr="000B479E">
        <w:t xml:space="preserve"> Article réservé aux abonnés (ou F9).</w:t>
      </w:r>
    </w:p>
    <w:p w14:paraId="2E49F12C" w14:textId="77777777" w:rsidR="000B479E" w:rsidRPr="000B479E" w:rsidRDefault="000B479E" w:rsidP="000B479E">
      <w:pPr>
        <w:pStyle w:val="Textebrut"/>
      </w:pPr>
      <w:r w:rsidRPr="000B479E">
        <w:t>Une mission confiée à l’Inspection générale des affaires sociales relance le débat : faut-il fusionner la Haute Autorité de santé et l’Agence nationale de sécurité du médicament et des produits de santé ? L’exécutif souhaite gagner en efficacité et en lisibilité. France Assos Santé craint, au contraire, un manque de lisibilité dans la manière dont la France décide qu’un médicament est non seulement sûr, mais aussi utile et finançable</w:t>
      </w:r>
    </w:p>
    <w:p w14:paraId="65B60065" w14:textId="77777777" w:rsidR="000B479E" w:rsidRPr="000B479E" w:rsidRDefault="000B479E" w:rsidP="000B479E">
      <w:pPr>
        <w:pStyle w:val="Textebrut"/>
      </w:pPr>
      <w:hyperlink r:id="rId100" w:history="1">
        <w:r w:rsidRPr="000B479E">
          <w:rPr>
            <w:rStyle w:val="Lienhypertexte"/>
          </w:rPr>
          <w:t>https://www.lemoniteurdespharmacies.fr/profession/socio-professionnel/fusion-has-ansm-ce-que-cela-pourrait-changer-pour-lacces-aux-medicaments</w:t>
        </w:r>
      </w:hyperlink>
    </w:p>
    <w:p w14:paraId="31EA6794" w14:textId="77777777" w:rsidR="000B479E" w:rsidRDefault="000B479E" w:rsidP="002B19EF">
      <w:pPr>
        <w:pStyle w:val="Textebrut"/>
      </w:pPr>
    </w:p>
    <w:p w14:paraId="1E0EC9AA" w14:textId="37A07614" w:rsidR="009C1CF9" w:rsidRPr="009C1CF9" w:rsidRDefault="009C1CF9" w:rsidP="009C1CF9">
      <w:pPr>
        <w:pStyle w:val="Textebrut"/>
        <w:rPr>
          <w:b/>
          <w:bCs/>
        </w:rPr>
      </w:pPr>
      <w:r w:rsidRPr="009C1CF9">
        <w:rPr>
          <w:b/>
          <w:bCs/>
        </w:rPr>
        <w:t>Substitution des dispositifs médicaux : un syndicat interpelle les autorités de santé</w:t>
      </w:r>
      <w:r>
        <w:rPr>
          <w:b/>
          <w:bCs/>
        </w:rPr>
        <w:t xml:space="preserve"> (Le Quotidien du pharmacien, 13/04/2026).</w:t>
      </w:r>
    </w:p>
    <w:p w14:paraId="57FEAF87" w14:textId="35103D69" w:rsidR="000B479E" w:rsidRDefault="009C1CF9" w:rsidP="000B479E">
      <w:pPr>
        <w:pStyle w:val="Textebrut"/>
      </w:pPr>
      <w:r w:rsidRPr="009C1CF9">
        <w:t>Trois ans après son inscription dans la loi de financement de la sécurité Sociale (LFSS) pour 2023, la substitution des dispositifs médicaux par le pharmacien est enfin en passe de se concrétiser avec la publication à venir des textes d’application l’officialisant. Problème, ces mêmes textes, tels qu’envisagés pour le moment, risquent de « restreindre, voire de neutraliser, la portée de la loi », dénonce l’Union des syndicats de pharmaciens d’officine (USPO), qui appelle la ministre de la Santé et le président de la Haute Autorité de santé (HAS) à rectifier le tir</w:t>
      </w:r>
      <w:hyperlink r:id="rId101" w:history="1"/>
    </w:p>
    <w:p w14:paraId="30CA8905" w14:textId="1DB4F77C" w:rsidR="009C1CF9" w:rsidRDefault="009C1CF9" w:rsidP="000B479E">
      <w:pPr>
        <w:pStyle w:val="Textebrut"/>
      </w:pPr>
      <w:hyperlink r:id="rId102" w:history="1">
        <w:r w:rsidRPr="00115A30">
          <w:rPr>
            <w:rStyle w:val="Lienhypertexte"/>
          </w:rPr>
          <w:t>https://www.lequotidiendupharmacien.fr/exercice-pro/politique-de-sante/substitution-des-dispositifs-medicaux-un-syndicat-interpelle-les-autorites-de-sante</w:t>
        </w:r>
      </w:hyperlink>
    </w:p>
    <w:p w14:paraId="7B82D163" w14:textId="77777777" w:rsidR="000B479E" w:rsidRDefault="000B479E" w:rsidP="000B479E">
      <w:pPr>
        <w:pStyle w:val="Textebrut"/>
      </w:pPr>
    </w:p>
    <w:p w14:paraId="4489FB40" w14:textId="77777777" w:rsidR="00BB7CED" w:rsidRPr="00BB7CED" w:rsidRDefault="00BB7CED" w:rsidP="00BB7CED">
      <w:pPr>
        <w:pStyle w:val="Textebrut"/>
        <w:rPr>
          <w:b/>
          <w:bCs/>
        </w:rPr>
      </w:pPr>
      <w:r w:rsidRPr="00BB7CED">
        <w:rPr>
          <w:b/>
          <w:bCs/>
        </w:rPr>
        <w:t>Campagne de vaccination mars - juin 2025 contre les IIM B (ARS Bretagne, RESE, avril 2026)</w:t>
      </w:r>
    </w:p>
    <w:p w14:paraId="7C78AC26" w14:textId="77777777" w:rsidR="00BB7CED" w:rsidRPr="00BB7CED" w:rsidRDefault="00BB7CED" w:rsidP="00BB7CED">
      <w:pPr>
        <w:pStyle w:val="Textebrut"/>
      </w:pPr>
      <w:hyperlink r:id="rId103" w:history="1">
        <w:r w:rsidRPr="00BB7CED">
          <w:rPr>
            <w:rStyle w:val="Lienhypertexte"/>
          </w:rPr>
          <w:t>https://rese.intranet.sante.gouv.fr/santenv/patho/iim/arsbreta.htm</w:t>
        </w:r>
      </w:hyperlink>
    </w:p>
    <w:p w14:paraId="12E01B68" w14:textId="77777777" w:rsidR="000B479E" w:rsidRDefault="000B479E" w:rsidP="000B479E">
      <w:pPr>
        <w:pStyle w:val="Textebrut"/>
      </w:pPr>
    </w:p>
    <w:p w14:paraId="46755E4C" w14:textId="77777777" w:rsidR="007424C2" w:rsidRDefault="007424C2" w:rsidP="000B479E">
      <w:pPr>
        <w:pStyle w:val="Textebrut"/>
      </w:pPr>
    </w:p>
    <w:p w14:paraId="23E382D8" w14:textId="77777777" w:rsidR="007424C2" w:rsidRDefault="007424C2" w:rsidP="000B479E">
      <w:pPr>
        <w:pStyle w:val="Textebrut"/>
      </w:pPr>
    </w:p>
    <w:p w14:paraId="0DE24DB4" w14:textId="380871B2" w:rsidR="00BB7CED" w:rsidRPr="00DF5E53" w:rsidRDefault="00DF5E53" w:rsidP="000B479E">
      <w:pPr>
        <w:pStyle w:val="Textebrut"/>
        <w:rPr>
          <w:b/>
          <w:bCs/>
        </w:rPr>
      </w:pPr>
      <w:r w:rsidRPr="00DF5E53">
        <w:rPr>
          <w:b/>
          <w:bCs/>
        </w:rPr>
        <w:lastRenderedPageBreak/>
        <w:t>Organisation du circuit pharmaceutique des MTI en France : vers une lecture capacitaire. Une enquête de pratiques de la Société française de pharmacie oncologique (SFPO) (Annales pharmaceutiques françaises, 28/02/2026).</w:t>
      </w:r>
    </w:p>
    <w:p w14:paraId="5F1A3149" w14:textId="0A75AB26" w:rsidR="00DF5E53" w:rsidRDefault="00DF5E53" w:rsidP="000B479E">
      <w:pPr>
        <w:pStyle w:val="Textebrut"/>
      </w:pPr>
      <w:r w:rsidRPr="00DF5E53">
        <w:t>Les médicaments de thérapie innovante (MTI) sont des médicaments biologiques complexes associés à des contraintes spécifiques de manipulation, de conservation et de sécurisation du circuit pharmaceutique. Cette étude vise à décrire l’organisation actuelle du circuit pharmaceutique hospitalier des MTI en France et à analyser les déterminants humains, organisationnels et capacitaires conditionnant sa soutenabilité dans un contexte de croissance rapide de l’activité</w:t>
      </w:r>
    </w:p>
    <w:p w14:paraId="3FD58ED0" w14:textId="57D90841" w:rsidR="000B479E" w:rsidRDefault="00DF5E53" w:rsidP="002B19EF">
      <w:pPr>
        <w:pStyle w:val="Textebrut"/>
      </w:pPr>
      <w:hyperlink r:id="rId104" w:history="1">
        <w:r w:rsidRPr="00115A30">
          <w:rPr>
            <w:rStyle w:val="Lienhypertexte"/>
          </w:rPr>
          <w:t>https://www.sciencedirect.com/science/article/abs/pii/S0003450926000349</w:t>
        </w:r>
      </w:hyperlink>
    </w:p>
    <w:p w14:paraId="7A780BA3" w14:textId="77777777" w:rsidR="00DF5E53" w:rsidRDefault="00DF5E53" w:rsidP="002B19EF">
      <w:pPr>
        <w:pStyle w:val="Textebrut"/>
      </w:pPr>
    </w:p>
    <w:p w14:paraId="18C26735" w14:textId="77777777" w:rsidR="004F05C8" w:rsidRPr="004F05C8" w:rsidRDefault="004F05C8" w:rsidP="004F05C8">
      <w:pPr>
        <w:pStyle w:val="Textebrut"/>
      </w:pPr>
      <w:r w:rsidRPr="004F05C8">
        <w:rPr>
          <w:b/>
          <w:bCs/>
        </w:rPr>
        <w:t>Rémunération des étudiants : 3 500 euros de reste à charge pour les officines (Le Moniteur des pharmacies, 13/04/2026).</w:t>
      </w:r>
      <w:r w:rsidRPr="004F05C8">
        <w:t xml:space="preserve"> Article réservé aux abonnés (ou F9).</w:t>
      </w:r>
    </w:p>
    <w:p w14:paraId="74FE1293" w14:textId="77777777" w:rsidR="004F05C8" w:rsidRPr="004F05C8" w:rsidRDefault="004F05C8" w:rsidP="004F05C8">
      <w:pPr>
        <w:pStyle w:val="Textebrut"/>
      </w:pPr>
      <w:r w:rsidRPr="004F05C8">
        <w:t>Alors que le diplôme d’études spécialisées (DES) Officine entre en vigueur en septembre 2026, les modalités d’organisation de cette sixième année de stages professionnalisants restent à clarifier. Un arrêté est notamment attendu sur les conditions de prise en charge de la rémunération des étudiants stagiaires</w:t>
      </w:r>
    </w:p>
    <w:p w14:paraId="521B85B1" w14:textId="77777777" w:rsidR="004F05C8" w:rsidRPr="004F05C8" w:rsidRDefault="004F05C8" w:rsidP="004F05C8">
      <w:pPr>
        <w:pStyle w:val="Textebrut"/>
      </w:pPr>
      <w:hyperlink r:id="rId105" w:history="1">
        <w:r w:rsidRPr="004F05C8">
          <w:rPr>
            <w:rStyle w:val="Lienhypertexte"/>
          </w:rPr>
          <w:t>https://www.lemoniteurdespharmacies.fr/profession/grille-des-salaires/remuneration-des-etudiants-3-500-euros-de-reste-a-charge-pour-les-officines</w:t>
        </w:r>
      </w:hyperlink>
    </w:p>
    <w:p w14:paraId="1462E42E" w14:textId="77777777" w:rsidR="00276D48" w:rsidRDefault="00276D48" w:rsidP="002B19EF">
      <w:pPr>
        <w:pStyle w:val="Textebrut"/>
      </w:pPr>
    </w:p>
    <w:p w14:paraId="1D56E851" w14:textId="77777777" w:rsidR="004F05C8" w:rsidRPr="004F05C8" w:rsidRDefault="004F05C8" w:rsidP="004F05C8">
      <w:pPr>
        <w:pStyle w:val="Textebrut"/>
        <w:rPr>
          <w:b/>
          <w:bCs/>
        </w:rPr>
      </w:pPr>
      <w:r w:rsidRPr="004F05C8">
        <w:rPr>
          <w:b/>
          <w:bCs/>
        </w:rPr>
        <w:t>PMA : avec près de dix-huit mois d’attente en moyenne en 2025, les délais restent longs malgré la hausse des dons (Le Monde, 14/04/2026).</w:t>
      </w:r>
    </w:p>
    <w:p w14:paraId="2A1B3588" w14:textId="77777777" w:rsidR="004F05C8" w:rsidRPr="004F05C8" w:rsidRDefault="004F05C8" w:rsidP="004F05C8">
      <w:pPr>
        <w:pStyle w:val="Textebrut"/>
      </w:pPr>
      <w:r w:rsidRPr="004F05C8">
        <w:t>De fortes tensions ont été constatées entre autres dans certains centres d’Ile-de-France, de Bourgogne-Franche-Comté, de Nouvelle-Aquitaine et de La Réunion. Les dons progressent mais ne suffisent pas à couvrir une demande toujours soutenue, selon l’agence de la biomédecine</w:t>
      </w:r>
    </w:p>
    <w:p w14:paraId="79006783" w14:textId="70E16E88" w:rsidR="00276D48" w:rsidRDefault="004F05C8" w:rsidP="004F05C8">
      <w:pPr>
        <w:pStyle w:val="Textebrut"/>
      </w:pPr>
      <w:hyperlink r:id="rId106" w:history="1">
        <w:r w:rsidRPr="004F05C8">
          <w:rPr>
            <w:rStyle w:val="Lienhypertexte"/>
          </w:rPr>
          <w:t>https://www.lemonde.fr/societe/article/2026/04/14/pma-avec-pres-de-dix-huit-mois-d-attente-en-moyenne-en-2025-les-delais-restent-longs-malgre-la-hausse-des-dons_6679797_3224.html</w:t>
        </w:r>
      </w:hyperlink>
    </w:p>
    <w:p w14:paraId="2B49E73B" w14:textId="77777777" w:rsidR="004F05C8" w:rsidRDefault="004F05C8" w:rsidP="004F05C8">
      <w:pPr>
        <w:pStyle w:val="Textebrut"/>
      </w:pPr>
    </w:p>
    <w:p w14:paraId="028E516B" w14:textId="77777777" w:rsidR="00E64E8C" w:rsidRPr="00E64E8C" w:rsidRDefault="00E64E8C" w:rsidP="00E64E8C">
      <w:pPr>
        <w:pStyle w:val="Textebrut"/>
        <w:rPr>
          <w:b/>
          <w:bCs/>
        </w:rPr>
      </w:pPr>
      <w:r w:rsidRPr="00E64E8C">
        <w:rPr>
          <w:b/>
          <w:bCs/>
        </w:rPr>
        <w:t>Réémergence du Chikungunya en Guyane : quelle stratégie vaccinale ? (HAS, 14/04/2026).</w:t>
      </w:r>
    </w:p>
    <w:p w14:paraId="28D61FE8" w14:textId="77777777" w:rsidR="00E64E8C" w:rsidRPr="00E64E8C" w:rsidRDefault="00E64E8C" w:rsidP="00E64E8C">
      <w:pPr>
        <w:pStyle w:val="Textebrut"/>
      </w:pPr>
      <w:r w:rsidRPr="00E64E8C">
        <w:t>Le chikungunya est une maladie infectieuse dont le virus (CHIKV) est transmis à l’être humain par piqûre de moustiques diurnes (notamment ceux connus sous le nom de « moustiques tigres »). Dans un contexte de réémergence de cette maladie en Guyane, la HAS a été saisie par le ministère chargé de la Santé, le 25 février 2026, pour proposer une recommandation vaccinale tenant compte des dernières données disponibles pour les deux vaccins disposant d’une AMM autorisation de mise sur le marché (</w:t>
      </w:r>
      <w:proofErr w:type="spellStart"/>
      <w:r w:rsidRPr="00E64E8C">
        <w:t>Ixchiq</w:t>
      </w:r>
      <w:proofErr w:type="spellEnd"/>
      <w:r w:rsidRPr="00E64E8C">
        <w:t xml:space="preserve"> du laboratoire </w:t>
      </w:r>
      <w:proofErr w:type="spellStart"/>
      <w:r w:rsidRPr="00E64E8C">
        <w:t>Valneva</w:t>
      </w:r>
      <w:proofErr w:type="spellEnd"/>
      <w:r w:rsidRPr="00E64E8C">
        <w:t xml:space="preserve"> et </w:t>
      </w:r>
      <w:proofErr w:type="spellStart"/>
      <w:r w:rsidRPr="00E64E8C">
        <w:t>Vimkunya</w:t>
      </w:r>
      <w:proofErr w:type="spellEnd"/>
      <w:r w:rsidRPr="00E64E8C">
        <w:t xml:space="preserve"> du laboratoire </w:t>
      </w:r>
      <w:proofErr w:type="spellStart"/>
      <w:r w:rsidRPr="00E64E8C">
        <w:t>Bavarian</w:t>
      </w:r>
      <w:proofErr w:type="spellEnd"/>
      <w:r w:rsidRPr="00E64E8C">
        <w:t xml:space="preserve"> Nordic). La HAS recommande l’utilisation du vaccin </w:t>
      </w:r>
      <w:proofErr w:type="spellStart"/>
      <w:r w:rsidRPr="00E64E8C">
        <w:t>Vimkunya</w:t>
      </w:r>
      <w:proofErr w:type="spellEnd"/>
      <w:r w:rsidRPr="00E64E8C">
        <w:t xml:space="preserve"> pour toutes les personnes âgées de 65 ans et plus, et les personnes de 12 à 64 ans avec comorbidités, particulièrement vulnérables face au CHIKV</w:t>
      </w:r>
    </w:p>
    <w:p w14:paraId="3992DD4D" w14:textId="77777777" w:rsidR="00E64E8C" w:rsidRPr="00E64E8C" w:rsidRDefault="00E64E8C" w:rsidP="00E64E8C">
      <w:pPr>
        <w:pStyle w:val="Textebrut"/>
      </w:pPr>
      <w:hyperlink r:id="rId107" w:history="1">
        <w:r w:rsidRPr="00E64E8C">
          <w:rPr>
            <w:rStyle w:val="Lienhypertexte"/>
          </w:rPr>
          <w:t>https://www.has-sante.fr/jcms/p_3931065/fr/reemergence-du-chikungunya-en-guyane-quelle-strategie-vaccinale</w:t>
        </w:r>
      </w:hyperlink>
    </w:p>
    <w:p w14:paraId="0DAAF3CE" w14:textId="77777777" w:rsidR="004F05C8" w:rsidRDefault="004F05C8" w:rsidP="004F05C8">
      <w:pPr>
        <w:pStyle w:val="Textebrut"/>
      </w:pPr>
    </w:p>
    <w:p w14:paraId="42E42600" w14:textId="77777777" w:rsidR="009235F8" w:rsidRPr="009235F8" w:rsidRDefault="009235F8" w:rsidP="009235F8">
      <w:pPr>
        <w:pStyle w:val="Textebrut"/>
        <w:rPr>
          <w:b/>
          <w:bCs/>
        </w:rPr>
      </w:pPr>
      <w:r w:rsidRPr="009235F8">
        <w:rPr>
          <w:b/>
          <w:bCs/>
        </w:rPr>
        <w:t>Pour une révision réfléchie et soutenable des modalités d’entrée dans les études de médecine (Académie nationale de médecine, 14/04/2026).</w:t>
      </w:r>
    </w:p>
    <w:p w14:paraId="4592A990" w14:textId="77777777" w:rsidR="009235F8" w:rsidRPr="009235F8" w:rsidRDefault="009235F8" w:rsidP="009235F8">
      <w:pPr>
        <w:pStyle w:val="Textebrut"/>
      </w:pPr>
      <w:r w:rsidRPr="009235F8">
        <w:t>La réforme de l’entrée dans les études de médecine, dite PASS/LAS, suivant laquelle plusieurs parcours se sont substitués à la première année commune aux études de santé (PACES), (un PASS avec une mineure d’une autre discipline, plusieurs LAS avec une mineure santé), est excessivement complexe. Cette réforme est incomprise des lycéens, de leurs parents et de la société dans son ensemble. Elle était motivée notamment par la volonté légitime de diversifier le profil des futurs médecins et de sortir d’une spirale de l’échec induite par la PACES. La Cour des Comptes a appelé à une évolution du dispositif, avec une simplification de l’entrée dans les études médicales, notamment un accès par voie unique.</w:t>
      </w:r>
    </w:p>
    <w:p w14:paraId="267FD1CE" w14:textId="77777777" w:rsidR="009235F8" w:rsidRPr="009235F8" w:rsidRDefault="009235F8" w:rsidP="009235F8">
      <w:pPr>
        <w:pStyle w:val="Textebrut"/>
      </w:pPr>
      <w:r w:rsidRPr="009235F8">
        <w:t>L’Académie nationale de médecine est favorable à cette évolution, mais considère que la mise en place de cette réforme envisagée dans le projet du gouvernement en 2027 est précipitée. L’échec du système PASS-LAS est en grande partie lié au fait que le projet était insuffisamment mature, non consensuel, fondé sur un modèle préétabli imposé à toutes les universités et conduit à marche forcée. Ne reproduisons pas les mêmes erreurs, les étudiants et leurs familles ont été suffisamment déstabilisés et insatisfaits du système PASS-LAS.</w:t>
      </w:r>
    </w:p>
    <w:p w14:paraId="10A0932C" w14:textId="77777777" w:rsidR="009235F8" w:rsidRPr="009235F8" w:rsidRDefault="009235F8" w:rsidP="009235F8">
      <w:pPr>
        <w:pStyle w:val="Textebrut"/>
      </w:pPr>
      <w:r w:rsidRPr="009235F8">
        <w:lastRenderedPageBreak/>
        <w:t>La réforme envisagée doit porter sur une fusion des dispositifs PASS et LAS en une année unique d’entrée dans les études médicales pour les filières MMOP (médecine, maïeutique, odontologie, pharmacie) concernées; elle doit être portée par les UFR de Médecine ou de Santé, respecter l’autonomie des universités et s’accompagner impérativement de moyens supplémentaires, en particulier des ressources humaines en enseignants-chercheurs et en personnels de scolarité (IATS) : le nombre d’étudiants en médecine a augmenté de 18,5% entre 2019 et 2022 tandis que le nombre des enseignants diminuait.</w:t>
      </w:r>
    </w:p>
    <w:p w14:paraId="7B3AAF76" w14:textId="77777777" w:rsidR="009235F8" w:rsidRPr="009235F8" w:rsidRDefault="009235F8" w:rsidP="009235F8">
      <w:pPr>
        <w:pStyle w:val="Textebrut"/>
      </w:pPr>
      <w:r w:rsidRPr="009235F8">
        <w:t>Prenons garde à ne pas aggraver la situation, écoutons les premiers concernés, étudiants et enseignants, afin que le remède ne soit pas à nouveau pire que le mal</w:t>
      </w:r>
    </w:p>
    <w:p w14:paraId="156A2FB7" w14:textId="77777777" w:rsidR="009235F8" w:rsidRPr="009235F8" w:rsidRDefault="009235F8" w:rsidP="009235F8">
      <w:pPr>
        <w:pStyle w:val="Textebrut"/>
      </w:pPr>
      <w:hyperlink r:id="rId108" w:history="1">
        <w:r w:rsidRPr="009235F8">
          <w:rPr>
            <w:rStyle w:val="Lienhypertexte"/>
          </w:rPr>
          <w:t>https://www.academie-medecine.fr/pour-une-revision-reflechie-et-soutenable-des-modalites-dentree-dans-les-etudes-de-medecine/</w:t>
        </w:r>
      </w:hyperlink>
    </w:p>
    <w:p w14:paraId="5B01C171" w14:textId="77777777" w:rsidR="00E64E8C" w:rsidRDefault="00E64E8C" w:rsidP="004F05C8">
      <w:pPr>
        <w:pStyle w:val="Textebrut"/>
      </w:pPr>
    </w:p>
    <w:p w14:paraId="16D3FC2F" w14:textId="77777777" w:rsidR="00E130A1" w:rsidRPr="00E130A1" w:rsidRDefault="00E130A1" w:rsidP="00E130A1">
      <w:pPr>
        <w:pStyle w:val="Textebrut"/>
        <w:rPr>
          <w:b/>
          <w:bCs/>
        </w:rPr>
      </w:pPr>
      <w:r w:rsidRPr="00E130A1">
        <w:rPr>
          <w:b/>
          <w:bCs/>
        </w:rPr>
        <w:t>Quel est le niveau de qualité des accompagnements des ESSMS en France ? (HAS, 15/04/2026).</w:t>
      </w:r>
    </w:p>
    <w:p w14:paraId="5D7E5676" w14:textId="77777777" w:rsidR="00E130A1" w:rsidRPr="00E130A1" w:rsidRDefault="00E130A1" w:rsidP="00E130A1">
      <w:pPr>
        <w:pStyle w:val="Textebrut"/>
      </w:pPr>
      <w:r w:rsidRPr="00E130A1">
        <w:t xml:space="preserve">Les 47 700 établissements et services du champ social et médico-social (ESSMS) présents en France (métropole et territoires ultra-marins) sont progressivement évalués depuis 2023 sur la base d’un référentiel d’évaluation commun élaboré par la Haute Autorité de santé (HAS). Aujourd’hui, 37 % des structures ont été évaluées par des organismes accrédités, et la HAS a ainsi l’occasion de faire le point sur les résultats. Dans l’ensemble, le niveau de qualité observé est satisfaisant, ce qui traduit l’engagement des professionnels sur le terrain. Toutefois, des points de vigilances se confirment, notamment sur la démarche qualité et la gestion des risques. Pour rappel, les résultats d’évaluation par structure sont désormais disponibles sur le service d’information en ligne </w:t>
      </w:r>
      <w:proofErr w:type="spellStart"/>
      <w:r w:rsidRPr="00E130A1">
        <w:t>Qualiscope</w:t>
      </w:r>
      <w:proofErr w:type="spellEnd"/>
    </w:p>
    <w:p w14:paraId="52C7E055" w14:textId="77777777" w:rsidR="00E130A1" w:rsidRPr="00E130A1" w:rsidRDefault="00E130A1" w:rsidP="00E130A1">
      <w:pPr>
        <w:pStyle w:val="Textebrut"/>
      </w:pPr>
      <w:hyperlink r:id="rId109" w:history="1">
        <w:r w:rsidRPr="00E130A1">
          <w:rPr>
            <w:rStyle w:val="Lienhypertexte"/>
          </w:rPr>
          <w:t>https://www.has-sante.fr/jcms/p_3946562/fr/quel-est-le-niveau-de-qualite-des-accompagnements-des-essms-en-france</w:t>
        </w:r>
      </w:hyperlink>
    </w:p>
    <w:p w14:paraId="58274A62" w14:textId="77777777" w:rsidR="009235F8" w:rsidRDefault="009235F8" w:rsidP="004F05C8">
      <w:pPr>
        <w:pStyle w:val="Textebrut"/>
      </w:pPr>
    </w:p>
    <w:p w14:paraId="7BE5F26B" w14:textId="77777777" w:rsidR="00E130A1" w:rsidRPr="00E130A1" w:rsidRDefault="00E130A1" w:rsidP="00E130A1">
      <w:pPr>
        <w:pStyle w:val="Textebrut"/>
        <w:rPr>
          <w:b/>
          <w:bCs/>
        </w:rPr>
      </w:pPr>
      <w:proofErr w:type="spellStart"/>
      <w:r w:rsidRPr="00E130A1">
        <w:rPr>
          <w:b/>
          <w:bCs/>
        </w:rPr>
        <w:t>Mektovi</w:t>
      </w:r>
      <w:proofErr w:type="spellEnd"/>
      <w:r w:rsidRPr="00E130A1">
        <w:rPr>
          <w:b/>
          <w:bCs/>
        </w:rPr>
        <w:t xml:space="preserve"> (</w:t>
      </w:r>
      <w:proofErr w:type="spellStart"/>
      <w:r w:rsidRPr="00E130A1">
        <w:rPr>
          <w:b/>
          <w:bCs/>
        </w:rPr>
        <w:t>binimétinib</w:t>
      </w:r>
      <w:proofErr w:type="spellEnd"/>
      <w:r w:rsidRPr="00E130A1">
        <w:rPr>
          <w:b/>
          <w:bCs/>
        </w:rPr>
        <w:t>) : ne confondez pas les dosages 15 mg et 45 mg (ANSM, 15/04/2026).</w:t>
      </w:r>
    </w:p>
    <w:p w14:paraId="3F91DFE4" w14:textId="77777777" w:rsidR="00E130A1" w:rsidRPr="00E130A1" w:rsidRDefault="00E130A1" w:rsidP="00E130A1">
      <w:pPr>
        <w:pStyle w:val="Textebrut"/>
      </w:pPr>
      <w:r w:rsidRPr="00E130A1">
        <w:t xml:space="preserve">Le médicament anticancéreux </w:t>
      </w:r>
      <w:proofErr w:type="spellStart"/>
      <w:r w:rsidRPr="00E130A1">
        <w:t>Mektovi</w:t>
      </w:r>
      <w:proofErr w:type="spellEnd"/>
      <w:r w:rsidRPr="00E130A1">
        <w:t xml:space="preserve"> (</w:t>
      </w:r>
      <w:proofErr w:type="spellStart"/>
      <w:r w:rsidRPr="00E130A1">
        <w:t>binimétinib</w:t>
      </w:r>
      <w:proofErr w:type="spellEnd"/>
      <w:r w:rsidRPr="00E130A1">
        <w:t>) est disponible depuis juillet 2025 en deux dosages différents (15 mg et 45 mg). Nous avons depuis reçu des signalements d’erreurs médicamenteuses dues à une erreur de dispensation ou à une confusion sur le nombre de comprimés à prendre à chaque prise. Afin de limiter ces risques d’erreurs et de surdosage, nous rappelons les conseils de bon usage et avons mis en place des mesures</w:t>
      </w:r>
    </w:p>
    <w:p w14:paraId="3F24A28F" w14:textId="5A4712C1" w:rsidR="00E130A1" w:rsidRDefault="00E130A1" w:rsidP="00E130A1">
      <w:pPr>
        <w:pStyle w:val="Textebrut"/>
      </w:pPr>
      <w:hyperlink r:id="rId110" w:history="1">
        <w:r w:rsidRPr="00E130A1">
          <w:rPr>
            <w:rStyle w:val="Lienhypertexte"/>
          </w:rPr>
          <w:t>https://ansm.sante.fr/actualites/mektovi-binimetinib-ne-confondez-pas-les-dosages-15-mg-et-45-mg</w:t>
        </w:r>
      </w:hyperlink>
    </w:p>
    <w:p w14:paraId="252ABB6B" w14:textId="77777777" w:rsidR="00E130A1" w:rsidRDefault="00E130A1" w:rsidP="00E130A1">
      <w:pPr>
        <w:pStyle w:val="Textebrut"/>
      </w:pPr>
    </w:p>
    <w:p w14:paraId="4192EEF0" w14:textId="77777777" w:rsidR="00E130A1" w:rsidRPr="00E130A1" w:rsidRDefault="00E130A1" w:rsidP="00E130A1">
      <w:pPr>
        <w:pStyle w:val="Textebrut"/>
        <w:rPr>
          <w:b/>
          <w:bCs/>
        </w:rPr>
      </w:pPr>
      <w:r w:rsidRPr="00E130A1">
        <w:rPr>
          <w:b/>
          <w:bCs/>
        </w:rPr>
        <w:t>Finastéride 1 mg : une attestation d’information partagée bientôt nécessaire pour toute dispensation (ANSM, actualisation du 15/04/2026).</w:t>
      </w:r>
    </w:p>
    <w:p w14:paraId="3CE5399D" w14:textId="77777777" w:rsidR="00E130A1" w:rsidRPr="00E130A1" w:rsidRDefault="00E130A1" w:rsidP="00E130A1">
      <w:pPr>
        <w:pStyle w:val="Textebrut"/>
      </w:pPr>
      <w:r w:rsidRPr="00E130A1">
        <w:t>Pour rappel, à partir du 16 avril 2026, la dispensation du finastéride 1 mg sera conditionnée à la présentation d’une attestation annuelle d’information partagée, cosignée par le médecin et le patient, en complément de l’ordonnance. Cette mesure s’appliquera pour toute initiation de traitement. Les patients déjà sous traitement disposent d’un délai supplémentaire : cette attestation sera exigée à partir du 16 juin 2026 pour les renouvellements</w:t>
      </w:r>
    </w:p>
    <w:p w14:paraId="40E0205D" w14:textId="77777777" w:rsidR="00E130A1" w:rsidRPr="00E130A1" w:rsidRDefault="00E130A1" w:rsidP="00E130A1">
      <w:pPr>
        <w:pStyle w:val="Textebrut"/>
      </w:pPr>
      <w:hyperlink r:id="rId111" w:history="1">
        <w:r w:rsidRPr="00E130A1">
          <w:rPr>
            <w:rStyle w:val="Lienhypertexte"/>
          </w:rPr>
          <w:t>https://ansm.sante.fr/actualites/finasteride-1-mg-une-attestation-dinformation-partagee-bientot-necessaire-pour-toute-dispensation</w:t>
        </w:r>
      </w:hyperlink>
    </w:p>
    <w:p w14:paraId="7D132D31" w14:textId="77777777" w:rsidR="00E130A1" w:rsidRDefault="00E130A1" w:rsidP="00E130A1">
      <w:pPr>
        <w:pStyle w:val="Textebrut"/>
      </w:pPr>
    </w:p>
    <w:p w14:paraId="2BE5C6BB" w14:textId="77777777" w:rsidR="00D05CEA" w:rsidRPr="00D05CEA" w:rsidRDefault="00D05CEA" w:rsidP="00D05CEA">
      <w:pPr>
        <w:pStyle w:val="Textebrut"/>
        <w:rPr>
          <w:b/>
          <w:bCs/>
        </w:rPr>
      </w:pPr>
      <w:r w:rsidRPr="00D05CEA">
        <w:rPr>
          <w:b/>
          <w:bCs/>
        </w:rPr>
        <w:t>Rupture d’approvisionnement d’</w:t>
      </w:r>
      <w:proofErr w:type="spellStart"/>
      <w:r w:rsidRPr="00D05CEA">
        <w:rPr>
          <w:b/>
          <w:bCs/>
        </w:rPr>
        <w:t>Emend</w:t>
      </w:r>
      <w:proofErr w:type="spellEnd"/>
      <w:r w:rsidRPr="00D05CEA">
        <w:rPr>
          <w:b/>
          <w:bCs/>
        </w:rPr>
        <w:t xml:space="preserve"> 125 mg (</w:t>
      </w:r>
      <w:proofErr w:type="spellStart"/>
      <w:r w:rsidRPr="00D05CEA">
        <w:rPr>
          <w:b/>
          <w:bCs/>
        </w:rPr>
        <w:t>aprépitant</w:t>
      </w:r>
      <w:proofErr w:type="spellEnd"/>
      <w:r w:rsidRPr="00D05CEA">
        <w:rPr>
          <w:b/>
          <w:bCs/>
        </w:rPr>
        <w:t>) buvable : quelles solutions pour les patients ? (ANSM, 15/04/2026).</w:t>
      </w:r>
    </w:p>
    <w:p w14:paraId="2905C741" w14:textId="77777777" w:rsidR="00D05CEA" w:rsidRPr="00D05CEA" w:rsidRDefault="00D05CEA" w:rsidP="00D05CEA">
      <w:pPr>
        <w:pStyle w:val="Textebrut"/>
      </w:pPr>
      <w:proofErr w:type="spellStart"/>
      <w:r w:rsidRPr="00D05CEA">
        <w:t>Emend</w:t>
      </w:r>
      <w:proofErr w:type="spellEnd"/>
      <w:r w:rsidRPr="00D05CEA">
        <w:t xml:space="preserve"> 125 mg, poudre pour suspension buvable (MSD), est un médicament antiémétique utilisé en chimiothérapie. Il fait l’objet d’importantes difficultés d’approvisionnement dans un contexte d'arrêt de commercialisation initié par le laboratoire. Afin de permettre la poursuite de la prise en charge des enfants et nourrissons, dans la continuité des mesures déjà mises en place, nous faisons le point sur les alternatives thérapeutiques disponibles et à venir</w:t>
      </w:r>
    </w:p>
    <w:p w14:paraId="0AC55137" w14:textId="5DB9E1DA" w:rsidR="00E130A1" w:rsidRDefault="00D05CEA" w:rsidP="00D05CEA">
      <w:pPr>
        <w:pStyle w:val="Textebrut"/>
      </w:pPr>
      <w:hyperlink r:id="rId112" w:history="1">
        <w:r w:rsidRPr="00D05CEA">
          <w:rPr>
            <w:rStyle w:val="Lienhypertexte"/>
          </w:rPr>
          <w:t>https://ansm.sante.fr/actualites/rupture-dapprovisionnement-demend-125-mg-aprepitant-buvable-quelles-solutions-pour-les-patients</w:t>
        </w:r>
      </w:hyperlink>
    </w:p>
    <w:p w14:paraId="0C3A0AA7" w14:textId="77777777" w:rsidR="008E3A19" w:rsidRDefault="008E3A19" w:rsidP="002B19EF">
      <w:pPr>
        <w:pStyle w:val="Textebrut"/>
      </w:pPr>
    </w:p>
    <w:p w14:paraId="4CE4B06B" w14:textId="77777777" w:rsidR="004A598A" w:rsidRPr="004A598A" w:rsidRDefault="004A598A" w:rsidP="004A598A">
      <w:pPr>
        <w:pStyle w:val="Textebrut"/>
        <w:rPr>
          <w:b/>
          <w:bCs/>
        </w:rPr>
      </w:pPr>
      <w:r w:rsidRPr="004A598A">
        <w:rPr>
          <w:b/>
          <w:bCs/>
        </w:rPr>
        <w:t>Rougeole en France du 1er janvier au 31 mars 2026 (</w:t>
      </w:r>
      <w:proofErr w:type="spellStart"/>
      <w:r w:rsidRPr="004A598A">
        <w:rPr>
          <w:b/>
          <w:bCs/>
        </w:rPr>
        <w:t>SpF</w:t>
      </w:r>
      <w:proofErr w:type="spellEnd"/>
      <w:r w:rsidRPr="004A598A">
        <w:rPr>
          <w:b/>
          <w:bCs/>
        </w:rPr>
        <w:t>, 16/04/2026).</w:t>
      </w:r>
    </w:p>
    <w:p w14:paraId="7C50C6B8" w14:textId="77777777" w:rsidR="004A598A" w:rsidRPr="004A598A" w:rsidRDefault="004A598A" w:rsidP="004A598A">
      <w:pPr>
        <w:pStyle w:val="Textebrut"/>
      </w:pPr>
      <w:r w:rsidRPr="004A598A">
        <w:t xml:space="preserve">Depuis le 01/01/2026, 44 cas de rougeole ont été déclarés dont 14 nouveaux cas en mars. Le nombre de cas déclarés au cours du premier trimestre de l’année est donc bien inférieur à celui observé en 2025 (341 cas). Parmi </w:t>
      </w:r>
      <w:r w:rsidRPr="004A598A">
        <w:lastRenderedPageBreak/>
        <w:t>ces 44 cas, 18 (41%) ont été hospitalisés (dont 2 en réanimation), 11 cas (25%) ont présenté une complication (dont 5 pneumopathies et 1 encéphalite). Aucun décès n’a été rapporté.</w:t>
      </w:r>
    </w:p>
    <w:p w14:paraId="41E4767B" w14:textId="723143E7" w:rsidR="004A598A" w:rsidRPr="004A598A" w:rsidRDefault="004A598A" w:rsidP="004A598A">
      <w:pPr>
        <w:pStyle w:val="Textebrut"/>
      </w:pPr>
      <w:r w:rsidRPr="004A598A">
        <w:t>Parmi les sujets ciblés par la vaccination (âgés de plus d’un an et nés depuis 1980) pour lesquels le statut vaccinal était connu (n=25), 16 (64%) n’avaient pas un statut vaccinal à jour tandis que 9 (36%) étaient vaccinés avec deux doses</w:t>
      </w:r>
    </w:p>
    <w:p w14:paraId="437EF08D" w14:textId="74A22D6A" w:rsidR="00D05CEA" w:rsidRDefault="004A598A" w:rsidP="004A598A">
      <w:pPr>
        <w:pStyle w:val="Textebrut"/>
      </w:pPr>
      <w:hyperlink r:id="rId113" w:history="1">
        <w:r w:rsidRPr="004A598A">
          <w:rPr>
            <w:rStyle w:val="Lienhypertexte"/>
          </w:rPr>
          <w:t>https://www.santepubliquefrance.fr/maladies-et-traumatismes/maladies-a-prevention-vaccinale/rougeole/documents/bulletin-national/rougeole-en-france-du-1er-janvier-au-31-mars-2026</w:t>
        </w:r>
      </w:hyperlink>
    </w:p>
    <w:p w14:paraId="1B3B4DD2" w14:textId="77777777" w:rsidR="004A598A" w:rsidRDefault="004A598A" w:rsidP="004A598A">
      <w:pPr>
        <w:pStyle w:val="Textebrut"/>
      </w:pPr>
    </w:p>
    <w:p w14:paraId="490D7788" w14:textId="77777777" w:rsidR="00375C61" w:rsidRPr="00375C61" w:rsidRDefault="00375C61" w:rsidP="00375C61">
      <w:pPr>
        <w:pStyle w:val="Textebrut"/>
        <w:rPr>
          <w:b/>
          <w:bCs/>
        </w:rPr>
      </w:pPr>
      <w:r w:rsidRPr="00375C61">
        <w:rPr>
          <w:b/>
          <w:bCs/>
        </w:rPr>
        <w:t>Avis du 16/04/2026 de l’Académie nationale de pharmacie relatif à l'indépendance stratégique de la France pour la collecte de plasma et la production de médicaments dérivés du plasma.</w:t>
      </w:r>
    </w:p>
    <w:p w14:paraId="24AF6ADC" w14:textId="77777777" w:rsidR="00375C61" w:rsidRPr="00375C61" w:rsidRDefault="00375C61" w:rsidP="00375C61">
      <w:pPr>
        <w:pStyle w:val="Textebrut"/>
      </w:pPr>
      <w:r w:rsidRPr="00375C61">
        <w:t>L'Académie nationale de Pharmacie, dans son avis publié le 16 avril 2026, et après audition des différents acteurs du secteur, soutient pleinement les actions en faveur d'une indépendance stratégique nationale et européenne en matière de collecte et fractionnement du plasma. Consciente des différents enjeux liés à la question délicate de la souveraineté, entre considérations éthiques, impératifs sanitaires et réalités économiques, elle publie plusieurs recommandations que vous retrouverez en lisant [cet] avis</w:t>
      </w:r>
    </w:p>
    <w:p w14:paraId="2967122E" w14:textId="78A33437" w:rsidR="004A598A" w:rsidRDefault="00375C61" w:rsidP="00375C61">
      <w:pPr>
        <w:pStyle w:val="Textebrut"/>
      </w:pPr>
      <w:hyperlink r:id="rId114" w:history="1">
        <w:r w:rsidRPr="00375C61">
          <w:rPr>
            <w:rStyle w:val="Lienhypertexte"/>
          </w:rPr>
          <w:t>https://www.acadpharm.org/dos_public/AVIS_COLLECTE_PLASMA_2026_04_15_VF.PDF</w:t>
        </w:r>
      </w:hyperlink>
    </w:p>
    <w:p w14:paraId="266DEF7A" w14:textId="77777777" w:rsidR="00375C61" w:rsidRDefault="00375C61" w:rsidP="00375C61">
      <w:pPr>
        <w:pStyle w:val="Textebrut"/>
      </w:pPr>
    </w:p>
    <w:p w14:paraId="375AE3CC" w14:textId="1FBC36AF" w:rsidR="00375C61" w:rsidRPr="002526E4" w:rsidRDefault="00567D46" w:rsidP="00375C61">
      <w:pPr>
        <w:pStyle w:val="Textebrut"/>
        <w:rPr>
          <w:b/>
          <w:bCs/>
        </w:rPr>
      </w:pPr>
      <w:bookmarkStart w:id="1" w:name="_Hlk227252473"/>
      <w:r w:rsidRPr="002526E4">
        <w:rPr>
          <w:b/>
          <w:bCs/>
        </w:rPr>
        <w:t>Réponse de la DGS sur la responsabilité du circuit des dispositifs médicaux stériles lorsque la PUI est supprimée</w:t>
      </w:r>
    </w:p>
    <w:bookmarkEnd w:id="1"/>
    <w:p w14:paraId="1911FA9B" w14:textId="104A1D13" w:rsidR="00567D46" w:rsidRDefault="00567D46" w:rsidP="00375C61">
      <w:pPr>
        <w:pStyle w:val="Textebrut"/>
      </w:pPr>
      <w:r>
        <w:fldChar w:fldCharType="begin"/>
      </w:r>
      <w:r>
        <w:instrText>HYPERLINK "</w:instrText>
      </w:r>
      <w:r w:rsidRPr="00567D46">
        <w:instrText>https://peps.sante.gouv.fr/questions%20reponses/26_dgs_responsabilite-dms-sans-pui_03042025.pdf</w:instrText>
      </w:r>
      <w:r>
        <w:instrText>"</w:instrText>
      </w:r>
      <w:r>
        <w:fldChar w:fldCharType="separate"/>
      </w:r>
      <w:r w:rsidRPr="004F40AC">
        <w:rPr>
          <w:rStyle w:val="Lienhypertexte"/>
        </w:rPr>
        <w:t>https://peps.sante.gouv.fr/questions%20reponses/26_dgs_responsabilite-dms-sans-pui_03042025.pdf</w:t>
      </w:r>
      <w:r>
        <w:fldChar w:fldCharType="end"/>
      </w:r>
    </w:p>
    <w:p w14:paraId="7FBBDFEA" w14:textId="77777777" w:rsidR="00567D46" w:rsidRDefault="00567D46" w:rsidP="00375C61">
      <w:pPr>
        <w:pStyle w:val="Textebrut"/>
      </w:pPr>
    </w:p>
    <w:p w14:paraId="4CAE80B0" w14:textId="77777777" w:rsidR="00D04F1C" w:rsidRPr="00D04F1C" w:rsidRDefault="00D04F1C" w:rsidP="00D04F1C">
      <w:pPr>
        <w:pStyle w:val="Textebrut"/>
        <w:rPr>
          <w:b/>
          <w:bCs/>
        </w:rPr>
      </w:pPr>
      <w:r w:rsidRPr="00D04F1C">
        <w:rPr>
          <w:b/>
          <w:bCs/>
        </w:rPr>
        <w:t xml:space="preserve">Soumission chimique : mise en </w:t>
      </w:r>
      <w:proofErr w:type="spellStart"/>
      <w:r w:rsidRPr="00D04F1C">
        <w:rPr>
          <w:b/>
          <w:bCs/>
        </w:rPr>
        <w:t>oeuvre</w:t>
      </w:r>
      <w:proofErr w:type="spellEnd"/>
      <w:r w:rsidRPr="00D04F1C">
        <w:rPr>
          <w:b/>
          <w:bCs/>
        </w:rPr>
        <w:t xml:space="preserve"> de l’expérimentation, supports d’accompagnement (CNOP, 16/04/2026).</w:t>
      </w:r>
    </w:p>
    <w:p w14:paraId="5D8BCD69" w14:textId="77777777" w:rsidR="00D04F1C" w:rsidRPr="00D04F1C" w:rsidRDefault="00D04F1C" w:rsidP="00D04F1C">
      <w:pPr>
        <w:pStyle w:val="Textebrut"/>
      </w:pPr>
      <w:r w:rsidRPr="00D04F1C">
        <w:t xml:space="preserve">L’expérimentation relative à la prise en charge par l’Assurance Maladie, sur prescription médicale, des examens biologiques permettant de détecter un état de soumission chimique sans dépôt de plainte préalable est en cours dans les Hauts-de-France, les Pays de la Loire et en Île-de-France. Les biologistes médicaux exerçant dans ces territoires sont fortement invités à y participer. Pour les y aider, des supports d’accompagnement sont disponibles sur le site du </w:t>
      </w:r>
      <w:proofErr w:type="spellStart"/>
      <w:r w:rsidRPr="00D04F1C">
        <w:t>Cespharm</w:t>
      </w:r>
      <w:proofErr w:type="spellEnd"/>
    </w:p>
    <w:p w14:paraId="57540E15" w14:textId="77777777" w:rsidR="00D04F1C" w:rsidRPr="00D04F1C" w:rsidRDefault="00D04F1C" w:rsidP="00D04F1C">
      <w:pPr>
        <w:pStyle w:val="Textebrut"/>
      </w:pPr>
      <w:hyperlink r:id="rId115" w:history="1">
        <w:r w:rsidRPr="00D04F1C">
          <w:rPr>
            <w:rStyle w:val="Lienhypertexte"/>
          </w:rPr>
          <w:t>https://www.ordre.pharmacien.fr/les-communications/focus-sur/les-actualites/soumission-chimique-mise-en-oeuvre-de-l-experimentation-supports-d-accompagnement</w:t>
        </w:r>
      </w:hyperlink>
    </w:p>
    <w:p w14:paraId="6353D9B6" w14:textId="77777777" w:rsidR="00567D46" w:rsidRDefault="00567D46" w:rsidP="00375C61">
      <w:pPr>
        <w:pStyle w:val="Textebrut"/>
      </w:pPr>
    </w:p>
    <w:p w14:paraId="5220E3C4" w14:textId="77777777" w:rsidR="00D93CA8" w:rsidRPr="00D93CA8" w:rsidRDefault="00D93CA8" w:rsidP="00D93CA8">
      <w:pPr>
        <w:pStyle w:val="Textebrut"/>
        <w:rPr>
          <w:b/>
          <w:bCs/>
        </w:rPr>
      </w:pPr>
      <w:r w:rsidRPr="00D93CA8">
        <w:rPr>
          <w:b/>
          <w:bCs/>
        </w:rPr>
        <w:t>L’analyse des évènements indésirables associés aux soins (EIAS) : mode d’emploi (HAS, 16/04/2026).</w:t>
      </w:r>
    </w:p>
    <w:p w14:paraId="52CEB74F" w14:textId="77777777" w:rsidR="00D93CA8" w:rsidRPr="00D93CA8" w:rsidRDefault="00D93CA8" w:rsidP="00D93CA8">
      <w:pPr>
        <w:pStyle w:val="Textebrut"/>
      </w:pPr>
      <w:r w:rsidRPr="00D93CA8">
        <w:t>En 2026, le guide « Analyse des évènements indésirables associés aux soins (EIAS) : mode d’emploi » a fait l’objet d’une mise à jour, à la suite de la publication du protocole de Londres en 2024 et à l’actualisation de la grille ALARM qui en découle</w:t>
      </w:r>
    </w:p>
    <w:p w14:paraId="5F5B3B1F" w14:textId="77777777" w:rsidR="00D93CA8" w:rsidRPr="00D93CA8" w:rsidRDefault="00D93CA8" w:rsidP="00D93CA8">
      <w:pPr>
        <w:pStyle w:val="Textebrut"/>
      </w:pPr>
      <w:hyperlink r:id="rId116" w:history="1">
        <w:r w:rsidRPr="00D93CA8">
          <w:rPr>
            <w:rStyle w:val="Lienhypertexte"/>
          </w:rPr>
          <w:t>https://www.has-sante.fr/jcms/p_3293652/fr/l-analyse-des-evenements-indesirables-associes-aux-soins-eias-mode-d-emploi</w:t>
        </w:r>
      </w:hyperlink>
    </w:p>
    <w:p w14:paraId="58325404" w14:textId="77777777" w:rsidR="00D04F1C" w:rsidRDefault="00D04F1C" w:rsidP="00375C61">
      <w:pPr>
        <w:pStyle w:val="Textebrut"/>
      </w:pPr>
    </w:p>
    <w:p w14:paraId="1733079E" w14:textId="77777777" w:rsidR="00D93CA8" w:rsidRPr="00D93CA8" w:rsidRDefault="00D93CA8" w:rsidP="00D93CA8">
      <w:pPr>
        <w:pStyle w:val="Textebrut"/>
        <w:rPr>
          <w:b/>
          <w:bCs/>
        </w:rPr>
      </w:pPr>
      <w:r w:rsidRPr="00D93CA8">
        <w:rPr>
          <w:b/>
          <w:bCs/>
        </w:rPr>
        <w:t>Antibiotiques : la consommation repart à la hausse (Le Moniteur des pharmacies, 16/04/2026).</w:t>
      </w:r>
    </w:p>
    <w:p w14:paraId="1BB7FC83" w14:textId="77777777" w:rsidR="00D93CA8" w:rsidRPr="00D93CA8" w:rsidRDefault="00D93CA8" w:rsidP="00D93CA8">
      <w:pPr>
        <w:pStyle w:val="Textebrut"/>
      </w:pPr>
      <w:r w:rsidRPr="00D93CA8">
        <w:t>Après un léger recul en 2023, la consommation d’antibiotiques en ville est repartie à la hausse en France en 2024. Une évolution préoccupante, alors que le bon usage de ces traitements reste essentiel dans la lutte contre l’antibiorésistance</w:t>
      </w:r>
    </w:p>
    <w:p w14:paraId="7C5EE555" w14:textId="77777777" w:rsidR="00D93CA8" w:rsidRPr="00D93CA8" w:rsidRDefault="00D93CA8" w:rsidP="00D93CA8">
      <w:pPr>
        <w:pStyle w:val="Textebrut"/>
      </w:pPr>
      <w:hyperlink r:id="rId117" w:history="1">
        <w:r w:rsidRPr="00D93CA8">
          <w:rPr>
            <w:rStyle w:val="Lienhypertexte"/>
          </w:rPr>
          <w:t>https://www.lemoniteurdespharmacies.fr/therapeutique/vigilances/antibiotiques-la-consommation-repart-a-la-hausse</w:t>
        </w:r>
      </w:hyperlink>
    </w:p>
    <w:p w14:paraId="2169BA5E" w14:textId="77777777" w:rsidR="00D93CA8" w:rsidRDefault="00D93CA8" w:rsidP="00375C61">
      <w:pPr>
        <w:pStyle w:val="Textebrut"/>
      </w:pPr>
    </w:p>
    <w:p w14:paraId="4B3177DE" w14:textId="77777777" w:rsidR="00873F94" w:rsidRPr="00873F94" w:rsidRDefault="00873F94" w:rsidP="00873F94">
      <w:pPr>
        <w:pStyle w:val="Textebrut"/>
        <w:rPr>
          <w:b/>
          <w:bCs/>
        </w:rPr>
      </w:pPr>
      <w:r w:rsidRPr="00873F94">
        <w:rPr>
          <w:b/>
          <w:bCs/>
        </w:rPr>
        <w:t>Lettre ouverte du Collège de la HAS : défendre l'indépendance scientifique face aux pressions (HAS, 17/04/2026).</w:t>
      </w:r>
    </w:p>
    <w:p w14:paraId="43D067B9" w14:textId="77777777" w:rsidR="00873F94" w:rsidRPr="00873F94" w:rsidRDefault="00873F94" w:rsidP="00873F94">
      <w:pPr>
        <w:pStyle w:val="Textebrut"/>
      </w:pPr>
      <w:r w:rsidRPr="00873F94">
        <w:t>Depuis plusieurs mois, la Haute Autorité de santé (HAS) est la cible de pressions sur des évaluations en cours, notamment de médicaments, orchestrées par certains industriels qui cherchent à fragiliser son indépendance et la qualité de ses avis scientifiques. Nous observons le recours croissant à des procédés inacceptables, éloignés du débat scientifique. Dans une lettre ouverte publiée dans le journal Les Echos, le Collège de la HAS en appelle à la responsabilité de tous : la santé des Français mérite mieux</w:t>
      </w:r>
    </w:p>
    <w:p w14:paraId="2D280983" w14:textId="77777777" w:rsidR="00873F94" w:rsidRPr="00873F94" w:rsidRDefault="00873F94" w:rsidP="00873F94">
      <w:pPr>
        <w:pStyle w:val="Textebrut"/>
      </w:pPr>
      <w:hyperlink r:id="rId118" w:history="1">
        <w:r w:rsidRPr="00873F94">
          <w:rPr>
            <w:rStyle w:val="Lienhypertexte"/>
          </w:rPr>
          <w:t>https://www.has-sante.fr/jcms/p_3947208/fr/lettre-ouverte-du-college-de-la-has-defendre-l-independance-scientifique-face-aux-pressions</w:t>
        </w:r>
      </w:hyperlink>
    </w:p>
    <w:p w14:paraId="0B4C6A14" w14:textId="77777777" w:rsidR="00D93CA8" w:rsidRDefault="00D93CA8" w:rsidP="00375C61">
      <w:pPr>
        <w:pStyle w:val="Textebrut"/>
      </w:pPr>
    </w:p>
    <w:p w14:paraId="159E1630" w14:textId="77777777" w:rsidR="0091179D" w:rsidRPr="0091179D" w:rsidRDefault="0091179D" w:rsidP="0091179D">
      <w:pPr>
        <w:pStyle w:val="Textebrut"/>
        <w:rPr>
          <w:b/>
          <w:bCs/>
        </w:rPr>
      </w:pPr>
      <w:r w:rsidRPr="0091179D">
        <w:rPr>
          <w:b/>
          <w:bCs/>
        </w:rPr>
        <w:t>Communiqué du 17/04/2026 - La réforme de la première année : vers une simplification de l’accès aux études de santé.</w:t>
      </w:r>
    </w:p>
    <w:p w14:paraId="7B9FF06D" w14:textId="77777777" w:rsidR="0091179D" w:rsidRPr="0091179D" w:rsidRDefault="0091179D" w:rsidP="0091179D">
      <w:pPr>
        <w:pStyle w:val="Textebrut"/>
      </w:pPr>
      <w:r w:rsidRPr="0091179D">
        <w:t>Le gouvernement annonce une réforme majeure de la première année d’accès aux études de santé, applicable dès la rentrée 2027. Ce nouveau modèle remplacera le système PASS/LAS par une licence orientée santé, harmonisée au niveau national, visant à simplifier les parcours et à garantir plus d’équité entre les étudiants</w:t>
      </w:r>
    </w:p>
    <w:p w14:paraId="41D7850D" w14:textId="77777777" w:rsidR="0091179D" w:rsidRPr="0091179D" w:rsidRDefault="0091179D" w:rsidP="0091179D">
      <w:pPr>
        <w:pStyle w:val="Textebrut"/>
      </w:pPr>
      <w:hyperlink r:id="rId119" w:history="1">
        <w:r w:rsidRPr="0091179D">
          <w:rPr>
            <w:rStyle w:val="Lienhypertexte"/>
          </w:rPr>
          <w:t>https://sante.gouv.fr/actualites-presse/presse/dossiers-de-presse/article/la-reforme-de-la-premiere-annee-vers-une-simplification-de-l-acces-aux-etudes</w:t>
        </w:r>
      </w:hyperlink>
    </w:p>
    <w:p w14:paraId="04181C84" w14:textId="77777777" w:rsidR="0091179D" w:rsidRPr="0091179D" w:rsidRDefault="0091179D" w:rsidP="0091179D">
      <w:pPr>
        <w:pStyle w:val="Textebrut"/>
      </w:pPr>
      <w:r w:rsidRPr="0091179D">
        <w:t>Le dossier de presse associé :</w:t>
      </w:r>
    </w:p>
    <w:p w14:paraId="2C0AB0CC" w14:textId="77777777" w:rsidR="0091179D" w:rsidRPr="0091179D" w:rsidRDefault="0091179D" w:rsidP="0091179D">
      <w:pPr>
        <w:pStyle w:val="Textebrut"/>
      </w:pPr>
      <w:hyperlink r:id="rId120" w:history="1">
        <w:r w:rsidRPr="0091179D">
          <w:rPr>
            <w:rStyle w:val="Lienhypertexte"/>
          </w:rPr>
          <w:t>https://sante.gouv.fr/IMG/pdf/sante_2026_04_210x297_05.pdf</w:t>
        </w:r>
      </w:hyperlink>
    </w:p>
    <w:p w14:paraId="505E609B" w14:textId="77777777" w:rsidR="005039B1" w:rsidRPr="005039B1" w:rsidRDefault="005039B1" w:rsidP="005039B1">
      <w:pPr>
        <w:pStyle w:val="Textebrut"/>
        <w:rPr>
          <w:b/>
          <w:bCs/>
        </w:rPr>
      </w:pPr>
      <w:r w:rsidRPr="005039B1">
        <w:rPr>
          <w:b/>
          <w:bCs/>
        </w:rPr>
        <w:t xml:space="preserve">Études de santé : ci-gît </w:t>
      </w:r>
      <w:proofErr w:type="spellStart"/>
      <w:r w:rsidRPr="005039B1">
        <w:rPr>
          <w:b/>
          <w:bCs/>
        </w:rPr>
        <w:t>Pass</w:t>
      </w:r>
      <w:proofErr w:type="spellEnd"/>
      <w:r w:rsidRPr="005039B1">
        <w:rPr>
          <w:b/>
          <w:bCs/>
        </w:rPr>
        <w:t>/LAS, que vive la licence orientée santé ! (Le Moniteur des pharmacies, 20/04/2026). Article réservé aux abonnés, (ou F9).</w:t>
      </w:r>
    </w:p>
    <w:p w14:paraId="4FACEB15" w14:textId="77777777" w:rsidR="005039B1" w:rsidRPr="005039B1" w:rsidRDefault="005039B1" w:rsidP="005039B1">
      <w:pPr>
        <w:pStyle w:val="Textebrut"/>
      </w:pPr>
      <w:r w:rsidRPr="005039B1">
        <w:t>La ministre de la Santé, Stéphanie Rist, et Philippe Baptiste, ministre de l’Enseignement supérieur, de la Recherche et de l’Espace, ont annoncé vendredi 17 avril 2026 une réforme de la première année d’accès aux études de santé. Celle-ci sera effective à compter de la rentrée universitaire de 2027 par la mise en place d’une licence orientée santé harmonisée. Elle remplacera le parcours accès spécifique santé (</w:t>
      </w:r>
      <w:proofErr w:type="spellStart"/>
      <w:r w:rsidRPr="005039B1">
        <w:t>Pass</w:t>
      </w:r>
      <w:proofErr w:type="spellEnd"/>
      <w:r w:rsidRPr="005039B1">
        <w:t>) et la licence accès santé (LAS), mis en place il y a quatre ans seulement</w:t>
      </w:r>
    </w:p>
    <w:p w14:paraId="37C35720" w14:textId="77777777" w:rsidR="005039B1" w:rsidRPr="005039B1" w:rsidRDefault="005039B1" w:rsidP="005039B1">
      <w:pPr>
        <w:pStyle w:val="Textebrut"/>
      </w:pPr>
      <w:hyperlink r:id="rId121" w:history="1">
        <w:r w:rsidRPr="005039B1">
          <w:rPr>
            <w:rStyle w:val="Lienhypertexte"/>
          </w:rPr>
          <w:t>https://www.lemoniteurdespharmacies.fr/profession/socio-professionnel/etudes-de-sante-ci-git-pass-las-que-vive-la-licence-orientee-sante</w:t>
        </w:r>
      </w:hyperlink>
    </w:p>
    <w:p w14:paraId="0CA9D46D" w14:textId="77777777" w:rsidR="00DD40DD" w:rsidRPr="00DD40DD" w:rsidRDefault="00DD40DD" w:rsidP="00DD40DD">
      <w:pPr>
        <w:pStyle w:val="Textebrut"/>
        <w:rPr>
          <w:b/>
          <w:bCs/>
        </w:rPr>
      </w:pPr>
      <w:r w:rsidRPr="00DD40DD">
        <w:rPr>
          <w:b/>
          <w:bCs/>
        </w:rPr>
        <w:t>La réforme de la première année : vers une simplification de l’accès aux études de santé (CNOP, 23/04/2026).</w:t>
      </w:r>
    </w:p>
    <w:p w14:paraId="6A471AEF" w14:textId="77777777" w:rsidR="00DD40DD" w:rsidRPr="00DD40DD" w:rsidRDefault="00DD40DD" w:rsidP="00DD40DD">
      <w:pPr>
        <w:pStyle w:val="Textebrut"/>
      </w:pPr>
      <w:r w:rsidRPr="00DD40DD">
        <w:t>Le gouvernement annonce une réforme majeure de la première année d’accès aux études de santé, applicable dès la rentrée 2027. Ce nouveau modèle remplacera le système PASS/LAS par une licence orientée santé, harmonisée au niveau national, visant à simplifier les parcours et à garantir plus d’équité entre les étudiants</w:t>
      </w:r>
    </w:p>
    <w:p w14:paraId="44E12BA6" w14:textId="77777777" w:rsidR="00DD40DD" w:rsidRPr="00DD40DD" w:rsidRDefault="00DD40DD" w:rsidP="00DD40DD">
      <w:pPr>
        <w:pStyle w:val="Textebrut"/>
      </w:pPr>
      <w:hyperlink r:id="rId122" w:history="1">
        <w:r w:rsidRPr="00DD40DD">
          <w:rPr>
            <w:rStyle w:val="Lienhypertexte"/>
          </w:rPr>
          <w:t>https://www.ordre.pharmacien.fr/les-communications/focus-sur/les-actualites/la-reforme-de-la-premiere-annee-vers-une-simplification-de-l-acces-aux-etudes-de-sante</w:t>
        </w:r>
      </w:hyperlink>
    </w:p>
    <w:p w14:paraId="47DB7206" w14:textId="77777777" w:rsidR="00DD40DD" w:rsidRDefault="00DD40DD" w:rsidP="00375C61">
      <w:pPr>
        <w:pStyle w:val="Textebrut"/>
      </w:pPr>
    </w:p>
    <w:p w14:paraId="216BE2A6" w14:textId="77777777" w:rsidR="0091179D" w:rsidRPr="0091179D" w:rsidRDefault="0091179D" w:rsidP="0091179D">
      <w:pPr>
        <w:pStyle w:val="Textebrut"/>
        <w:rPr>
          <w:b/>
          <w:bCs/>
        </w:rPr>
      </w:pPr>
      <w:r w:rsidRPr="0091179D">
        <w:rPr>
          <w:b/>
          <w:bCs/>
        </w:rPr>
        <w:t>Utilisation inappropriée des fluoroquinolones orales chez les adultes par les médecins généralistes en France (EPI-PHARE, 20/04/2026).</w:t>
      </w:r>
    </w:p>
    <w:p w14:paraId="42E2B07A" w14:textId="77777777" w:rsidR="0091179D" w:rsidRPr="0091179D" w:rsidRDefault="0091179D" w:rsidP="0091179D">
      <w:pPr>
        <w:pStyle w:val="Textebrut"/>
      </w:pPr>
      <w:r w:rsidRPr="0091179D">
        <w:t>Les fluoroquinolones (FQ) sont des antibiotiques à large spectre efficaces contre diverses infections. Cependant, leur utilisation a été progressivement restreinte par les recommandations en raison de préoccupations liées à la sécurité, ce qui a conduit à des réévaluations répétées de leurs indications. Malgré une baisse marquée des prescriptions, leur utilisation inappropriée reste préoccupante. Cette étude visait à évaluer les indications de prescription des FQ en médecine générale en France et à analyser leur évolution entre 2014 et 2023 à la lumière de l’évolution des recommandations.</w:t>
      </w:r>
    </w:p>
    <w:p w14:paraId="0D991EAD" w14:textId="77777777" w:rsidR="0091179D" w:rsidRPr="0091179D" w:rsidRDefault="0091179D" w:rsidP="0091179D">
      <w:pPr>
        <w:pStyle w:val="Textebrut"/>
      </w:pPr>
      <w:r w:rsidRPr="0091179D">
        <w:t>Malgré la diminution de l’utilisation des FQ en médecine générale, de nombreuses prescriptions ne sont toujours pas conformes aux recommandations actualisées, ce qui met en évidence un écart persistant entre les pratiques cliniques et l’évolution des lignes directrices</w:t>
      </w:r>
    </w:p>
    <w:p w14:paraId="463A8AF8" w14:textId="77777777" w:rsidR="0091179D" w:rsidRPr="0091179D" w:rsidRDefault="0091179D" w:rsidP="0091179D">
      <w:pPr>
        <w:pStyle w:val="Textebrut"/>
      </w:pPr>
      <w:hyperlink r:id="rId123" w:history="1">
        <w:r w:rsidRPr="0091179D">
          <w:rPr>
            <w:rStyle w:val="Lienhypertexte"/>
          </w:rPr>
          <w:t>https://www.epi-phare.fr/rapports-detudes-et-publications/mesusage-fluoroquinolones-therapies/</w:t>
        </w:r>
      </w:hyperlink>
    </w:p>
    <w:p w14:paraId="280ACE3B" w14:textId="77777777" w:rsidR="0091179D" w:rsidRDefault="0091179D" w:rsidP="00375C61">
      <w:pPr>
        <w:pStyle w:val="Textebrut"/>
      </w:pPr>
    </w:p>
    <w:p w14:paraId="5453A132" w14:textId="77777777" w:rsidR="00FD1B74" w:rsidRPr="00FD1B74" w:rsidRDefault="00FD1B74" w:rsidP="00FD1B74">
      <w:pPr>
        <w:pStyle w:val="Textebrut"/>
      </w:pPr>
      <w:r w:rsidRPr="00FD1B74">
        <w:rPr>
          <w:b/>
          <w:bCs/>
        </w:rPr>
        <w:t>Gestes et soins d’urgence : est-il, oui ou non, obligatoire de former ses équipes ? (Le Moniteur des pharmacies, 17/04/2026).</w:t>
      </w:r>
      <w:r w:rsidRPr="00FD1B74">
        <w:t xml:space="preserve"> Article réservé aux abonnés (ou F9).</w:t>
      </w:r>
    </w:p>
    <w:p w14:paraId="275BE9FC" w14:textId="77777777" w:rsidR="00FD1B74" w:rsidRPr="00FD1B74" w:rsidRDefault="00FD1B74" w:rsidP="00FD1B74">
      <w:pPr>
        <w:pStyle w:val="Textebrut"/>
      </w:pPr>
      <w:r w:rsidRPr="00FD1B74">
        <w:t>Certains officinaux sont approchés par des organismes les incitant à se former et à former leurs équipes aux gestes et soins d’urgence. L’attestation de formation est-elle obligatoire pour les personnels des officines, comme le prétendent ces organismes de formation ? La Fédération des syndicats pharmaceutiques de France (FSPF) met les choses au clair</w:t>
      </w:r>
    </w:p>
    <w:p w14:paraId="0C2C34D4" w14:textId="77777777" w:rsidR="00FD1B74" w:rsidRPr="00FD1B74" w:rsidRDefault="00FD1B74" w:rsidP="00FD1B74">
      <w:pPr>
        <w:pStyle w:val="Textebrut"/>
      </w:pPr>
      <w:hyperlink r:id="rId124" w:history="1">
        <w:r w:rsidRPr="00FD1B74">
          <w:rPr>
            <w:rStyle w:val="Lienhypertexte"/>
          </w:rPr>
          <w:t>https://www.lemoniteurdespharmacies.fr/conseils/premiers-soins/gestes-et-soins-durgence-est-il-oui-on-non-obligatoire-former-ses-equipes</w:t>
        </w:r>
      </w:hyperlink>
    </w:p>
    <w:p w14:paraId="1581097A" w14:textId="77777777" w:rsidR="0091179D" w:rsidRDefault="0091179D" w:rsidP="00375C61">
      <w:pPr>
        <w:pStyle w:val="Textebrut"/>
      </w:pPr>
    </w:p>
    <w:p w14:paraId="624F6484" w14:textId="77777777" w:rsidR="00907704" w:rsidRPr="008A3CB8" w:rsidRDefault="00907704" w:rsidP="00907704">
      <w:pPr>
        <w:pStyle w:val="Textebrut"/>
        <w:rPr>
          <w:b/>
          <w:bCs/>
        </w:rPr>
      </w:pPr>
      <w:r w:rsidRPr="008A3CB8">
        <w:rPr>
          <w:b/>
          <w:bCs/>
        </w:rPr>
        <w:t>Message du SGMCAS du 20/04/2026 concernant le positionnement des ARS concernant l’instruction technique DGAL/SDSBEA/2026-46 du 27/01/2026 relative à la programmation des inspections dans le domaine de la pharmacie vétérinaire et formation des inspecteurs</w:t>
      </w:r>
    </w:p>
    <w:p w14:paraId="4322EF26" w14:textId="35C9393A" w:rsidR="00907704" w:rsidRDefault="00907704" w:rsidP="00907704">
      <w:pPr>
        <w:pStyle w:val="Textebrut"/>
      </w:pPr>
      <w:hyperlink r:id="rId125" w:history="1">
        <w:r w:rsidRPr="007107CC">
          <w:rPr>
            <w:rStyle w:val="Lienhypertexte"/>
          </w:rPr>
          <w:t>https://peps.sante.gouv.fr/actu/2026/26_sgmcas_position-ars-programme-inspection-veterinaire_20042026.pdf</w:t>
        </w:r>
      </w:hyperlink>
    </w:p>
    <w:p w14:paraId="3694EE80" w14:textId="1773CA2E" w:rsidR="00FD1B74" w:rsidRDefault="007424C2" w:rsidP="00375C61">
      <w:pPr>
        <w:pStyle w:val="Textebrut"/>
      </w:pPr>
      <w:r>
        <w:lastRenderedPageBreak/>
        <w:t>L</w:t>
      </w:r>
      <w:r w:rsidR="00907704">
        <w:t>’instruction citée :</w:t>
      </w:r>
    </w:p>
    <w:p w14:paraId="4E984EB8" w14:textId="67A835FF" w:rsidR="00907704" w:rsidRDefault="00907704" w:rsidP="00375C61">
      <w:pPr>
        <w:pStyle w:val="Textebrut"/>
      </w:pPr>
      <w:hyperlink r:id="rId126" w:history="1">
        <w:r w:rsidRPr="007107CC">
          <w:rPr>
            <w:rStyle w:val="Lienhypertexte"/>
          </w:rPr>
          <w:t>https://info.agriculture.gouv.fr/boagri/instruction-2026-46/telechargement</w:t>
        </w:r>
      </w:hyperlink>
    </w:p>
    <w:p w14:paraId="4E87B749" w14:textId="77777777" w:rsidR="00907704" w:rsidRDefault="00907704" w:rsidP="00375C61">
      <w:pPr>
        <w:pStyle w:val="Textebrut"/>
      </w:pPr>
    </w:p>
    <w:p w14:paraId="45B7FDE6" w14:textId="77777777" w:rsidR="006312C8" w:rsidRPr="006312C8" w:rsidRDefault="006312C8" w:rsidP="006312C8">
      <w:pPr>
        <w:pStyle w:val="Textebrut"/>
        <w:rPr>
          <w:b/>
          <w:bCs/>
        </w:rPr>
      </w:pPr>
      <w:r w:rsidRPr="006312C8">
        <w:rPr>
          <w:b/>
          <w:bCs/>
        </w:rPr>
        <w:t>Le traitement hormonal de la ménopause augmente le risque de cancer du sein, vraiment ? (INSERM, 21/04/2026).</w:t>
      </w:r>
    </w:p>
    <w:p w14:paraId="3E942F3B" w14:textId="77777777" w:rsidR="006312C8" w:rsidRPr="006312C8" w:rsidRDefault="006312C8" w:rsidP="006312C8">
      <w:pPr>
        <w:pStyle w:val="Textebrut"/>
      </w:pPr>
      <w:r w:rsidRPr="006312C8">
        <w:t>Entouré de nombreuses idées reçues, le traitement hormonal de la ménopause est aujourd’hui reconnu comme le plus efficace pour soulager ses symptômes. Mais il ne peut pas être proposé à toutes les femmes</w:t>
      </w:r>
    </w:p>
    <w:p w14:paraId="4196455C" w14:textId="55E4B9A2" w:rsidR="008A3CB8" w:rsidRDefault="006312C8" w:rsidP="006312C8">
      <w:pPr>
        <w:pStyle w:val="Textebrut"/>
      </w:pPr>
      <w:hyperlink r:id="rId127" w:history="1">
        <w:r w:rsidRPr="006312C8">
          <w:rPr>
            <w:rStyle w:val="Lienhypertexte"/>
          </w:rPr>
          <w:t>https://presse.inserm.fr/canal-detox/le-traitement-hormonal-de-la-menopause-augmente-le-risque-de-cancer-du-sein-vraiment/</w:t>
        </w:r>
      </w:hyperlink>
    </w:p>
    <w:p w14:paraId="087259DA" w14:textId="77777777" w:rsidR="006312C8" w:rsidRDefault="006312C8" w:rsidP="006312C8">
      <w:pPr>
        <w:pStyle w:val="Textebrut"/>
      </w:pPr>
    </w:p>
    <w:p w14:paraId="4A797CDF" w14:textId="77777777" w:rsidR="00124E8E" w:rsidRPr="00124E8E" w:rsidRDefault="00124E8E" w:rsidP="00124E8E">
      <w:pPr>
        <w:pStyle w:val="Textebrut"/>
        <w:rPr>
          <w:b/>
          <w:bCs/>
        </w:rPr>
      </w:pPr>
      <w:r w:rsidRPr="00124E8E">
        <w:rPr>
          <w:b/>
          <w:bCs/>
        </w:rPr>
        <w:t>Pourquoi l’avenir de Santé publique France inquiète désormais les parlementaires ? (Le Moniteur des pharmacies, 21/04/2026).</w:t>
      </w:r>
    </w:p>
    <w:p w14:paraId="31B84C48" w14:textId="77777777" w:rsidR="00124E8E" w:rsidRPr="00124E8E" w:rsidRDefault="00124E8E" w:rsidP="00124E8E">
      <w:pPr>
        <w:pStyle w:val="Textebrut"/>
      </w:pPr>
      <w:r w:rsidRPr="00124E8E">
        <w:t>À travers le projet de réorganisation des missions de Santé publique France se joue un enjeu de taille : celui de l’indépendance et de l’autonomie des agences par rapport à l’État. La question a gagné les cercles politiques. Plusieurs parlementaires dénoncent désormais une inflexion préoccupante et appellent à un réexamen du dispositif</w:t>
      </w:r>
    </w:p>
    <w:p w14:paraId="065334C3" w14:textId="77777777" w:rsidR="00124E8E" w:rsidRPr="00124E8E" w:rsidRDefault="00124E8E" w:rsidP="00124E8E">
      <w:pPr>
        <w:pStyle w:val="Textebrut"/>
      </w:pPr>
      <w:hyperlink r:id="rId128" w:history="1">
        <w:r w:rsidRPr="00124E8E">
          <w:rPr>
            <w:rStyle w:val="Lienhypertexte"/>
          </w:rPr>
          <w:t>https://www.lemoniteurdespharmacies.fr/profession/socio-professionnel/pourquoi-lavenir-de-sante-publique-france-inquiete-desormais-les-parlementaires</w:t>
        </w:r>
      </w:hyperlink>
    </w:p>
    <w:p w14:paraId="2B603BAA" w14:textId="77777777" w:rsidR="006312C8" w:rsidRDefault="006312C8" w:rsidP="006312C8">
      <w:pPr>
        <w:pStyle w:val="Textebrut"/>
      </w:pPr>
    </w:p>
    <w:p w14:paraId="05A41193" w14:textId="77777777" w:rsidR="0016306B" w:rsidRPr="0016306B" w:rsidRDefault="0016306B" w:rsidP="0016306B">
      <w:pPr>
        <w:pStyle w:val="Textebrut"/>
      </w:pPr>
      <w:r w:rsidRPr="0016306B">
        <w:rPr>
          <w:b/>
          <w:bCs/>
        </w:rPr>
        <w:t>Numérique en santé : les éditeurs de LGO doivent permettre l’interopérabilité (Le Moniteur des pharmacies, 22/04/2026).</w:t>
      </w:r>
      <w:r w:rsidRPr="0016306B">
        <w:t xml:space="preserve"> Article réservé aux abonnés (ou F9).</w:t>
      </w:r>
    </w:p>
    <w:p w14:paraId="0242D5D3" w14:textId="77777777" w:rsidR="0016306B" w:rsidRPr="0016306B" w:rsidRDefault="0016306B" w:rsidP="0016306B">
      <w:pPr>
        <w:pStyle w:val="Textebrut"/>
      </w:pPr>
      <w:r w:rsidRPr="0016306B">
        <w:t xml:space="preserve">Cinq ans après le lancement du Ségur du numérique en santé, le constat est sans appel : les outils pour les soignants libéraux existent, mais se déploient de manière </w:t>
      </w:r>
      <w:proofErr w:type="spellStart"/>
      <w:r w:rsidRPr="0016306B">
        <w:t>insatisafaisante</w:t>
      </w:r>
      <w:proofErr w:type="spellEnd"/>
      <w:r w:rsidRPr="0016306B">
        <w:t>. Réunis au sein de l’intersyndicale Les Libéraux de santé, les dix principaux syndicats du secteur pointent des retards persistants, en particulier sur un point clé : l’interopérabilité des systèmes d’information</w:t>
      </w:r>
    </w:p>
    <w:p w14:paraId="5911B394" w14:textId="77777777" w:rsidR="0016306B" w:rsidRPr="0016306B" w:rsidRDefault="0016306B" w:rsidP="0016306B">
      <w:pPr>
        <w:pStyle w:val="Textebrut"/>
      </w:pPr>
      <w:hyperlink r:id="rId129" w:history="1">
        <w:r w:rsidRPr="0016306B">
          <w:rPr>
            <w:rStyle w:val="Lienhypertexte"/>
          </w:rPr>
          <w:t>https://www.lemoniteurdespharmacies.fr/profession/interpro/numerique-en-sante-les-editeurs-de-lgo-doivent-permettre-linteroperabilite</w:t>
        </w:r>
      </w:hyperlink>
    </w:p>
    <w:p w14:paraId="0605EF34" w14:textId="77777777" w:rsidR="00124E8E" w:rsidRDefault="00124E8E" w:rsidP="006312C8">
      <w:pPr>
        <w:pStyle w:val="Textebrut"/>
      </w:pPr>
    </w:p>
    <w:p w14:paraId="4133A850" w14:textId="77777777" w:rsidR="0048629B" w:rsidRPr="0048629B" w:rsidRDefault="0048629B" w:rsidP="0048629B">
      <w:pPr>
        <w:pStyle w:val="Textebrut"/>
      </w:pPr>
      <w:r w:rsidRPr="0048629B">
        <w:rPr>
          <w:b/>
          <w:bCs/>
        </w:rPr>
        <w:t>« Le pharmacien ne peut aliéner son indépendance » : le code de déontologie fixe les lignes rouges (Le Moniteur des pharmacies, 22/04/2026).</w:t>
      </w:r>
      <w:r w:rsidRPr="0048629B">
        <w:t xml:space="preserve"> Article réservé aux abonnés (ou F9).</w:t>
      </w:r>
    </w:p>
    <w:p w14:paraId="75CCEB43" w14:textId="77777777" w:rsidR="0048629B" w:rsidRPr="0048629B" w:rsidRDefault="0048629B" w:rsidP="0048629B">
      <w:pPr>
        <w:pStyle w:val="Textebrut"/>
      </w:pPr>
      <w:r w:rsidRPr="0048629B">
        <w:t>Entré en vigueur le 6 mars 2026, le nouveau code de déontologie redessine les marges de manœuvre des pharmaciens. Publicité, indépendance, pratiques commerciales : l’Ordre tente de lever les ambiguïtés sans renoncer aux principes fondateurs. Décryptage avec Carine Wolf-Thal, présidente du Conseil national de l’Ordre des pharmaciens</w:t>
      </w:r>
    </w:p>
    <w:p w14:paraId="516A6040" w14:textId="77777777" w:rsidR="0048629B" w:rsidRPr="0048629B" w:rsidRDefault="0048629B" w:rsidP="0048629B">
      <w:pPr>
        <w:pStyle w:val="Textebrut"/>
      </w:pPr>
      <w:hyperlink r:id="rId130" w:history="1">
        <w:r w:rsidRPr="0048629B">
          <w:rPr>
            <w:rStyle w:val="Lienhypertexte"/>
          </w:rPr>
          <w:t>https://www.lemoniteurdespharmacies.fr/profession/socio-professionnel/le-pharmacien-ne-peut-aliener-son-independance-le-code-de-deontologie-2026-fixe-les-lignes-rouges</w:t>
        </w:r>
      </w:hyperlink>
    </w:p>
    <w:p w14:paraId="0B2AE4C7" w14:textId="77777777" w:rsidR="0016306B" w:rsidRDefault="0016306B" w:rsidP="006312C8">
      <w:pPr>
        <w:pStyle w:val="Textebrut"/>
      </w:pPr>
    </w:p>
    <w:p w14:paraId="54F70816" w14:textId="77286617" w:rsidR="008A3CB8" w:rsidRPr="00096629" w:rsidRDefault="00096629" w:rsidP="00375C61">
      <w:pPr>
        <w:pStyle w:val="Textebrut"/>
        <w:rPr>
          <w:b/>
          <w:bCs/>
        </w:rPr>
      </w:pPr>
      <w:r w:rsidRPr="00096629">
        <w:rPr>
          <w:b/>
          <w:bCs/>
        </w:rPr>
        <w:t>Newsletter n° 31 de la section santé humaine du COFRAC (avril 2026)</w:t>
      </w:r>
    </w:p>
    <w:p w14:paraId="5C7566A0" w14:textId="3FFE5568" w:rsidR="00096629" w:rsidRDefault="00096629" w:rsidP="00375C61">
      <w:pPr>
        <w:pStyle w:val="Textebrut"/>
      </w:pPr>
      <w:hyperlink r:id="rId131" w:history="1">
        <w:r w:rsidRPr="00DF7112">
          <w:rPr>
            <w:rStyle w:val="Lienhypertexte"/>
          </w:rPr>
          <w:t>https://peps.sante.gouv.fr/actu/2026/26_cofrac_newsletter-31_avril2026.pdf</w:t>
        </w:r>
      </w:hyperlink>
    </w:p>
    <w:p w14:paraId="5E35F282" w14:textId="77777777" w:rsidR="00096629" w:rsidRDefault="00096629" w:rsidP="00375C61">
      <w:pPr>
        <w:pStyle w:val="Textebrut"/>
      </w:pPr>
    </w:p>
    <w:p w14:paraId="610661F2" w14:textId="70FC60A3" w:rsidR="00DD40DD" w:rsidRPr="00DD40DD" w:rsidRDefault="00DD40DD" w:rsidP="00DD40DD">
      <w:pPr>
        <w:pStyle w:val="Textebrut"/>
        <w:rPr>
          <w:b/>
          <w:bCs/>
        </w:rPr>
      </w:pPr>
      <w:r w:rsidRPr="00DD40DD">
        <w:rPr>
          <w:b/>
          <w:bCs/>
        </w:rPr>
        <w:t>Santé connectée, matériel paramédical, soins… la DGCCRF agit aussi dans le secteur médical et médico-social (CNOP, 23/04/2026).</w:t>
      </w:r>
    </w:p>
    <w:p w14:paraId="4CE86D2F" w14:textId="77777777" w:rsidR="00DD40DD" w:rsidRPr="00DD40DD" w:rsidRDefault="00DD40DD" w:rsidP="00DD40DD">
      <w:pPr>
        <w:pStyle w:val="Textebrut"/>
      </w:pPr>
      <w:r w:rsidRPr="00DD40DD">
        <w:t>Affichage des prix, devis, clarté des contrats… à l’occasion de la journée mondiale de la santé, le 7 avril 2026, la DGCCRF a rappelé par une communication qu’elle intervenait aussi dans les secteurs de la santé et du médico-social pour protéger les patients consommateurs</w:t>
      </w:r>
    </w:p>
    <w:p w14:paraId="1B61D591" w14:textId="0BB18FF9" w:rsidR="00096629" w:rsidRDefault="00DD40DD" w:rsidP="00DD40DD">
      <w:pPr>
        <w:pStyle w:val="Textebrut"/>
      </w:pPr>
      <w:hyperlink r:id="rId132" w:history="1">
        <w:r w:rsidRPr="00DD40DD">
          <w:rPr>
            <w:rStyle w:val="Lienhypertexte"/>
          </w:rPr>
          <w:t>https://www.ordre.pharmacien.fr/les-communications/focus-sur/les-actualites/sante-connectee-materiel-paramedical-soins-la-dgccrf-agit-aussi-dans-le-secteur-medical-et-medico-social</w:t>
        </w:r>
      </w:hyperlink>
    </w:p>
    <w:p w14:paraId="1A166F99" w14:textId="77777777" w:rsidR="00DD40DD" w:rsidRDefault="00DD40DD" w:rsidP="00DD40DD">
      <w:pPr>
        <w:pStyle w:val="Textebrut"/>
      </w:pPr>
    </w:p>
    <w:p w14:paraId="79F56541" w14:textId="77777777" w:rsidR="007424C2" w:rsidRDefault="007424C2" w:rsidP="00DD40DD">
      <w:pPr>
        <w:pStyle w:val="Textebrut"/>
      </w:pPr>
    </w:p>
    <w:p w14:paraId="1C1E89A3" w14:textId="77777777" w:rsidR="007424C2" w:rsidRDefault="007424C2" w:rsidP="00DD40DD">
      <w:pPr>
        <w:pStyle w:val="Textebrut"/>
      </w:pPr>
    </w:p>
    <w:p w14:paraId="5564F0B7" w14:textId="77777777" w:rsidR="007424C2" w:rsidRDefault="007424C2" w:rsidP="00DD40DD">
      <w:pPr>
        <w:pStyle w:val="Textebrut"/>
      </w:pPr>
    </w:p>
    <w:p w14:paraId="40B8AB29" w14:textId="37C9F7E9" w:rsidR="00DD40DD" w:rsidRPr="00DD40DD" w:rsidRDefault="00DD40DD" w:rsidP="00DD40DD">
      <w:pPr>
        <w:pStyle w:val="Textebrut"/>
        <w:rPr>
          <w:b/>
          <w:bCs/>
        </w:rPr>
      </w:pPr>
      <w:r w:rsidRPr="00DD40DD">
        <w:rPr>
          <w:b/>
          <w:bCs/>
        </w:rPr>
        <w:lastRenderedPageBreak/>
        <w:t>Vente en ligne de médicaments : du nouveau le 30 avril (Le Moniteur des pharmacies, 23/04/2026).</w:t>
      </w:r>
      <w:r w:rsidRPr="00DD40DD">
        <w:t xml:space="preserve"> Article réservé aux abonnés (ou F9).</w:t>
      </w:r>
    </w:p>
    <w:p w14:paraId="078B0E9A" w14:textId="77777777" w:rsidR="00DD40DD" w:rsidRPr="00DD40DD" w:rsidRDefault="00DD40DD" w:rsidP="00DD40DD">
      <w:pPr>
        <w:pStyle w:val="Textebrut"/>
      </w:pPr>
      <w:r w:rsidRPr="00DD40DD">
        <w:t>A compter du 30 avril, c’est un régime de déclaration préalable qui se substitue au régime d’autorisation applicable jusqu’à présent pour le commerce électronique de médicament. Cela fait suite à la publication, au Journal officiel d’un décret et d’un arrêté le 27 février dernier</w:t>
      </w:r>
    </w:p>
    <w:p w14:paraId="7CBBE117" w14:textId="77777777" w:rsidR="00DD40DD" w:rsidRPr="00DD40DD" w:rsidRDefault="00DD40DD" w:rsidP="00DD40DD">
      <w:pPr>
        <w:pStyle w:val="Textebrut"/>
      </w:pPr>
      <w:hyperlink r:id="rId133" w:history="1">
        <w:r w:rsidRPr="00DD40DD">
          <w:rPr>
            <w:rStyle w:val="Lienhypertexte"/>
          </w:rPr>
          <w:t>https://www.lemoniteurdespharmacies.fr/legislation/justice/vente-en-ligne-de-medicaments-du-nouveau-le-30-avril</w:t>
        </w:r>
      </w:hyperlink>
    </w:p>
    <w:p w14:paraId="1FBB5B00" w14:textId="77777777" w:rsidR="00DD40DD" w:rsidRDefault="00DD40DD" w:rsidP="00DD40DD">
      <w:pPr>
        <w:pStyle w:val="Textebrut"/>
      </w:pPr>
    </w:p>
    <w:p w14:paraId="00AF4EB7" w14:textId="77777777" w:rsidR="001E7E7E" w:rsidRPr="001E7E7E" w:rsidRDefault="001E7E7E" w:rsidP="001E7E7E">
      <w:pPr>
        <w:pStyle w:val="Textebrut"/>
        <w:rPr>
          <w:b/>
          <w:bCs/>
        </w:rPr>
      </w:pPr>
      <w:r w:rsidRPr="001E7E7E">
        <w:rPr>
          <w:b/>
          <w:bCs/>
        </w:rPr>
        <w:t>Financiarisation : médecins, infirmiers, pharmaciens, des tentacules sur tout le système de santé (Le Moniteur des pharmacies, 24/04/2026). Article réservé aux abonnés (ou F9).</w:t>
      </w:r>
    </w:p>
    <w:p w14:paraId="606B7D73" w14:textId="77777777" w:rsidR="001E7E7E" w:rsidRPr="001E7E7E" w:rsidRDefault="001E7E7E" w:rsidP="001E7E7E">
      <w:pPr>
        <w:pStyle w:val="Textebrut"/>
      </w:pPr>
      <w:r w:rsidRPr="001E7E7E">
        <w:t>Le 23 avril, au Palais d’Iéna à Paris, la Chambre nationale des professions libérales (CNPL) a célébré son cinquantième anniversaire. Au cœur des débats, un sujet devenu explosif : la financiarisation des professions de santé. Pharmacies d’officine, médecine générale, spécialités médicales, soins infirmiers… partout, la même tension monte</w:t>
      </w:r>
    </w:p>
    <w:p w14:paraId="16B87CBF" w14:textId="77777777" w:rsidR="001E7E7E" w:rsidRPr="001E7E7E" w:rsidRDefault="001E7E7E" w:rsidP="001E7E7E">
      <w:pPr>
        <w:pStyle w:val="Textebrut"/>
      </w:pPr>
      <w:hyperlink r:id="rId134" w:history="1">
        <w:r w:rsidRPr="001E7E7E">
          <w:rPr>
            <w:rStyle w:val="Lienhypertexte"/>
          </w:rPr>
          <w:t>https://www.lemoniteurdespharmacies.fr/profession/interpro/financiarisation-la-pieuvre-qui-etend-ses-tentacules-sur-tout-le-systeme-de-sante</w:t>
        </w:r>
      </w:hyperlink>
    </w:p>
    <w:p w14:paraId="4247109E" w14:textId="77777777" w:rsidR="00DD40DD" w:rsidRDefault="00DD40DD" w:rsidP="00DD40DD">
      <w:pPr>
        <w:pStyle w:val="Textebrut"/>
      </w:pPr>
    </w:p>
    <w:p w14:paraId="6CF9D38B" w14:textId="7CEFCC95" w:rsidR="001E7E7E" w:rsidRDefault="00DE29FD" w:rsidP="00DD40DD">
      <w:pPr>
        <w:pStyle w:val="Textebrut"/>
      </w:pPr>
      <w:r w:rsidRPr="00DE29FD">
        <w:t xml:space="preserve">Lettre de mission du 15/04/2026 signée de la ministre de la </w:t>
      </w:r>
      <w:proofErr w:type="gramStart"/>
      <w:r w:rsidRPr="00DE29FD">
        <w:t>santé</w:t>
      </w:r>
      <w:proofErr w:type="gramEnd"/>
      <w:r w:rsidRPr="00DE29FD">
        <w:t>, ci-jointe, portant sur le rôle des biologistes médicaux dans le domaine de l'infertilité (évaluer l’existence de différences de compétences entre les biologistes médicaux médecins et pharmaciens et l'opportunité d'élargir le rôle des biologistes médicaux et leurs missions), dans le but de faciliter l'accès à l'AMP et lutter ainsi contre l'infertilité</w:t>
      </w:r>
    </w:p>
    <w:p w14:paraId="0B8F3B86" w14:textId="7FC2BF0B" w:rsidR="00DE29FD" w:rsidRDefault="00BD1BDF" w:rsidP="00DD40DD">
      <w:pPr>
        <w:pStyle w:val="Textebrut"/>
      </w:pPr>
      <w:hyperlink r:id="rId135" w:history="1">
        <w:r w:rsidRPr="00C42C24">
          <w:rPr>
            <w:rStyle w:val="Lienhypertexte"/>
          </w:rPr>
          <w:t>https://peps.sante.gouv.fr/actu/2026/26_min-sante_mission-amp_15042026.pdf</w:t>
        </w:r>
      </w:hyperlink>
    </w:p>
    <w:p w14:paraId="61034102" w14:textId="77777777" w:rsidR="00BD1BDF" w:rsidRDefault="00BD1BDF" w:rsidP="00DD40DD">
      <w:pPr>
        <w:pStyle w:val="Textebrut"/>
      </w:pPr>
    </w:p>
    <w:p w14:paraId="49779984" w14:textId="77777777" w:rsidR="003464F1" w:rsidRPr="003464F1" w:rsidRDefault="003464F1" w:rsidP="003464F1">
      <w:pPr>
        <w:pStyle w:val="Textebrut"/>
        <w:rPr>
          <w:b/>
          <w:bCs/>
        </w:rPr>
      </w:pPr>
      <w:r w:rsidRPr="003464F1">
        <w:rPr>
          <w:b/>
          <w:bCs/>
        </w:rPr>
        <w:t>Communiqué du 27/04/2026 - Semaine Européenne de la Vaccination 2026 - Protéger les jeunes grâce à la vaccination, un enjeu de santé publique majeur.</w:t>
      </w:r>
    </w:p>
    <w:p w14:paraId="0C494914" w14:textId="77777777" w:rsidR="003464F1" w:rsidRPr="003464F1" w:rsidRDefault="003464F1" w:rsidP="003464F1">
      <w:pPr>
        <w:pStyle w:val="Textebrut"/>
      </w:pPr>
      <w:r w:rsidRPr="003464F1">
        <w:t xml:space="preserve">La Semaine Européenne de la Vaccination (SEV), organisée par le </w:t>
      </w:r>
      <w:proofErr w:type="gramStart"/>
      <w:r w:rsidRPr="003464F1">
        <w:t>Ministère</w:t>
      </w:r>
      <w:proofErr w:type="gramEnd"/>
      <w:r w:rsidRPr="003464F1">
        <w:t xml:space="preserve"> de la Santé, des Familles, de l’Autonomie et des Personnes handicapées et Santé publique France, et pilotée en régions par les Agences Régionales de Santé (ARS), se déroule cette année du 27 avril au 3 mai. Cet événement est l’occasion de promouvoir la vaccination en rappelant son rôle essentiel pour se prémunir contre de nombreuses maladies infectieuses, et diminuer le risque d’épidémie. C’est un enjeu majeur de santé publique pour la protection sanitaire des populations, en particulier les plus vulnérables.</w:t>
      </w:r>
    </w:p>
    <w:p w14:paraId="72853BDC" w14:textId="77777777" w:rsidR="003464F1" w:rsidRPr="003464F1" w:rsidRDefault="003464F1" w:rsidP="003464F1">
      <w:pPr>
        <w:pStyle w:val="Textebrut"/>
      </w:pPr>
      <w:r w:rsidRPr="003464F1">
        <w:t>Cette semaine est un rendez-vous essentiel pour tous, professionnels de santé et citoyens, pour s’informer et vérifier son statut vaccinal. Elle est l’occasion de publier les dernières estimations de couvertures vaccinales, présenter les nouvelles recommandations vaccinales et rappeler les messages de prévention adaptés à tous les âges de la vie. En 2026, la SEV met particulièrement l’accent sur la vaccination des adolescents et des jeunes adultes. L’objectif : mieux protéger ces populations en renforçant la promotion des vaccinations contre les infections à papillomavirus humains (HPV) et les méningocoques, dont les recommandations vaccinales ont récemment évolué</w:t>
      </w:r>
    </w:p>
    <w:p w14:paraId="7C565E94" w14:textId="77777777" w:rsidR="003464F1" w:rsidRDefault="003464F1" w:rsidP="003464F1">
      <w:pPr>
        <w:pStyle w:val="Textebrut"/>
      </w:pPr>
      <w:hyperlink r:id="rId136" w:history="1">
        <w:r w:rsidRPr="003464F1">
          <w:rPr>
            <w:rStyle w:val="Lienhypertexte"/>
          </w:rPr>
          <w:t>https://sante.gouv.fr/actualites-presse/presse/communiques-de-presse/article/semaine-europeenne-de-la-vaccination-2026</w:t>
        </w:r>
      </w:hyperlink>
    </w:p>
    <w:p w14:paraId="1DC43D9B" w14:textId="77777777" w:rsidR="002D4598" w:rsidRPr="002D4598" w:rsidRDefault="002D4598" w:rsidP="002D4598">
      <w:pPr>
        <w:pStyle w:val="Textebrut"/>
        <w:rPr>
          <w:b/>
          <w:bCs/>
        </w:rPr>
      </w:pPr>
      <w:r w:rsidRPr="002D4598">
        <w:rPr>
          <w:b/>
          <w:bCs/>
        </w:rPr>
        <w:t>Calendrier vaccinal 2026 (27/04/2026)</w:t>
      </w:r>
    </w:p>
    <w:p w14:paraId="0C7C1D4E" w14:textId="77777777" w:rsidR="002D4598" w:rsidRDefault="002D4598" w:rsidP="002D4598">
      <w:pPr>
        <w:pStyle w:val="Textebrut"/>
      </w:pPr>
      <w:hyperlink r:id="rId137" w:history="1">
        <w:r w:rsidRPr="002D4598">
          <w:rPr>
            <w:rStyle w:val="Lienhypertexte"/>
          </w:rPr>
          <w:t>https://sante.gouv.fr/prevention-en-sante/preserver-sa-sante/vaccination/calendrier-vaccinal</w:t>
        </w:r>
      </w:hyperlink>
    </w:p>
    <w:p w14:paraId="6CC2BD01" w14:textId="77777777" w:rsidR="00C60F4B" w:rsidRPr="00C60F4B" w:rsidRDefault="00C60F4B" w:rsidP="00C60F4B">
      <w:pPr>
        <w:pStyle w:val="Textebrut"/>
        <w:rPr>
          <w:b/>
          <w:bCs/>
        </w:rPr>
      </w:pPr>
      <w:r w:rsidRPr="00C60F4B">
        <w:rPr>
          <w:b/>
          <w:bCs/>
        </w:rPr>
        <w:t>Calendrier simplifié des vaccinations, format carte postale (</w:t>
      </w:r>
      <w:proofErr w:type="spellStart"/>
      <w:r w:rsidRPr="00C60F4B">
        <w:rPr>
          <w:b/>
          <w:bCs/>
        </w:rPr>
        <w:t>SpF</w:t>
      </w:r>
      <w:proofErr w:type="spellEnd"/>
      <w:r w:rsidRPr="00C60F4B">
        <w:rPr>
          <w:b/>
          <w:bCs/>
        </w:rPr>
        <w:t>, 27/04/2026)</w:t>
      </w:r>
    </w:p>
    <w:p w14:paraId="6CBB57CA" w14:textId="05D9B5DE" w:rsidR="00C60F4B" w:rsidRPr="002D4598" w:rsidRDefault="00C60F4B" w:rsidP="00C60F4B">
      <w:pPr>
        <w:pStyle w:val="Textebrut"/>
      </w:pPr>
      <w:hyperlink r:id="rId138" w:history="1">
        <w:r w:rsidRPr="00C60F4B">
          <w:rPr>
            <w:rStyle w:val="Lienhypertexte"/>
          </w:rPr>
          <w:t>https://www.santepubliquefrance.fr/vaccination/carte-postale/calendrier-simplifie-des-vaccinations-2026-carte-postale</w:t>
        </w:r>
      </w:hyperlink>
    </w:p>
    <w:p w14:paraId="1877571E" w14:textId="77777777" w:rsidR="003464F1" w:rsidRPr="003464F1" w:rsidRDefault="003464F1" w:rsidP="003464F1">
      <w:pPr>
        <w:pStyle w:val="Textebrut"/>
        <w:rPr>
          <w:b/>
          <w:bCs/>
        </w:rPr>
      </w:pPr>
      <w:r w:rsidRPr="003464F1">
        <w:rPr>
          <w:b/>
          <w:bCs/>
        </w:rPr>
        <w:t>Vaccination des enfants, adolescents et jeunes adultes. Données 2025 (</w:t>
      </w:r>
      <w:proofErr w:type="spellStart"/>
      <w:r w:rsidRPr="003464F1">
        <w:rPr>
          <w:b/>
          <w:bCs/>
        </w:rPr>
        <w:t>SpF</w:t>
      </w:r>
      <w:proofErr w:type="spellEnd"/>
      <w:r w:rsidRPr="003464F1">
        <w:rPr>
          <w:b/>
          <w:bCs/>
        </w:rPr>
        <w:t>, 27/04/2026)</w:t>
      </w:r>
    </w:p>
    <w:p w14:paraId="3555DD69" w14:textId="77777777" w:rsidR="003464F1" w:rsidRPr="003464F1" w:rsidRDefault="003464F1" w:rsidP="003464F1">
      <w:pPr>
        <w:pStyle w:val="Textebrut"/>
      </w:pPr>
      <w:hyperlink r:id="rId139" w:history="1">
        <w:r w:rsidRPr="003464F1">
          <w:rPr>
            <w:rStyle w:val="Lienhypertexte"/>
          </w:rPr>
          <w:t>https://sante.gouv.fr/IMG/pdf/bulletinvaccination_donnees_2025_sous_embargo.pdf</w:t>
        </w:r>
      </w:hyperlink>
    </w:p>
    <w:p w14:paraId="14F601CE" w14:textId="77777777" w:rsidR="00C71BAD" w:rsidRPr="00C71BAD" w:rsidRDefault="00C71BAD" w:rsidP="00C71BAD">
      <w:pPr>
        <w:pStyle w:val="Textebrut"/>
      </w:pPr>
      <w:r w:rsidRPr="00C71BAD">
        <w:rPr>
          <w:b/>
          <w:bCs/>
        </w:rPr>
        <w:t>Calendrier vaccinal 2026 : la rougeole en première ligne (Le Moniteur des pharmacies, 27/04/2026).</w:t>
      </w:r>
      <w:r w:rsidRPr="00C71BAD">
        <w:t xml:space="preserve"> Article réservé aux abonnés (ou F9).</w:t>
      </w:r>
    </w:p>
    <w:p w14:paraId="3CB00172" w14:textId="77777777" w:rsidR="00C71BAD" w:rsidRPr="00C71BAD" w:rsidRDefault="00C71BAD" w:rsidP="00C71BAD">
      <w:pPr>
        <w:pStyle w:val="Textebrut"/>
      </w:pPr>
      <w:r w:rsidRPr="00C71BAD">
        <w:t>Publié ce 27 avril 2026, le nouveau calendrier vaccinal est dominé par une annonce : l’obligation d’immunisation contre la rougeole pour certains professionnels et étudiants. Passage en revue des évolutions depuis la dernière mise à jour de décembre 2025</w:t>
      </w:r>
    </w:p>
    <w:p w14:paraId="47344270" w14:textId="77777777" w:rsidR="00C71BAD" w:rsidRPr="00C71BAD" w:rsidRDefault="00C71BAD" w:rsidP="00C71BAD">
      <w:pPr>
        <w:pStyle w:val="Textebrut"/>
      </w:pPr>
      <w:hyperlink r:id="rId140" w:history="1">
        <w:r w:rsidRPr="00C71BAD">
          <w:rPr>
            <w:rStyle w:val="Lienhypertexte"/>
          </w:rPr>
          <w:t>https://www.lemoniteurdespharmacies.fr/nouvelles-missions/vaccination/nouveautes-du-calendrier-vaccinal-2026-la-rougeole-en-premiere-ligne</w:t>
        </w:r>
      </w:hyperlink>
    </w:p>
    <w:p w14:paraId="680236AE" w14:textId="77777777" w:rsidR="00644A1C" w:rsidRDefault="00644A1C" w:rsidP="00644A1C">
      <w:pPr>
        <w:pStyle w:val="Textebrut"/>
      </w:pPr>
    </w:p>
    <w:p w14:paraId="2E36B8B0" w14:textId="77777777" w:rsidR="00D63798" w:rsidRPr="00D63798" w:rsidRDefault="00D63798" w:rsidP="00D63798">
      <w:pPr>
        <w:pStyle w:val="Textebrut"/>
        <w:rPr>
          <w:b/>
          <w:bCs/>
        </w:rPr>
      </w:pPr>
      <w:r w:rsidRPr="00D63798">
        <w:rPr>
          <w:b/>
          <w:bCs/>
        </w:rPr>
        <w:t>Calendrier vaccinal 2026 et semaine européenne de sensibilisation (CNOP, 28/04/2026).</w:t>
      </w:r>
    </w:p>
    <w:p w14:paraId="04580E8F" w14:textId="77777777" w:rsidR="00D63798" w:rsidRPr="00D63798" w:rsidRDefault="00D63798" w:rsidP="00D63798">
      <w:pPr>
        <w:pStyle w:val="Textebrut"/>
      </w:pPr>
      <w:r w:rsidRPr="00D63798">
        <w:t>La Semaine européenne de la vaccination, coordonnée en France par le ministère chargé de la Santé et Santé publique France, se déroule du 27 avril au 3 mai. En parallèle, le calendrier vaccinal 2026 vient d’être publié. Focus sur les nouvelles recommandations vaccinales et les outils d’information mis à disposition</w:t>
      </w:r>
    </w:p>
    <w:p w14:paraId="41D5A54E" w14:textId="41333687" w:rsidR="00D63798" w:rsidRDefault="00D63798" w:rsidP="00D63798">
      <w:pPr>
        <w:pStyle w:val="Textebrut"/>
      </w:pPr>
      <w:hyperlink r:id="rId141" w:history="1">
        <w:r w:rsidRPr="00D63798">
          <w:rPr>
            <w:rStyle w:val="Lienhypertexte"/>
          </w:rPr>
          <w:t>https://www.ordre.pharmacien.fr/les-communications/focus-sur/les-actualites/calendrier-vaccinal-2026-et-semaine-europeenne-de-sensibilisation</w:t>
        </w:r>
      </w:hyperlink>
    </w:p>
    <w:p w14:paraId="4B16A660" w14:textId="77777777" w:rsidR="00D63798" w:rsidRDefault="00D63798" w:rsidP="00D63798">
      <w:pPr>
        <w:pStyle w:val="Textebrut"/>
      </w:pPr>
    </w:p>
    <w:p w14:paraId="6918506E" w14:textId="77777777" w:rsidR="00D63798" w:rsidRPr="00D63798" w:rsidRDefault="00D63798" w:rsidP="00D63798">
      <w:pPr>
        <w:pStyle w:val="Textebrut"/>
        <w:rPr>
          <w:b/>
          <w:bCs/>
        </w:rPr>
      </w:pPr>
      <w:r w:rsidRPr="00D63798">
        <w:rPr>
          <w:b/>
          <w:bCs/>
        </w:rPr>
        <w:t>« Une vie sauvée toutes les huit secondes » : l’Institut Pasteur contre-attaque face à la défiance vaccinale (Le Moniteur des pharmacies, 28/04/2026).</w:t>
      </w:r>
    </w:p>
    <w:p w14:paraId="64D27EF9" w14:textId="77777777" w:rsidR="00D63798" w:rsidRPr="00D63798" w:rsidRDefault="00D63798" w:rsidP="00D63798">
      <w:pPr>
        <w:pStyle w:val="Textebrut"/>
      </w:pPr>
      <w:r w:rsidRPr="00D63798">
        <w:t>À l’occasion de la Semaine mondiale de la vaccination, l’Institut Pasteur a réuni près de 300 personnalités autour d’un même message : une vie est sauvée toutes les huit secondes grâce aux vaccins, soit 450 par heure, 11 000 par jour et près de 4 millions par an selon l’Organisation mondiale de la santé</w:t>
      </w:r>
    </w:p>
    <w:p w14:paraId="7A5E0FB0" w14:textId="77777777" w:rsidR="00D63798" w:rsidRPr="00D63798" w:rsidRDefault="00D63798" w:rsidP="00D63798">
      <w:pPr>
        <w:pStyle w:val="Textebrut"/>
      </w:pPr>
      <w:hyperlink r:id="rId142" w:history="1">
        <w:r w:rsidRPr="00D63798">
          <w:rPr>
            <w:rStyle w:val="Lienhypertexte"/>
          </w:rPr>
          <w:t>https://www.lemoniteurdespharmacies.fr/profession/socio-professionnel/une-vie-sauvee-toutes-les-huit-secondes-linstitut-pasteur-contre-attaque-face-a-la-defiance-vaccinale</w:t>
        </w:r>
      </w:hyperlink>
    </w:p>
    <w:p w14:paraId="064B6028" w14:textId="77777777" w:rsidR="00D63798" w:rsidRDefault="00D63798" w:rsidP="00D63798">
      <w:pPr>
        <w:pStyle w:val="Textebrut"/>
      </w:pPr>
    </w:p>
    <w:p w14:paraId="61DD3F84" w14:textId="77777777" w:rsidR="008822AB" w:rsidRPr="008822AB" w:rsidRDefault="008822AB" w:rsidP="008822AB">
      <w:pPr>
        <w:pStyle w:val="Textebrut"/>
        <w:rPr>
          <w:b/>
          <w:bCs/>
        </w:rPr>
      </w:pPr>
      <w:r w:rsidRPr="008822AB">
        <w:rPr>
          <w:b/>
          <w:bCs/>
        </w:rPr>
        <w:t>Dopage et pratiques dopantes en milieu sportif (INSERM, 24/04/2026).</w:t>
      </w:r>
    </w:p>
    <w:p w14:paraId="7FDA8384" w14:textId="77777777" w:rsidR="008822AB" w:rsidRPr="008822AB" w:rsidRDefault="008822AB" w:rsidP="008822AB">
      <w:pPr>
        <w:pStyle w:val="Textebrut"/>
      </w:pPr>
      <w:r w:rsidRPr="008822AB">
        <w:t>Ce document présente la synthèse et les recommandations issues des travaux du groupe d’experts réunis par l’Inserm dans le cadre de la procédure d’expertise collective pour répondre à la demande du ministère chargé des Sports concernant le dopage et les pratiques dopantes en milieu sportif</w:t>
      </w:r>
    </w:p>
    <w:p w14:paraId="7CF4539D" w14:textId="77777777" w:rsidR="008822AB" w:rsidRPr="008822AB" w:rsidRDefault="008822AB" w:rsidP="008822AB">
      <w:pPr>
        <w:pStyle w:val="Textebrut"/>
      </w:pPr>
      <w:hyperlink r:id="rId143" w:history="1">
        <w:r w:rsidRPr="008822AB">
          <w:rPr>
            <w:rStyle w:val="Lienhypertexte"/>
          </w:rPr>
          <w:t>https://www.inserm.fr/expertise-collective/dopage-et-pratiques-dopantes-en-milieu-sportif/</w:t>
        </w:r>
      </w:hyperlink>
    </w:p>
    <w:p w14:paraId="3239C6A3" w14:textId="77777777" w:rsidR="002D4598" w:rsidRPr="002D4598" w:rsidRDefault="002D4598" w:rsidP="002D4598">
      <w:pPr>
        <w:pStyle w:val="Textebrut"/>
        <w:rPr>
          <w:b/>
          <w:bCs/>
        </w:rPr>
      </w:pPr>
      <w:r w:rsidRPr="002D4598">
        <w:rPr>
          <w:b/>
          <w:bCs/>
        </w:rPr>
        <w:t>L’Inserm appelle à mieux contrôler la composition des compléments alimentaires (Le Quotidien du pharmacien, 27/04/2026).</w:t>
      </w:r>
    </w:p>
    <w:p w14:paraId="6D863773" w14:textId="77777777" w:rsidR="002D4598" w:rsidRPr="002D4598" w:rsidRDefault="002D4598" w:rsidP="002D4598">
      <w:pPr>
        <w:pStyle w:val="Textebrut"/>
      </w:pPr>
      <w:r w:rsidRPr="002D4598">
        <w:t>L'Institut national de la santé et de la recherche médicale (Inserm) a dressé un « état des lieux du dopage et des pratiques dopantes en milieu sportif ». Pour réduire l’accès aux produits dopants et limiter le risque de « dopage involontaire », l’instance formule deux préconisations majeures : réguler l'accès aux produits dopants sur les sites accessibles au grand public et mieux contrôler la composition des compléments alimentaires</w:t>
      </w:r>
    </w:p>
    <w:p w14:paraId="510A279E" w14:textId="77777777" w:rsidR="002D4598" w:rsidRPr="002D4598" w:rsidRDefault="002D4598" w:rsidP="002D4598">
      <w:pPr>
        <w:pStyle w:val="Textebrut"/>
      </w:pPr>
      <w:hyperlink r:id="rId144" w:history="1">
        <w:r w:rsidRPr="002D4598">
          <w:rPr>
            <w:rStyle w:val="Lienhypertexte"/>
          </w:rPr>
          <w:t>https://www.lequotidiendupharmacien.fr/medicament-parapharmacie/dietetique-et-nutrition/linserm-appelle-mieux-controler-la-composition-des-complements-alimentaires</w:t>
        </w:r>
      </w:hyperlink>
    </w:p>
    <w:p w14:paraId="6B248E93" w14:textId="77777777" w:rsidR="003464F1" w:rsidRDefault="003464F1" w:rsidP="00644A1C">
      <w:pPr>
        <w:pStyle w:val="Textebrut"/>
      </w:pPr>
    </w:p>
    <w:p w14:paraId="1F7B5759" w14:textId="77777777" w:rsidR="00E6506E" w:rsidRPr="00E6506E" w:rsidRDefault="00E6506E" w:rsidP="00E6506E">
      <w:pPr>
        <w:pStyle w:val="Textebrut"/>
      </w:pPr>
      <w:r w:rsidRPr="00E6506E">
        <w:rPr>
          <w:b/>
          <w:bCs/>
        </w:rPr>
        <w:t xml:space="preserve">Click &amp; </w:t>
      </w:r>
      <w:proofErr w:type="spellStart"/>
      <w:r w:rsidRPr="00E6506E">
        <w:rPr>
          <w:b/>
          <w:bCs/>
        </w:rPr>
        <w:t>collect</w:t>
      </w:r>
      <w:proofErr w:type="spellEnd"/>
      <w:r w:rsidRPr="00E6506E">
        <w:rPr>
          <w:b/>
          <w:bCs/>
        </w:rPr>
        <w:t xml:space="preserve"> en pharmacie : les casiers sont-ils autorisés par l’Ordre des pharmaciens ? (Le Moniteur des pharmacies, 27/04/2026).</w:t>
      </w:r>
      <w:r w:rsidRPr="00E6506E">
        <w:t xml:space="preserve"> Article réservé aux abonnés (ou F9).</w:t>
      </w:r>
    </w:p>
    <w:p w14:paraId="59D2B032" w14:textId="77777777" w:rsidR="00E6506E" w:rsidRPr="00E6506E" w:rsidRDefault="00E6506E" w:rsidP="00E6506E">
      <w:pPr>
        <w:pStyle w:val="Textebrut"/>
      </w:pPr>
      <w:r w:rsidRPr="00E6506E">
        <w:t xml:space="preserve">Manque de personnel en officine, besoin de flexibilité des patients, digitalisation du parcours de soins, tout pourrait contribuer à favoriser le développement du click &amp; </w:t>
      </w:r>
      <w:proofErr w:type="spellStart"/>
      <w:r w:rsidRPr="00E6506E">
        <w:t>collect</w:t>
      </w:r>
      <w:proofErr w:type="spellEnd"/>
      <w:r w:rsidRPr="00E6506E">
        <w:t xml:space="preserve"> en santé. Pour autant, le phénomène, encore en phase de déploiement, n’a pas explosé car il reste très encadré</w:t>
      </w:r>
    </w:p>
    <w:p w14:paraId="2C94D507" w14:textId="02BE5738" w:rsidR="008822AB" w:rsidRDefault="00E6506E" w:rsidP="00E6506E">
      <w:pPr>
        <w:pStyle w:val="Textebrut"/>
      </w:pPr>
      <w:hyperlink r:id="rId145" w:history="1">
        <w:r w:rsidRPr="00E6506E">
          <w:rPr>
            <w:rStyle w:val="Lienhypertexte"/>
          </w:rPr>
          <w:t>https://www.lemoniteurdespharmacies.fr/legislation/dispensation/click-collect-en-pharmacie-les-casiers-sont-ils-vraiment-autorises-par-lordre-des-pharmaciens</w:t>
        </w:r>
      </w:hyperlink>
    </w:p>
    <w:p w14:paraId="2E63E1AD" w14:textId="77777777" w:rsidR="00E6506E" w:rsidRDefault="00E6506E" w:rsidP="00E6506E">
      <w:pPr>
        <w:pStyle w:val="Textebrut"/>
      </w:pPr>
    </w:p>
    <w:p w14:paraId="291EE8A8" w14:textId="77777777" w:rsidR="00E6506E" w:rsidRPr="00E6506E" w:rsidRDefault="00E6506E" w:rsidP="00E6506E">
      <w:pPr>
        <w:pStyle w:val="Textebrut"/>
      </w:pPr>
      <w:r w:rsidRPr="00E6506E">
        <w:rPr>
          <w:b/>
          <w:bCs/>
        </w:rPr>
        <w:t>Patients captés, prescriptions fléchées : la colère des pharmaciens contre certains prestataires (Le Moniteur des pharmacies, 27/04/2026).</w:t>
      </w:r>
      <w:r w:rsidRPr="00E6506E">
        <w:t xml:space="preserve"> Article réservé aux abonnés (ou F9).</w:t>
      </w:r>
    </w:p>
    <w:p w14:paraId="21D03E63" w14:textId="77777777" w:rsidR="00E6506E" w:rsidRPr="00E6506E" w:rsidRDefault="00E6506E" w:rsidP="00E6506E">
      <w:pPr>
        <w:pStyle w:val="Textebrut"/>
      </w:pPr>
      <w:r w:rsidRPr="00E6506E">
        <w:t>Détournement de patientèle, démarchage dans les services hospitaliers, prescriptions préremplies, gaspillage de dispositifs médicaux… De nombreux pharmaciens dénoncent des pratiques attribuées à certains prestataires de santé à domicile, jugées contraires aux règles déontologiques et parfois à la légalité. Face à la multiplication des signalements, la profession réclame à l’Assurance maladie un encadrement plus strict de ces acteurs</w:t>
      </w:r>
    </w:p>
    <w:p w14:paraId="4CF62F23" w14:textId="77777777" w:rsidR="00E6506E" w:rsidRPr="00E6506E" w:rsidRDefault="00E6506E" w:rsidP="00E6506E">
      <w:pPr>
        <w:pStyle w:val="Textebrut"/>
      </w:pPr>
      <w:hyperlink r:id="rId146" w:history="1">
        <w:r w:rsidRPr="00E6506E">
          <w:rPr>
            <w:rStyle w:val="Lienhypertexte"/>
          </w:rPr>
          <w:t>https://www.lemoniteurdespharmacies.fr/profession/socio-professionnel/patients-captes-prescriptions-flechees-la-colere-des-pharmaciens-contre-certains-prestataires</w:t>
        </w:r>
      </w:hyperlink>
    </w:p>
    <w:p w14:paraId="40667CEA" w14:textId="77777777" w:rsidR="00E6506E" w:rsidRDefault="00E6506E" w:rsidP="00E6506E">
      <w:pPr>
        <w:pStyle w:val="Textebrut"/>
      </w:pPr>
    </w:p>
    <w:p w14:paraId="160D4843" w14:textId="77777777" w:rsidR="007424C2" w:rsidRDefault="007424C2" w:rsidP="00E6506E">
      <w:pPr>
        <w:pStyle w:val="Textebrut"/>
      </w:pPr>
    </w:p>
    <w:p w14:paraId="2D1A462C" w14:textId="77777777" w:rsidR="007424C2" w:rsidRDefault="007424C2" w:rsidP="00E6506E">
      <w:pPr>
        <w:pStyle w:val="Textebrut"/>
      </w:pPr>
    </w:p>
    <w:p w14:paraId="1D9EE343" w14:textId="77777777" w:rsidR="00C71BAD" w:rsidRPr="00C71BAD" w:rsidRDefault="00C71BAD" w:rsidP="00C71BAD">
      <w:pPr>
        <w:pStyle w:val="Textebrut"/>
      </w:pPr>
      <w:r w:rsidRPr="00C71BAD">
        <w:rPr>
          <w:b/>
          <w:bCs/>
        </w:rPr>
        <w:lastRenderedPageBreak/>
        <w:t>Compléments alimentaires : un succès qui inquiète les allergologues (Le Moniteur des pharmacies, 27/04/2026).</w:t>
      </w:r>
      <w:r w:rsidRPr="00C71BAD">
        <w:t xml:space="preserve"> Article réservé aux abonnés (ou F9).</w:t>
      </w:r>
    </w:p>
    <w:p w14:paraId="73813E41" w14:textId="77777777" w:rsidR="00C71BAD" w:rsidRPr="00C71BAD" w:rsidRDefault="00C71BAD" w:rsidP="00C71BAD">
      <w:pPr>
        <w:pStyle w:val="Textebrut"/>
      </w:pPr>
      <w:r w:rsidRPr="00C71BAD">
        <w:t>Alors que leur consommation progresse fortement en France, les compléments alimentaires inquiètent de plus en plus les spécialistes, qui alertent sur des effets toxiques, des réactions allergiques et des interactions avec les médicaments encore largement sous-estimés</w:t>
      </w:r>
    </w:p>
    <w:p w14:paraId="403E374E" w14:textId="77777777" w:rsidR="00C71BAD" w:rsidRPr="00C71BAD" w:rsidRDefault="00C71BAD" w:rsidP="00C71BAD">
      <w:pPr>
        <w:pStyle w:val="Textebrut"/>
      </w:pPr>
      <w:hyperlink r:id="rId147" w:history="1">
        <w:r w:rsidRPr="00C71BAD">
          <w:rPr>
            <w:rStyle w:val="Lienhypertexte"/>
          </w:rPr>
          <w:t>https://www.lemoniteurdespharmacies.fr/conseils/sante-naturelle/complements-alimentaires-un-succes-qui-inquiete-les-allergologues</w:t>
        </w:r>
      </w:hyperlink>
    </w:p>
    <w:p w14:paraId="1EC29403" w14:textId="77777777" w:rsidR="00E6506E" w:rsidRDefault="00E6506E" w:rsidP="00E6506E">
      <w:pPr>
        <w:pStyle w:val="Textebrut"/>
      </w:pPr>
    </w:p>
    <w:p w14:paraId="209842CB" w14:textId="77777777" w:rsidR="00E27664" w:rsidRPr="00E27664" w:rsidRDefault="00E27664" w:rsidP="00E27664">
      <w:pPr>
        <w:pStyle w:val="Textebrut"/>
        <w:rPr>
          <w:b/>
          <w:bCs/>
        </w:rPr>
      </w:pPr>
      <w:r w:rsidRPr="00E27664">
        <w:rPr>
          <w:b/>
          <w:bCs/>
        </w:rPr>
        <w:t>La politique d'amélioration de la qualité des soins dans les établissements de santé (Cour des comptes, 28/04/2026).</w:t>
      </w:r>
    </w:p>
    <w:p w14:paraId="0C473553" w14:textId="77777777" w:rsidR="00E27664" w:rsidRPr="00E27664" w:rsidRDefault="00E27664" w:rsidP="00E27664">
      <w:pPr>
        <w:pStyle w:val="Textebrut"/>
      </w:pPr>
      <w:r w:rsidRPr="00E27664">
        <w:t xml:space="preserve">La qualité des soins dans les établissements de santé constitue un enjeu de santé publique majeur. </w:t>
      </w:r>
    </w:p>
    <w:p w14:paraId="22D560E2" w14:textId="77777777" w:rsidR="00E27664" w:rsidRPr="00E27664" w:rsidRDefault="00E27664" w:rsidP="00E27664">
      <w:pPr>
        <w:pStyle w:val="Textebrut"/>
      </w:pPr>
      <w:r w:rsidRPr="00E27664">
        <w:t xml:space="preserve">En France, chaque année, environ 13 millions de patients sont accueillis dans 2 965 établissements de santé répartis entre 1 330 structures publiques, 978 structures privées à but lucratif et 667 structures privées à but non lucratif. Le terme de qualité des soins est défini par la Haute Autorité de santé (HAS) et regroupe plusieurs notions telles que la sécurité des actes et interventions médicales, ainsi que leur efficience, leur accessibilité et leur pertinence, tout comme la réactivité du système de soins aux attentes du patient. </w:t>
      </w:r>
    </w:p>
    <w:p w14:paraId="6EF28CA0" w14:textId="77777777" w:rsidR="00E27664" w:rsidRPr="00E27664" w:rsidRDefault="00E27664" w:rsidP="00E27664">
      <w:pPr>
        <w:pStyle w:val="Textebrut"/>
      </w:pPr>
      <w:r w:rsidRPr="00E27664">
        <w:t>La non-qualité des soins représente un enjeu financier majeur. Sur la base des données de l’Organisation pour la coopération et le développement économique (OCDE), la Cour estime que la réparation des préjudices évitables en France s’élèverait à plus de 11 Md€ et celle du préjudice relatif aux soins inutiles ou à faible valeur à 22 Md€. Dans son rapport, la Cour s’est attachée à répondre à trois questions : la politique menée permet-elle de mesurer les évolutions de la qualité des soins dans les établissements de santé ? La politique menée permet-elle d’améliorer la qualité des soins en établissement ? La politique menée renforce-t-elle la « culture de la qualité des soins » auprès des professionnels hospitaliers tout en intégrant la place du patient ?</w:t>
      </w:r>
    </w:p>
    <w:p w14:paraId="3B1849BF" w14:textId="6A09BDC0" w:rsidR="00C71BAD" w:rsidRDefault="00E27664" w:rsidP="00E27664">
      <w:pPr>
        <w:pStyle w:val="Textebrut"/>
      </w:pPr>
      <w:hyperlink r:id="rId148" w:history="1">
        <w:r w:rsidRPr="00E27664">
          <w:rPr>
            <w:rStyle w:val="Lienhypertexte"/>
          </w:rPr>
          <w:t>https://www.ccomptes.fr/fr/publications/la-politique-damelioration-de-la-qualite-des-soins-dans-les-etablissements-de-sante</w:t>
        </w:r>
      </w:hyperlink>
    </w:p>
    <w:p w14:paraId="24EF0294" w14:textId="77777777" w:rsidR="00E27664" w:rsidRDefault="00E27664" w:rsidP="00E27664">
      <w:pPr>
        <w:pStyle w:val="Textebrut"/>
      </w:pPr>
    </w:p>
    <w:p w14:paraId="56C46BC7" w14:textId="77777777" w:rsidR="008B006A" w:rsidRPr="008B006A" w:rsidRDefault="008B006A" w:rsidP="008B006A">
      <w:pPr>
        <w:pStyle w:val="Textebrut"/>
        <w:rPr>
          <w:b/>
          <w:bCs/>
        </w:rPr>
      </w:pPr>
      <w:r w:rsidRPr="008B006A">
        <w:rPr>
          <w:b/>
          <w:bCs/>
        </w:rPr>
        <w:t>Pourquoi est</w:t>
      </w:r>
      <w:r w:rsidRPr="008B006A">
        <w:rPr>
          <w:b/>
          <w:bCs/>
        </w:rPr>
        <w:noBreakHyphen/>
        <w:t>il déconseillé de boire de l’alcool quand on prend des médicaments ? (The Conversation, 28/04/2026).</w:t>
      </w:r>
    </w:p>
    <w:p w14:paraId="4867A1FC" w14:textId="77777777" w:rsidR="008B006A" w:rsidRPr="008B006A" w:rsidRDefault="008B006A" w:rsidP="008B006A">
      <w:pPr>
        <w:pStyle w:val="Textebrut"/>
      </w:pPr>
      <w:r w:rsidRPr="008B006A">
        <w:t>Anticoagulants, antihypertenseurs, diurétiques, anxiolytiques, antidépresseurs, antidiabétiques, anticancéreux… tous ces médicaments apparemment sans grand rapport les uns avec les autres ont pourtant un point commun : ils sont sensibles aux interactions avec l’alcool. Consommer une boisson alcoolisée alors que l’on est sous traitement entraîne potentiellement des effets variés, dont certains peuvent être graves</w:t>
      </w:r>
    </w:p>
    <w:p w14:paraId="1B3B324B" w14:textId="4ABE2194" w:rsidR="00E27664" w:rsidRDefault="008B006A" w:rsidP="008B006A">
      <w:pPr>
        <w:pStyle w:val="Textebrut"/>
      </w:pPr>
      <w:hyperlink r:id="rId149" w:history="1">
        <w:r w:rsidRPr="008B006A">
          <w:rPr>
            <w:rStyle w:val="Lienhypertexte"/>
          </w:rPr>
          <w:t>https://theconversation.com/pourquoi-est-il-deconseille-de-boire-de-lalcool-quand-on-prend-des-medicaments-281078</w:t>
        </w:r>
      </w:hyperlink>
    </w:p>
    <w:p w14:paraId="42A677B0" w14:textId="77777777" w:rsidR="008B006A" w:rsidRDefault="008B006A" w:rsidP="008B006A">
      <w:pPr>
        <w:pStyle w:val="Textebrut"/>
      </w:pPr>
    </w:p>
    <w:p w14:paraId="45E612C6" w14:textId="77777777" w:rsidR="00475FEA" w:rsidRPr="00475FEA" w:rsidRDefault="00475FEA" w:rsidP="00475FEA">
      <w:pPr>
        <w:pStyle w:val="Textebrut"/>
        <w:rPr>
          <w:b/>
          <w:bCs/>
        </w:rPr>
      </w:pPr>
      <w:r w:rsidRPr="00475FEA">
        <w:rPr>
          <w:b/>
          <w:bCs/>
        </w:rPr>
        <w:t>Infections invasives à méningocoque. Bilan 2025 (</w:t>
      </w:r>
      <w:proofErr w:type="spellStart"/>
      <w:r w:rsidRPr="00475FEA">
        <w:rPr>
          <w:b/>
          <w:bCs/>
        </w:rPr>
        <w:t>SpF</w:t>
      </w:r>
      <w:proofErr w:type="spellEnd"/>
      <w:r w:rsidRPr="00475FEA">
        <w:rPr>
          <w:b/>
          <w:bCs/>
        </w:rPr>
        <w:t>, 28/04/2026).</w:t>
      </w:r>
    </w:p>
    <w:p w14:paraId="266B03F6" w14:textId="77777777" w:rsidR="00475FEA" w:rsidRPr="00475FEA" w:rsidRDefault="00475FEA" w:rsidP="00475FEA">
      <w:pPr>
        <w:pStyle w:val="Textebrut"/>
      </w:pPr>
      <w:r w:rsidRPr="00475FEA">
        <w:t>En 2025, 628 cas d’infection invasive à méningocoque (IIM) ont été déclarés (+2 % par rapport à 2024), confirmant la recrudescence des IIM observée depuis 2022.</w:t>
      </w:r>
    </w:p>
    <w:p w14:paraId="7283BE18" w14:textId="77777777" w:rsidR="00475FEA" w:rsidRPr="00475FEA" w:rsidRDefault="00475FEA" w:rsidP="00475FEA">
      <w:pPr>
        <w:pStyle w:val="Textebrut"/>
      </w:pPr>
      <w:r w:rsidRPr="00475FEA">
        <w:t>Le nombre de cas par sérogroupe était proche de celui observé en 2024 avec 279 cas d’IIM B (soit 46 % des cas de sérogroupe connu), 178 cas d’IIM W (soit 29 % des cas), 143 cas d’IIM Y (soit 23 % des cas) et 12 cas dus à d’autres sérogroupes ou des souches non capsulées (soit moins de 2 % des cas).</w:t>
      </w:r>
    </w:p>
    <w:p w14:paraId="432094BB" w14:textId="77777777" w:rsidR="00475FEA" w:rsidRPr="00475FEA" w:rsidRDefault="00475FEA" w:rsidP="00475FEA">
      <w:pPr>
        <w:pStyle w:val="Textebrut"/>
      </w:pPr>
      <w:r w:rsidRPr="00475FEA">
        <w:t>La recrudescence des IIM depuis 2022 est portée par les sérogroupes B, W et Y. Si le sérogroupe B atteint des niveaux légèrement supérieurs à ceux observés avant la pandémie Covid-19, le nombre de cas causés par les sérogroupes W et Y dépasse les niveaux observés auparavant.</w:t>
      </w:r>
    </w:p>
    <w:p w14:paraId="53F6A712" w14:textId="77777777" w:rsidR="00475FEA" w:rsidRPr="00475FEA" w:rsidRDefault="00475FEA" w:rsidP="00475FEA">
      <w:pPr>
        <w:pStyle w:val="Textebrut"/>
      </w:pPr>
      <w:r w:rsidRPr="00475FEA">
        <w:t>L’augmentation des IIM W et Y dans la population rappelle l’importance de la vaccination ACWY recommandée aux adolescents et jeunes adultes. Cette stratégie vise à leur apporter une protection directe mais également à prévenir la transmission dans les autres groupes de population.</w:t>
      </w:r>
    </w:p>
    <w:p w14:paraId="38742EE9" w14:textId="77777777" w:rsidR="00475FEA" w:rsidRPr="00475FEA" w:rsidRDefault="00475FEA" w:rsidP="00475FEA">
      <w:pPr>
        <w:pStyle w:val="Textebrut"/>
      </w:pPr>
      <w:r w:rsidRPr="00475FEA">
        <w:t>L’année 2025 a été marquée par un nombre exceptionnel de cas en janvier et février 2025 qui peut être lié à une saison de grippe 2024/25 d’intensité élevée.</w:t>
      </w:r>
    </w:p>
    <w:p w14:paraId="5C388486" w14:textId="77777777" w:rsidR="00475FEA" w:rsidRPr="00475FEA" w:rsidRDefault="00475FEA" w:rsidP="00475FEA">
      <w:pPr>
        <w:pStyle w:val="Textebrut"/>
      </w:pPr>
      <w:r w:rsidRPr="00475FEA">
        <w:t>Depuis 2023, le nombre de cas d’IIM est en hausse chez les personnes âgées en lien avec l’expansion des IIM W et Y.</w:t>
      </w:r>
    </w:p>
    <w:p w14:paraId="7F40E763" w14:textId="77777777" w:rsidR="00475FEA" w:rsidRPr="00475FEA" w:rsidRDefault="00475FEA" w:rsidP="00475FEA">
      <w:pPr>
        <w:pStyle w:val="Textebrut"/>
      </w:pPr>
      <w:r w:rsidRPr="00475FEA">
        <w:lastRenderedPageBreak/>
        <w:t>La létalité globale des IIM était de 13 % mais elle était de 21 % pour les IIM W, soulignant la gravité particulière des infections liées à ce sérogroupe.</w:t>
      </w:r>
    </w:p>
    <w:p w14:paraId="77F9B194" w14:textId="77777777" w:rsidR="00475FEA" w:rsidRPr="00475FEA" w:rsidRDefault="00475FEA" w:rsidP="00475FEA">
      <w:pPr>
        <w:pStyle w:val="Textebrut"/>
      </w:pPr>
      <w:r w:rsidRPr="00475FEA">
        <w:t>Les IIM C se maintiennent à des niveaux très faibles. Depuis 2023, aucun cas n’a été rapporté chez les moins de 15 ans, ce qui montre l’impact positif de la vaccination conjugué contre le méningocoque C</w:t>
      </w:r>
    </w:p>
    <w:p w14:paraId="5079F06D" w14:textId="411E7B45" w:rsidR="008B006A" w:rsidRDefault="00475FEA" w:rsidP="00475FEA">
      <w:pPr>
        <w:pStyle w:val="Textebrut"/>
      </w:pPr>
      <w:hyperlink r:id="rId150" w:history="1">
        <w:r w:rsidRPr="00475FEA">
          <w:rPr>
            <w:rStyle w:val="Lienhypertexte"/>
          </w:rPr>
          <w:t>https://www.santepubliquefrance.fr/infections-invasives-a-meningocoque/bulletin-regional/infections-invasives-a-meningocoque-bilan-2025</w:t>
        </w:r>
      </w:hyperlink>
    </w:p>
    <w:p w14:paraId="6B6090C2" w14:textId="77777777" w:rsidR="00C71BAD" w:rsidRDefault="00C71BAD" w:rsidP="00E6506E">
      <w:pPr>
        <w:pStyle w:val="Textebrut"/>
      </w:pPr>
    </w:p>
    <w:p w14:paraId="7026CEFB" w14:textId="77777777" w:rsidR="009D4859" w:rsidRPr="009D4859" w:rsidRDefault="009D4859" w:rsidP="009D4859">
      <w:pPr>
        <w:pStyle w:val="Textebrut"/>
      </w:pPr>
      <w:r w:rsidRPr="009D4859">
        <w:rPr>
          <w:b/>
          <w:bCs/>
        </w:rPr>
        <w:t>Vendre et acheter des médicaments n’importe où : ces risques auxquels on ne pense pas (Le Moniteur des pharmacies, 28/04/2026).</w:t>
      </w:r>
      <w:r w:rsidRPr="009D4859">
        <w:t xml:space="preserve"> Article réservé aux abonnés (ou F9).</w:t>
      </w:r>
    </w:p>
    <w:p w14:paraId="1BDF72DD" w14:textId="77777777" w:rsidR="009D4859" w:rsidRPr="009D4859" w:rsidRDefault="009D4859" w:rsidP="009D4859">
      <w:pPr>
        <w:pStyle w:val="Textebrut"/>
      </w:pPr>
      <w:r w:rsidRPr="009D4859">
        <w:t xml:space="preserve">Sur internet et les réseaux sociaux, les publicités et offres de ventes de médicaments, dont certains soumis à prescription médicale obligatoire (PMO), se multiplient. Dernier exemple en date : des antalgiques, antiépileptiques ou antiasthmatiques ont été proposés illégalement sur </w:t>
      </w:r>
      <w:proofErr w:type="spellStart"/>
      <w:r w:rsidRPr="009D4859">
        <w:t>Vinted</w:t>
      </w:r>
      <w:proofErr w:type="spellEnd"/>
      <w:r w:rsidRPr="009D4859">
        <w:t>, application initialement conçue pour la vente d’objets d’occasion. Ce faisant, vendeurs et acheteurs prennent des risques</w:t>
      </w:r>
    </w:p>
    <w:p w14:paraId="5739E80E" w14:textId="66464F8A" w:rsidR="00375C61" w:rsidRDefault="009D4859" w:rsidP="009D4859">
      <w:pPr>
        <w:pStyle w:val="Textebrut"/>
      </w:pPr>
      <w:hyperlink r:id="rId151" w:history="1">
        <w:r w:rsidRPr="009D4859">
          <w:rPr>
            <w:rStyle w:val="Lienhypertexte"/>
          </w:rPr>
          <w:t>https://www.lemoniteurdespharmacies.fr/legislation/dispensation/vendre-et-acheter-des-medicaments-nimporte-ou-ces-risques-auxquels-on-ne-pense-pas</w:t>
        </w:r>
      </w:hyperlink>
    </w:p>
    <w:p w14:paraId="6FADD3EE" w14:textId="77777777" w:rsidR="009D4859" w:rsidRDefault="009D4859" w:rsidP="009D4859">
      <w:pPr>
        <w:pStyle w:val="Textebrut"/>
      </w:pPr>
    </w:p>
    <w:p w14:paraId="36178D53" w14:textId="77777777" w:rsidR="00E9225D" w:rsidRPr="00E9225D" w:rsidRDefault="00E9225D" w:rsidP="00E9225D">
      <w:pPr>
        <w:pStyle w:val="Textebrut"/>
        <w:rPr>
          <w:b/>
          <w:bCs/>
        </w:rPr>
      </w:pPr>
      <w:r w:rsidRPr="00E9225D">
        <w:rPr>
          <w:b/>
          <w:bCs/>
        </w:rPr>
        <w:t>Diagnostic préimplantatoire et anomalies chromosomiques : les enjeux scientifiques et éthiques du DPI</w:t>
      </w:r>
      <w:r w:rsidRPr="00E9225D">
        <w:rPr>
          <w:b/>
          <w:bCs/>
        </w:rPr>
        <w:noBreakHyphen/>
        <w:t>A (The Conversation, 29/04/2026).</w:t>
      </w:r>
    </w:p>
    <w:p w14:paraId="40956A7D" w14:textId="77777777" w:rsidR="00E9225D" w:rsidRPr="00E9225D" w:rsidRDefault="00E9225D" w:rsidP="00E9225D">
      <w:pPr>
        <w:pStyle w:val="Textebrut"/>
      </w:pPr>
      <w:r w:rsidRPr="00E9225D">
        <w:t>En France, contrairement à d’autres pays, les conditions d’utilisation du diagnostic préimplantatoire sont très encadrées. Il ne peut pas être utilisé en tant que dépistage génétique global, et doit cibler uniquement un risque connu. Une situation que certains aimeraient voir évoluer</w:t>
      </w:r>
    </w:p>
    <w:p w14:paraId="3F23263C" w14:textId="77777777" w:rsidR="00E9225D" w:rsidRPr="00E9225D" w:rsidRDefault="00E9225D" w:rsidP="00E9225D">
      <w:pPr>
        <w:pStyle w:val="Textebrut"/>
      </w:pPr>
      <w:hyperlink r:id="rId152" w:history="1">
        <w:r w:rsidRPr="00E9225D">
          <w:rPr>
            <w:rStyle w:val="Lienhypertexte"/>
          </w:rPr>
          <w:t>https://theconversation.com/diagnostic-preimplantatoire-et-anomalies-chromosomiques-les-enjeux-scientifiques-et-ethiques-du-dpi-a-273039</w:t>
        </w:r>
      </w:hyperlink>
    </w:p>
    <w:p w14:paraId="26B3741C" w14:textId="77777777" w:rsidR="009D4859" w:rsidRDefault="009D4859" w:rsidP="009D4859">
      <w:pPr>
        <w:pStyle w:val="Textebrut"/>
      </w:pPr>
    </w:p>
    <w:p w14:paraId="77F0175D" w14:textId="77777777" w:rsidR="00B44A9C" w:rsidRPr="00B44A9C" w:rsidRDefault="00B44A9C" w:rsidP="00B44A9C">
      <w:pPr>
        <w:pStyle w:val="Textebrut"/>
        <w:rPr>
          <w:b/>
          <w:bCs/>
        </w:rPr>
      </w:pPr>
      <w:r w:rsidRPr="00B44A9C">
        <w:rPr>
          <w:b/>
          <w:bCs/>
        </w:rPr>
        <w:t>L’activité de vente en ligne de médicaments vétérinaires (Fiche professionnelle, CNOP, 06/05/2026)</w:t>
      </w:r>
    </w:p>
    <w:p w14:paraId="50BD39AE" w14:textId="77777777" w:rsidR="00B44A9C" w:rsidRPr="00B44A9C" w:rsidRDefault="00B44A9C" w:rsidP="00B44A9C">
      <w:pPr>
        <w:pStyle w:val="Textebrut"/>
      </w:pPr>
      <w:hyperlink r:id="rId153" w:history="1">
        <w:r w:rsidRPr="00B44A9C">
          <w:rPr>
            <w:rStyle w:val="Lienhypertexte"/>
          </w:rPr>
          <w:t>https://www.ordre.pharmacien.fr/je-suis/pharmacien/pharmacien/mon-exercice-professionnel/les-fiches-professionnelles/l-activite-de-vente-en-ligne-de-medicaments-veterinaires</w:t>
        </w:r>
      </w:hyperlink>
    </w:p>
    <w:p w14:paraId="5816DBC6" w14:textId="77777777" w:rsidR="00E9225D" w:rsidRDefault="00E9225D" w:rsidP="009D4859">
      <w:pPr>
        <w:pStyle w:val="Textebrut"/>
      </w:pPr>
    </w:p>
    <w:p w14:paraId="30D021CE" w14:textId="77777777" w:rsidR="00B44A9C" w:rsidRPr="00B44A9C" w:rsidRDefault="00B44A9C" w:rsidP="00B44A9C">
      <w:pPr>
        <w:pStyle w:val="Textebrut"/>
        <w:rPr>
          <w:b/>
          <w:bCs/>
        </w:rPr>
      </w:pPr>
      <w:r w:rsidRPr="00B44A9C">
        <w:rPr>
          <w:b/>
          <w:bCs/>
        </w:rPr>
        <w:t>Cadeaux de l’industrie pharmaceutique : les pharmaciens bretons sanctionnés par l’Ordre (Le Moniteur des pharmacies, 29/04/2026).</w:t>
      </w:r>
    </w:p>
    <w:p w14:paraId="3BADBB72" w14:textId="77777777" w:rsidR="00B44A9C" w:rsidRPr="00B44A9C" w:rsidRDefault="00B44A9C" w:rsidP="00B44A9C">
      <w:pPr>
        <w:pStyle w:val="Textebrut"/>
      </w:pPr>
      <w:r w:rsidRPr="00B44A9C">
        <w:t>Deux pharmaciens d’officine bretons ont reçu un avertissement du conseil régional de l’Ordre des pharmaciens (</w:t>
      </w:r>
      <w:proofErr w:type="spellStart"/>
      <w:r w:rsidRPr="00B44A9C">
        <w:t>Crop</w:t>
      </w:r>
      <w:proofErr w:type="spellEnd"/>
      <w:r w:rsidRPr="00B44A9C">
        <w:t xml:space="preserve">), pour avoir reçu des cadeaux de la part d’une entreprise pharmaceutique. Bien qu’anonymisées, il s’agirait selon toute vraisemblance de sanctions en lien avec l’affaire </w:t>
      </w:r>
      <w:proofErr w:type="spellStart"/>
      <w:r w:rsidRPr="00B44A9C">
        <w:t>Urgo</w:t>
      </w:r>
      <w:proofErr w:type="spellEnd"/>
      <w:r w:rsidRPr="00B44A9C">
        <w:t>. Les détails</w:t>
      </w:r>
    </w:p>
    <w:p w14:paraId="12FCD591" w14:textId="77777777" w:rsidR="00B44A9C" w:rsidRPr="00B44A9C" w:rsidRDefault="00B44A9C" w:rsidP="00B44A9C">
      <w:pPr>
        <w:pStyle w:val="Textebrut"/>
      </w:pPr>
      <w:hyperlink r:id="rId154" w:history="1">
        <w:r w:rsidRPr="00B44A9C">
          <w:rPr>
            <w:rStyle w:val="Lienhypertexte"/>
          </w:rPr>
          <w:t>https://www.lemoniteurdespharmacies.fr/legislation/justice/cadeaux-de-lindustrie-pharmaceutique-es-pharmaciens-bretons-sanctionnes-par-lordre</w:t>
        </w:r>
      </w:hyperlink>
    </w:p>
    <w:p w14:paraId="6E324318" w14:textId="77777777" w:rsidR="00B44A9C" w:rsidRDefault="00B44A9C" w:rsidP="009D4859">
      <w:pPr>
        <w:pStyle w:val="Textebrut"/>
      </w:pPr>
    </w:p>
    <w:p w14:paraId="5EE01E91" w14:textId="77777777" w:rsidR="00F14D82" w:rsidRPr="00F14D82" w:rsidRDefault="00F14D82" w:rsidP="00F14D82">
      <w:pPr>
        <w:pStyle w:val="Textebrut"/>
        <w:rPr>
          <w:b/>
          <w:bCs/>
        </w:rPr>
      </w:pPr>
      <w:r w:rsidRPr="00F14D82">
        <w:rPr>
          <w:b/>
          <w:bCs/>
        </w:rPr>
        <w:t xml:space="preserve">Dispositif médical </w:t>
      </w:r>
      <w:proofErr w:type="spellStart"/>
      <w:r w:rsidRPr="00F14D82">
        <w:rPr>
          <w:b/>
          <w:bCs/>
        </w:rPr>
        <w:t>FemBloc</w:t>
      </w:r>
      <w:proofErr w:type="spellEnd"/>
      <w:r w:rsidRPr="00F14D82">
        <w:rPr>
          <w:b/>
          <w:bCs/>
        </w:rPr>
        <w:t xml:space="preserve"> de stérilisation définitive : suspension de sa mise sur le marché et de son utilisation en France, excepté dans le cadre d’un essai clinique (ANSM, 30/04/2026).</w:t>
      </w:r>
    </w:p>
    <w:p w14:paraId="6F97CDA5" w14:textId="5B780F4D" w:rsidR="00F14D82" w:rsidRPr="00F14D82" w:rsidRDefault="00F14D82" w:rsidP="00F14D82">
      <w:pPr>
        <w:pStyle w:val="Textebrut"/>
      </w:pPr>
      <w:proofErr w:type="spellStart"/>
      <w:r w:rsidRPr="00F14D82">
        <w:t>FemBloc</w:t>
      </w:r>
      <w:proofErr w:type="spellEnd"/>
      <w:r w:rsidRPr="00F14D82">
        <w:t xml:space="preserve">, fabriqué par la société </w:t>
      </w:r>
      <w:proofErr w:type="spellStart"/>
      <w:r w:rsidRPr="00F14D82">
        <w:t>Femasys</w:t>
      </w:r>
      <w:proofErr w:type="spellEnd"/>
      <w:r w:rsidRPr="00F14D82">
        <w:t xml:space="preserve"> </w:t>
      </w:r>
      <w:proofErr w:type="spellStart"/>
      <w:r w:rsidRPr="00F14D82">
        <w:t>Inc</w:t>
      </w:r>
      <w:proofErr w:type="spellEnd"/>
      <w:r w:rsidRPr="00F14D82">
        <w:t>, est un dispositif médical de contraception féminine permanente par occlusion des trompes de Fallope.</w:t>
      </w:r>
      <w:r>
        <w:t xml:space="preserve"> </w:t>
      </w:r>
      <w:r w:rsidRPr="00F14D82">
        <w:t xml:space="preserve">L’ANSM, informée de son arrivée en France, a analysé les données cliniques disponibles. Ces données ne nous permettent pas de considérer que </w:t>
      </w:r>
      <w:proofErr w:type="spellStart"/>
      <w:r w:rsidRPr="00F14D82">
        <w:t>FemBloc</w:t>
      </w:r>
      <w:proofErr w:type="spellEnd"/>
      <w:r w:rsidRPr="00F14D82">
        <w:t xml:space="preserve"> serait, à moyen et long terme, efficace et sûr. Par conséquent, nous prenons une décision de police sanitaire (DPS) pour suspendre notamment sa mise sur le marché, sa distribution ou encore sa détention en vue de la vente ou de sa distribution à titre gratuit en France, dans l’attente de la transmission de données supplémentaires permettant de garantir sa sécurité et son efficacité.</w:t>
      </w:r>
    </w:p>
    <w:p w14:paraId="2DB930BF" w14:textId="77777777" w:rsidR="00F14D82" w:rsidRPr="00F14D82" w:rsidRDefault="00F14D82" w:rsidP="00F14D82">
      <w:pPr>
        <w:pStyle w:val="Textebrut"/>
      </w:pPr>
      <w:proofErr w:type="spellStart"/>
      <w:r w:rsidRPr="00F14D82">
        <w:t>FemBloc</w:t>
      </w:r>
      <w:proofErr w:type="spellEnd"/>
      <w:r w:rsidRPr="00F14D82">
        <w:t xml:space="preserve"> pourra néanmoins être utilisé dans le cadre d’un essai clinique post-commercialisation mis en œuvre conformément à la réglementation</w:t>
      </w:r>
    </w:p>
    <w:p w14:paraId="348FE854" w14:textId="77777777" w:rsidR="00F14D82" w:rsidRPr="00F14D82" w:rsidRDefault="00F14D82" w:rsidP="00F14D82">
      <w:pPr>
        <w:pStyle w:val="Textebrut"/>
      </w:pPr>
      <w:hyperlink r:id="rId155" w:history="1">
        <w:r w:rsidRPr="00F14D82">
          <w:rPr>
            <w:rStyle w:val="Lienhypertexte"/>
          </w:rPr>
          <w:t>https://ansm.sante.fr/actualites/dispositif-medical-fembloc-de-sterilisation-definitive-suspension-de-sa-mise-sur-le-marche-et-de-son-utilisation-en-france-excepte-dans-le-cadre-dun-essai-clinique</w:t>
        </w:r>
      </w:hyperlink>
    </w:p>
    <w:p w14:paraId="059C4732" w14:textId="77777777" w:rsidR="00B44A9C" w:rsidRDefault="00B44A9C" w:rsidP="009D4859">
      <w:pPr>
        <w:pStyle w:val="Textebrut"/>
      </w:pPr>
    </w:p>
    <w:p w14:paraId="69CCC5C7" w14:textId="77777777" w:rsidR="007424C2" w:rsidRPr="007424C2" w:rsidRDefault="007424C2" w:rsidP="007424C2">
      <w:pPr>
        <w:pStyle w:val="Textebrut"/>
        <w:rPr>
          <w:b/>
          <w:bCs/>
        </w:rPr>
      </w:pPr>
      <w:r w:rsidRPr="007424C2">
        <w:rPr>
          <w:b/>
          <w:bCs/>
        </w:rPr>
        <w:lastRenderedPageBreak/>
        <w:t>Communiqué | Evolution de la réforme d'entrée dans les études de santé. L'Académie entendue sur la simplification du système PASS/LAS et la possibilité d'un accès direct aux études de pharmacie (Académie nationale de pharmacie, 30/04/2026).</w:t>
      </w:r>
    </w:p>
    <w:p w14:paraId="6FCC5D20" w14:textId="77777777" w:rsidR="007424C2" w:rsidRPr="007424C2" w:rsidRDefault="007424C2" w:rsidP="007424C2">
      <w:pPr>
        <w:pStyle w:val="Textebrut"/>
      </w:pPr>
      <w:r w:rsidRPr="007424C2">
        <w:t>L’Académie nationale de Pharmacie salue les arbitrages ministériels du 16 avril 2026 visant à simplifier le dispositif PASS/LAS d’accès aux études de santé. Elle accueille avec satisfaction l’introduction d’une voie d’accès direct aux études de pharmacie dès le baccalauréat, répondant à des préoccupations exprimées de longue date. Cette évolution, combinée à une restructuration plus lisible de la première année en licence Santé, constitue une avancée majeure pour améliorer l’attractivité de la filière et sécuriser les parcours des étudiants</w:t>
      </w:r>
    </w:p>
    <w:p w14:paraId="5EDC9B01" w14:textId="0E1D7BCE" w:rsidR="00F14D82" w:rsidRDefault="007424C2" w:rsidP="007424C2">
      <w:pPr>
        <w:pStyle w:val="Textebrut"/>
      </w:pPr>
      <w:hyperlink r:id="rId156" w:history="1">
        <w:r w:rsidRPr="007424C2">
          <w:rPr>
            <w:rStyle w:val="Lienhypertexte"/>
          </w:rPr>
          <w:t>https://www.acadpharm.org/dos_public/CP___R1C_VF.PDF</w:t>
        </w:r>
      </w:hyperlink>
    </w:p>
    <w:p w14:paraId="30627DBE" w14:textId="77777777" w:rsidR="007424C2" w:rsidRDefault="007424C2" w:rsidP="007424C2">
      <w:pPr>
        <w:pStyle w:val="Textebrut"/>
      </w:pPr>
    </w:p>
    <w:p w14:paraId="42604C24" w14:textId="77777777" w:rsidR="00C73E01" w:rsidRDefault="00C73E01" w:rsidP="00361AD6">
      <w:pPr>
        <w:pStyle w:val="Textebrut"/>
      </w:pPr>
    </w:p>
    <w:p w14:paraId="5A017979" w14:textId="77777777" w:rsidR="007424C2" w:rsidRDefault="007424C2" w:rsidP="00361AD6">
      <w:pPr>
        <w:pStyle w:val="Textebrut"/>
      </w:pPr>
    </w:p>
    <w:p w14:paraId="1B1106E8" w14:textId="77777777" w:rsidR="007424C2" w:rsidRDefault="007424C2" w:rsidP="00361AD6">
      <w:pPr>
        <w:pStyle w:val="Textebrut"/>
      </w:pPr>
    </w:p>
    <w:p w14:paraId="56F705F2" w14:textId="77777777" w:rsidR="007424C2" w:rsidRDefault="007424C2" w:rsidP="00361AD6">
      <w:pPr>
        <w:pStyle w:val="Textebrut"/>
      </w:pPr>
    </w:p>
    <w:p w14:paraId="0355E1AA" w14:textId="77777777" w:rsidR="00C73E01" w:rsidRDefault="00C73E01" w:rsidP="00361AD6">
      <w:pPr>
        <w:pStyle w:val="Textebrut"/>
      </w:pPr>
    </w:p>
    <w:p w14:paraId="10BEEF68" w14:textId="77777777" w:rsidR="00C73E01" w:rsidRDefault="00C73E01" w:rsidP="00C73E01">
      <w:pPr>
        <w:pStyle w:val="PEPS"/>
      </w:pPr>
      <w:r>
        <w:t>Rubrique ruptures :</w:t>
      </w:r>
    </w:p>
    <w:p w14:paraId="07F3288D"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16674C71" w14:textId="77777777" w:rsidR="005C757B" w:rsidRDefault="005C757B" w:rsidP="00361AD6">
      <w:pPr>
        <w:pStyle w:val="Textebrut"/>
      </w:pPr>
      <w:r>
        <w:t>L’information complète et actualisée de la situation de toutes les spécialités est disponible sur le site de l’ANSM :</w:t>
      </w:r>
    </w:p>
    <w:p w14:paraId="13EC4CC4" w14:textId="77777777" w:rsidR="00C73E01" w:rsidRDefault="005C757B" w:rsidP="00361AD6">
      <w:pPr>
        <w:pStyle w:val="Textebrut"/>
      </w:pPr>
      <w:hyperlink r:id="rId157" w:history="1">
        <w:r w:rsidRPr="003C18E1">
          <w:rPr>
            <w:rStyle w:val="Lienhypertexte"/>
          </w:rPr>
          <w:t>https://ansm.sante.fr/disponibilites-des-produits-de-sante/medicaments</w:t>
        </w:r>
      </w:hyperlink>
    </w:p>
    <w:p w14:paraId="6B49BA24" w14:textId="77777777" w:rsidR="005C757B" w:rsidRDefault="005C757B" w:rsidP="00361AD6">
      <w:pPr>
        <w:pStyle w:val="Textebrut"/>
      </w:pPr>
    </w:p>
    <w:p w14:paraId="4D6F3342" w14:textId="77777777" w:rsidR="00E64E8C" w:rsidRPr="00E64E8C" w:rsidRDefault="00E64E8C" w:rsidP="00E64E8C">
      <w:pPr>
        <w:pStyle w:val="Textebrut"/>
        <w:rPr>
          <w:b/>
          <w:bCs/>
        </w:rPr>
      </w:pPr>
      <w:r w:rsidRPr="00E64E8C">
        <w:rPr>
          <w:b/>
          <w:bCs/>
        </w:rPr>
        <w:t>Plan hivernal 2025-2026 : une année marquée par l’absence de tensions sur les produits de santé suivis (ANSM, 14/04/2026).</w:t>
      </w:r>
    </w:p>
    <w:p w14:paraId="3E0E5BBE" w14:textId="77777777" w:rsidR="00E64E8C" w:rsidRPr="00E64E8C" w:rsidRDefault="00E64E8C" w:rsidP="00E64E8C">
      <w:pPr>
        <w:pStyle w:val="Textebrut"/>
      </w:pPr>
      <w:r w:rsidRPr="00E64E8C">
        <w:t>L’ANSM a réuni le 9 avril 2026 le comité de suivi du plan hivernal 2025-2026, composé de représentants des patients, des professionnels de santé, des acteurs de la chaîne du médicament et des institutions. Cette dernière réunion de la saison a permis à Santé publique France de partager un bilan épidémiologique à date de la surveillance des infections respiratoires aigües. Nous avons de notre côté dressé un premier bilan de cette saison hivernale quant à la disponibilité et à la consommation des molécules sentinelles</w:t>
      </w:r>
    </w:p>
    <w:p w14:paraId="47E27006" w14:textId="77777777" w:rsidR="00E64E8C" w:rsidRPr="00E64E8C" w:rsidRDefault="00E64E8C" w:rsidP="00E64E8C">
      <w:pPr>
        <w:pStyle w:val="Textebrut"/>
      </w:pPr>
      <w:hyperlink r:id="rId158" w:history="1">
        <w:r w:rsidRPr="00E64E8C">
          <w:rPr>
            <w:rStyle w:val="Lienhypertexte"/>
          </w:rPr>
          <w:t>https://ansm.sante.fr/actualites/plan-hivernal-2025-2026-une-annee-marquee-par-labsence-de-tensions-sur-les-produits-de-sante-suivis</w:t>
        </w:r>
      </w:hyperlink>
    </w:p>
    <w:p w14:paraId="243FC2E8" w14:textId="77777777" w:rsidR="00E64E8C" w:rsidRDefault="00E64E8C" w:rsidP="00361AD6">
      <w:pPr>
        <w:pStyle w:val="Textebrut"/>
      </w:pPr>
    </w:p>
    <w:p w14:paraId="01B15A37" w14:textId="77777777" w:rsidR="005711C2" w:rsidRPr="005711C2" w:rsidRDefault="005711C2" w:rsidP="005711C2">
      <w:pPr>
        <w:pStyle w:val="Textebrut"/>
        <w:rPr>
          <w:b/>
          <w:bCs/>
        </w:rPr>
      </w:pPr>
      <w:r w:rsidRPr="005711C2">
        <w:rPr>
          <w:b/>
          <w:bCs/>
        </w:rPr>
        <w:t>Point de situation sur les approvisionnements des produits de contraste (ANSM, actualisation du 03/04/2026)</w:t>
      </w:r>
    </w:p>
    <w:p w14:paraId="0BDE900E" w14:textId="77777777" w:rsidR="005711C2" w:rsidRPr="005711C2" w:rsidRDefault="005711C2" w:rsidP="005711C2">
      <w:pPr>
        <w:pStyle w:val="Textebrut"/>
      </w:pPr>
      <w:hyperlink r:id="rId159" w:history="1">
        <w:r w:rsidRPr="005711C2">
          <w:rPr>
            <w:rStyle w:val="Lienhypertexte"/>
          </w:rPr>
          <w:t>https://ansm.sante.fr/actualites/point-de-situation-sur-les-approvisionnements-des-produits-de-contraste</w:t>
        </w:r>
      </w:hyperlink>
    </w:p>
    <w:p w14:paraId="1D0CAAC6" w14:textId="77777777" w:rsidR="005711C2" w:rsidRDefault="005711C2" w:rsidP="00361AD6">
      <w:pPr>
        <w:pStyle w:val="Textebrut"/>
      </w:pPr>
    </w:p>
    <w:p w14:paraId="7DF70D47" w14:textId="2FC3CB73" w:rsidR="00E73CED" w:rsidRPr="00D07B9E" w:rsidRDefault="00E73CED" w:rsidP="00361AD6">
      <w:pPr>
        <w:pStyle w:val="Textebrut"/>
        <w:rPr>
          <w:b/>
          <w:bCs/>
        </w:rPr>
      </w:pPr>
      <w:r w:rsidRPr="00D07B9E">
        <w:rPr>
          <w:b/>
          <w:bCs/>
        </w:rPr>
        <w:t xml:space="preserve">Courrier du 31/03/2026 des laboratoires Sanofi et </w:t>
      </w:r>
      <w:proofErr w:type="spellStart"/>
      <w:r w:rsidRPr="00D07B9E">
        <w:rPr>
          <w:b/>
          <w:bCs/>
        </w:rPr>
        <w:t>Imaxio</w:t>
      </w:r>
      <w:proofErr w:type="spellEnd"/>
      <w:r w:rsidRPr="00D07B9E">
        <w:rPr>
          <w:b/>
          <w:bCs/>
        </w:rPr>
        <w:t xml:space="preserve"> annonçant la fin de commercialisation de </w:t>
      </w:r>
      <w:proofErr w:type="spellStart"/>
      <w:r w:rsidRPr="00D07B9E">
        <w:rPr>
          <w:b/>
          <w:bCs/>
        </w:rPr>
        <w:t>Tubertest</w:t>
      </w:r>
      <w:proofErr w:type="spellEnd"/>
      <w:r w:rsidRPr="00D07B9E">
        <w:rPr>
          <w:b/>
          <w:bCs/>
        </w:rPr>
        <w:t>® (Sanofi) par Tuberculine PPD® RT 23 AJV (</w:t>
      </w:r>
      <w:proofErr w:type="spellStart"/>
      <w:r w:rsidRPr="00D07B9E">
        <w:rPr>
          <w:b/>
          <w:bCs/>
        </w:rPr>
        <w:t>Imaxio</w:t>
      </w:r>
      <w:proofErr w:type="spellEnd"/>
      <w:r w:rsidRPr="00D07B9E">
        <w:rPr>
          <w:b/>
          <w:bCs/>
        </w:rPr>
        <w:t>)</w:t>
      </w:r>
    </w:p>
    <w:p w14:paraId="58101EE2" w14:textId="400A26D7" w:rsidR="00E73CED" w:rsidRDefault="00D07B9E" w:rsidP="00361AD6">
      <w:pPr>
        <w:pStyle w:val="Textebrut"/>
      </w:pPr>
      <w:hyperlink r:id="rId160" w:history="1">
        <w:r w:rsidRPr="004F40AC">
          <w:rPr>
            <w:rStyle w:val="Lienhypertexte"/>
          </w:rPr>
          <w:t>https://peps.sante.gouv.fr/actu/2026/26_sanofi-imaxio_tuberculine_31032026.pdf</w:t>
        </w:r>
      </w:hyperlink>
    </w:p>
    <w:p w14:paraId="5EFD9168" w14:textId="77777777" w:rsidR="00D07B9E" w:rsidRDefault="00D07B9E" w:rsidP="00361AD6">
      <w:pPr>
        <w:pStyle w:val="Textebrut"/>
      </w:pPr>
    </w:p>
    <w:p w14:paraId="48B4B1FC" w14:textId="77777777" w:rsidR="00D07B9E" w:rsidRPr="00D07B9E" w:rsidRDefault="00D07B9E" w:rsidP="00D07B9E">
      <w:pPr>
        <w:pStyle w:val="Textebrut"/>
        <w:rPr>
          <w:b/>
          <w:bCs/>
        </w:rPr>
      </w:pPr>
      <w:r w:rsidRPr="00D07B9E">
        <w:rPr>
          <w:b/>
          <w:bCs/>
        </w:rPr>
        <w:t xml:space="preserve">Tensions en </w:t>
      </w:r>
      <w:proofErr w:type="spellStart"/>
      <w:r w:rsidRPr="00D07B9E">
        <w:rPr>
          <w:b/>
          <w:bCs/>
        </w:rPr>
        <w:t>Wilfactin</w:t>
      </w:r>
      <w:proofErr w:type="spellEnd"/>
      <w:r w:rsidRPr="00D07B9E">
        <w:rPr>
          <w:b/>
          <w:bCs/>
        </w:rPr>
        <w:t xml:space="preserve"> : privilégiez le recours aux alternatives thérapeutiques (ANSM, 16/04/2026).</w:t>
      </w:r>
    </w:p>
    <w:p w14:paraId="571CFADE" w14:textId="77777777" w:rsidR="00D07B9E" w:rsidRPr="00D07B9E" w:rsidRDefault="00D07B9E" w:rsidP="00D07B9E">
      <w:pPr>
        <w:pStyle w:val="Textebrut"/>
      </w:pPr>
      <w:r w:rsidRPr="00D07B9E">
        <w:t xml:space="preserve">Depuis plusieurs mois, le laboratoire LFB connaît des tensions d’approvisionnement sur plusieurs médicaments dérivés du sang, dont </w:t>
      </w:r>
      <w:proofErr w:type="spellStart"/>
      <w:r w:rsidRPr="00D07B9E">
        <w:t>Wilfactin</w:t>
      </w:r>
      <w:proofErr w:type="spellEnd"/>
      <w:r w:rsidRPr="00D07B9E">
        <w:t>, utilisé dans la prise en charge des patients atteints de la maladie de Willebrand (maladie rare de la coagulation). Ces tensions d’approvisionnement sont liées à une diminution de la production de médicaments du fait de la mise à niveau de certains équipements sur son site de fabrication.</w:t>
      </w:r>
    </w:p>
    <w:p w14:paraId="0DD10D30" w14:textId="77777777" w:rsidR="00D07B9E" w:rsidRPr="00D07B9E" w:rsidRDefault="00D07B9E" w:rsidP="00D07B9E">
      <w:pPr>
        <w:pStyle w:val="Textebrut"/>
      </w:pPr>
      <w:r w:rsidRPr="00D07B9E">
        <w:t xml:space="preserve">Dans le contexte de sa faible disponibilité, nous demandons aux professionnels de santé de limiter le recours à </w:t>
      </w:r>
      <w:proofErr w:type="spellStart"/>
      <w:r w:rsidRPr="00D07B9E">
        <w:t>Wilfactin</w:t>
      </w:r>
      <w:proofErr w:type="spellEnd"/>
      <w:r w:rsidRPr="00D07B9E">
        <w:t xml:space="preserve"> aux situations suivantes : Les situations d'urgence lorsqu’aucune autre alternative n’est disponible sans délai,  Le traitement en prophylaxie des patients qui ne peuvent pas bénéficier des alternatives thérapeutiques (présentant une contre-indication à un concentré de facteur von Willebrand contenant du FVIII, facteur de coagulation), notamment les patients de moins de 18 ans</w:t>
      </w:r>
    </w:p>
    <w:p w14:paraId="27F3AB8D" w14:textId="77777777" w:rsidR="00D07B9E" w:rsidRPr="00D07B9E" w:rsidRDefault="00D07B9E" w:rsidP="00D07B9E">
      <w:pPr>
        <w:pStyle w:val="Textebrut"/>
      </w:pPr>
      <w:hyperlink r:id="rId161" w:history="1">
        <w:r w:rsidRPr="00D07B9E">
          <w:rPr>
            <w:rStyle w:val="Lienhypertexte"/>
          </w:rPr>
          <w:t>https://ansm.sante.fr/actualites/tensions-en-wilfactin-privilegiez-le-recours-aux-alternatives-therapeutiques</w:t>
        </w:r>
      </w:hyperlink>
    </w:p>
    <w:p w14:paraId="0C1CDBD7" w14:textId="77777777" w:rsidR="00D07B9E" w:rsidRDefault="00D07B9E" w:rsidP="00361AD6">
      <w:pPr>
        <w:pStyle w:val="Textebrut"/>
      </w:pPr>
    </w:p>
    <w:p w14:paraId="53AB6F7D" w14:textId="77777777" w:rsidR="00964481" w:rsidRPr="00964481" w:rsidRDefault="00964481" w:rsidP="00964481">
      <w:pPr>
        <w:pStyle w:val="Textebrut"/>
        <w:rPr>
          <w:b/>
          <w:bCs/>
        </w:rPr>
      </w:pPr>
      <w:proofErr w:type="spellStart"/>
      <w:r w:rsidRPr="00964481">
        <w:rPr>
          <w:b/>
          <w:bCs/>
        </w:rPr>
        <w:lastRenderedPageBreak/>
        <w:t>Fébuxostat</w:t>
      </w:r>
      <w:proofErr w:type="spellEnd"/>
      <w:r w:rsidRPr="00964481">
        <w:rPr>
          <w:b/>
          <w:bCs/>
        </w:rPr>
        <w:t xml:space="preserve"> 80 mg (</w:t>
      </w:r>
      <w:proofErr w:type="spellStart"/>
      <w:r w:rsidRPr="00964481">
        <w:rPr>
          <w:b/>
          <w:bCs/>
        </w:rPr>
        <w:t>Adenuric</w:t>
      </w:r>
      <w:proofErr w:type="spellEnd"/>
      <w:r w:rsidRPr="00964481">
        <w:rPr>
          <w:b/>
          <w:bCs/>
        </w:rPr>
        <w:t xml:space="preserve"> et génériques) : recommandations pour l'ajustement des traitements (ANSM, actualisation du 02/04/2026).</w:t>
      </w:r>
    </w:p>
    <w:p w14:paraId="72E0FD14" w14:textId="77777777" w:rsidR="00964481" w:rsidRPr="00964481" w:rsidRDefault="00964481" w:rsidP="00964481">
      <w:pPr>
        <w:pStyle w:val="Textebrut"/>
      </w:pPr>
      <w:r w:rsidRPr="00964481">
        <w:t xml:space="preserve">Le </w:t>
      </w:r>
      <w:proofErr w:type="spellStart"/>
      <w:r w:rsidRPr="00964481">
        <w:t>fébuxostat</w:t>
      </w:r>
      <w:proofErr w:type="spellEnd"/>
      <w:r w:rsidRPr="00964481">
        <w:t xml:space="preserve"> 80 mg (</w:t>
      </w:r>
      <w:proofErr w:type="spellStart"/>
      <w:r w:rsidRPr="00964481">
        <w:t>Adenuric</w:t>
      </w:r>
      <w:proofErr w:type="spellEnd"/>
      <w:r w:rsidRPr="00964481">
        <w:t xml:space="preserve"> et génériques) est de nouveau disponible en quantité suffisante tout au long de la chaîne d’approvisionnement depuis mi-mars 2026, même si quelques laboratoires peuvent connaître ponctuellement des difficultés résiduelles.</w:t>
      </w:r>
    </w:p>
    <w:p w14:paraId="3C59CCF8" w14:textId="77777777" w:rsidR="00964481" w:rsidRPr="00964481" w:rsidRDefault="00964481" w:rsidP="00964481">
      <w:pPr>
        <w:pStyle w:val="Textebrut"/>
      </w:pPr>
      <w:r w:rsidRPr="00964481">
        <w:t xml:space="preserve">Les médecins peuvent donc reprendre les initiations de traitement à base de </w:t>
      </w:r>
      <w:proofErr w:type="spellStart"/>
      <w:r w:rsidRPr="00964481">
        <w:t>fébuxostat</w:t>
      </w:r>
      <w:proofErr w:type="spellEnd"/>
      <w:r w:rsidRPr="00964481">
        <w:t xml:space="preserve"> 80 mg. Pour rappel, l’allopurinol reste le médicament de première intention dans la prise en charge de l’hyperuricémie chronique</w:t>
      </w:r>
    </w:p>
    <w:p w14:paraId="5C1924BA" w14:textId="77777777" w:rsidR="00964481" w:rsidRPr="00964481" w:rsidRDefault="00964481" w:rsidP="00964481">
      <w:pPr>
        <w:pStyle w:val="Textebrut"/>
      </w:pPr>
      <w:hyperlink r:id="rId162" w:history="1">
        <w:r w:rsidRPr="00964481">
          <w:rPr>
            <w:rStyle w:val="Lienhypertexte"/>
          </w:rPr>
          <w:t>https://ansm.sante.fr/actualites/febuxostat-80-mg-adenuric-et-generiques-recommandations-pour-lajustement-des-traitements</w:t>
        </w:r>
      </w:hyperlink>
    </w:p>
    <w:p w14:paraId="64D8AE55" w14:textId="77777777" w:rsidR="00964481" w:rsidRDefault="00964481" w:rsidP="00361AD6">
      <w:pPr>
        <w:pStyle w:val="Textebrut"/>
      </w:pPr>
    </w:p>
    <w:p w14:paraId="6995A0E0" w14:textId="77777777" w:rsidR="00A079C2" w:rsidRPr="00A079C2" w:rsidRDefault="00A079C2" w:rsidP="00A079C2">
      <w:pPr>
        <w:pStyle w:val="Textebrut"/>
        <w:rPr>
          <w:b/>
          <w:bCs/>
        </w:rPr>
      </w:pPr>
      <w:r w:rsidRPr="00A079C2">
        <w:rPr>
          <w:b/>
          <w:bCs/>
        </w:rPr>
        <w:t xml:space="preserve">Tensions d’approvisionnement en </w:t>
      </w:r>
      <w:proofErr w:type="spellStart"/>
      <w:r w:rsidRPr="00A079C2">
        <w:rPr>
          <w:b/>
          <w:bCs/>
        </w:rPr>
        <w:t>Etopophos</w:t>
      </w:r>
      <w:proofErr w:type="spellEnd"/>
      <w:r w:rsidRPr="00A079C2">
        <w:rPr>
          <w:b/>
          <w:bCs/>
        </w:rPr>
        <w:t xml:space="preserve"> 100 mg (phosphate d’</w:t>
      </w:r>
      <w:proofErr w:type="spellStart"/>
      <w:r w:rsidRPr="00A079C2">
        <w:rPr>
          <w:b/>
          <w:bCs/>
        </w:rPr>
        <w:t>étoposide</w:t>
      </w:r>
      <w:proofErr w:type="spellEnd"/>
      <w:r w:rsidRPr="00A079C2">
        <w:rPr>
          <w:b/>
          <w:bCs/>
        </w:rPr>
        <w:t>) : contingentement qualitatif strict à partir du 23 avril 2026 (ANSM, 23/04/2026).</w:t>
      </w:r>
    </w:p>
    <w:p w14:paraId="2C49B2A1" w14:textId="77777777" w:rsidR="00A079C2" w:rsidRPr="00A079C2" w:rsidRDefault="00A079C2" w:rsidP="00A079C2">
      <w:pPr>
        <w:pStyle w:val="Textebrut"/>
      </w:pPr>
      <w:r w:rsidRPr="00A079C2">
        <w:t xml:space="preserve">Les tensions d’approvisionnement en </w:t>
      </w:r>
      <w:proofErr w:type="spellStart"/>
      <w:r w:rsidRPr="00A079C2">
        <w:t>Etopophos</w:t>
      </w:r>
      <w:proofErr w:type="spellEnd"/>
      <w:r w:rsidRPr="00A079C2">
        <w:t xml:space="preserve"> 100 mg, lyophilisat pour usage parentéral utilisé à l’hôpital en association avec d’autres agents de chimiothérapie dans le traitement de plusieurs types de cancers et d’hémopathies malignes, s’accentuent.</w:t>
      </w:r>
    </w:p>
    <w:p w14:paraId="22568AA1" w14:textId="77777777" w:rsidR="00A079C2" w:rsidRPr="00A079C2" w:rsidRDefault="00A079C2" w:rsidP="00A079C2">
      <w:pPr>
        <w:pStyle w:val="Textebrut"/>
      </w:pPr>
      <w:r w:rsidRPr="00A079C2">
        <w:t>Face à cette situation, un protocole de contingentement qualitatif strict est mis en place à partir du 23 avril 2026 par le laboratoire, à la demande de l’ANSM, afin de réserver les stocks restants aux patients pour lesquels aucune alternative thérapeutique n’existe, en ciblant des indications prioritaires : les protocoles intensifs et/ou nécessitant une perfusion à forte concentration ; les patients présentant une hypersensibilité avérée au VP16, une voie d’abord altérée et/ou un risque accru d’extravasation. Pour les autres patients, des solutions alternatives sont disponibles en quantité suffisante</w:t>
      </w:r>
    </w:p>
    <w:p w14:paraId="6D11088B" w14:textId="77777777" w:rsidR="00A079C2" w:rsidRPr="00A079C2" w:rsidRDefault="00A079C2" w:rsidP="00A079C2">
      <w:pPr>
        <w:pStyle w:val="Textebrut"/>
      </w:pPr>
      <w:hyperlink r:id="rId163" w:history="1">
        <w:r w:rsidRPr="00A079C2">
          <w:rPr>
            <w:rStyle w:val="Lienhypertexte"/>
          </w:rPr>
          <w:t>https://ansm.sante.fr/actualites/tensions-dapprovisionnement-en-etopophos-100-mg-phosphate-detoposide-contingentement-qualitatif-strict-a-partir-du-23-avril-2026</w:t>
        </w:r>
      </w:hyperlink>
    </w:p>
    <w:p w14:paraId="20250A58" w14:textId="77777777" w:rsidR="00096629" w:rsidRPr="00096629" w:rsidRDefault="00096629" w:rsidP="00096629">
      <w:pPr>
        <w:pStyle w:val="Textebrut"/>
      </w:pPr>
      <w:proofErr w:type="spellStart"/>
      <w:r w:rsidRPr="00096629">
        <w:t>Etopophos</w:t>
      </w:r>
      <w:proofErr w:type="spellEnd"/>
      <w:r w:rsidRPr="00096629">
        <w:t xml:space="preserve"> 100 mg, lyophilisat pour usage parentéral – [</w:t>
      </w:r>
      <w:proofErr w:type="spellStart"/>
      <w:r w:rsidRPr="00096629">
        <w:t>étoposide</w:t>
      </w:r>
      <w:proofErr w:type="spellEnd"/>
      <w:r w:rsidRPr="00096629">
        <w:t>] – Tension d’approvisionnement depuis le 02/01/2026 (ANSM, actualisation du 23/04/2026).</w:t>
      </w:r>
    </w:p>
    <w:p w14:paraId="480A98ED" w14:textId="77777777" w:rsidR="00096629" w:rsidRPr="00096629" w:rsidRDefault="00096629" w:rsidP="00096629">
      <w:pPr>
        <w:pStyle w:val="Textebrut"/>
      </w:pPr>
      <w:r w:rsidRPr="00096629">
        <w:t xml:space="preserve">Situation à l'hôpital : tension. Un contingentement qualitatif strict est mis en place. Consultez le courrier d’information du laboratoire </w:t>
      </w:r>
      <w:proofErr w:type="spellStart"/>
      <w:r w:rsidRPr="00096629">
        <w:t>Cheplapharm</w:t>
      </w:r>
      <w:proofErr w:type="spellEnd"/>
      <w:r w:rsidRPr="00096629">
        <w:t xml:space="preserve"> France en date du 22/04/2026 à l'attention des professionnels de santé (23/04/2026). Consultez le formulaire de demande de la spécialité </w:t>
      </w:r>
      <w:proofErr w:type="spellStart"/>
      <w:r w:rsidRPr="00096629">
        <w:t>Etopophos</w:t>
      </w:r>
      <w:proofErr w:type="spellEnd"/>
      <w:r w:rsidRPr="00096629">
        <w:t xml:space="preserve"> 100 mg (23/04/2026). Consultez les informations dans le cadre du contingentement qualitatif. Date de remise à disposition prévue : mi-juin 2026</w:t>
      </w:r>
    </w:p>
    <w:p w14:paraId="59999676" w14:textId="77777777" w:rsidR="00096629" w:rsidRPr="00096629" w:rsidRDefault="00096629" w:rsidP="00096629">
      <w:pPr>
        <w:pStyle w:val="Textebrut"/>
      </w:pPr>
      <w:hyperlink r:id="rId164" w:history="1">
        <w:r w:rsidRPr="00096629">
          <w:rPr>
            <w:rStyle w:val="Lienhypertexte"/>
          </w:rPr>
          <w:t>https://ansm.sante.fr/disponibilites-des-produits-de-sante/medicaments/etopophos-100-mg-lyophilisat-pour-usage-parenteral-etoposide</w:t>
        </w:r>
      </w:hyperlink>
    </w:p>
    <w:p w14:paraId="71750F92" w14:textId="77777777" w:rsidR="00A079C2" w:rsidRDefault="00A079C2" w:rsidP="00995924">
      <w:pPr>
        <w:pStyle w:val="Textebrut"/>
      </w:pPr>
    </w:p>
    <w:p w14:paraId="79FBF6E2" w14:textId="5249BA18" w:rsidR="00995924" w:rsidRPr="00995924" w:rsidRDefault="00995924" w:rsidP="00995924">
      <w:pPr>
        <w:pStyle w:val="Textebrut"/>
      </w:pPr>
      <w:proofErr w:type="spellStart"/>
      <w:r w:rsidRPr="00995924">
        <w:t>Alepsal</w:t>
      </w:r>
      <w:proofErr w:type="spellEnd"/>
      <w:r w:rsidRPr="00995924">
        <w:t>, comprimé – [caféine / phénobarbital] – Tension d’approvisionnement depuis le 02/01/2026 (ANSM, actualisation du 01/04/2026).</w:t>
      </w:r>
    </w:p>
    <w:p w14:paraId="523B3316" w14:textId="77777777" w:rsidR="00995924" w:rsidRPr="00995924" w:rsidRDefault="00995924" w:rsidP="00995924">
      <w:pPr>
        <w:pStyle w:val="Textebrut"/>
      </w:pPr>
      <w:r w:rsidRPr="00995924">
        <w:t>Situation en ville : tension. Situation à l'hôpital : tension. Lettre d’information du laboratoire en date du 30/03/2026 à l'attention des médecins prescripteurs (01/04/2026). Les dosages 15 mg, 50 mg et 100 mg sont en rupture. Le dosage 150 mg est disponible. Des spécialités à base de phénobarbital sont disponibles. Date de remise à disposition prévue : début mai 2026</w:t>
      </w:r>
    </w:p>
    <w:p w14:paraId="4423BDEA" w14:textId="77777777" w:rsidR="00995924" w:rsidRPr="00995924" w:rsidRDefault="00995924" w:rsidP="00995924">
      <w:pPr>
        <w:pStyle w:val="Textebrut"/>
      </w:pPr>
      <w:hyperlink r:id="rId165" w:history="1">
        <w:r w:rsidRPr="00995924">
          <w:rPr>
            <w:rStyle w:val="Lienhypertexte"/>
          </w:rPr>
          <w:t>https://ansm.sante.fr/disponibilites-des-produits-de-sante/medicaments/alepsal-comprime-cafeine-phenobarbital</w:t>
        </w:r>
      </w:hyperlink>
    </w:p>
    <w:p w14:paraId="670F698B" w14:textId="77777777" w:rsidR="005711C2" w:rsidRDefault="005711C2" w:rsidP="00361AD6">
      <w:pPr>
        <w:pStyle w:val="Textebrut"/>
      </w:pPr>
    </w:p>
    <w:p w14:paraId="438B581A" w14:textId="77777777" w:rsidR="00523A2E" w:rsidRPr="00523A2E" w:rsidRDefault="00523A2E" w:rsidP="00523A2E">
      <w:pPr>
        <w:pStyle w:val="Textebrut"/>
      </w:pPr>
      <w:proofErr w:type="spellStart"/>
      <w:r w:rsidRPr="00523A2E">
        <w:t>Zinnat</w:t>
      </w:r>
      <w:proofErr w:type="spellEnd"/>
      <w:r w:rsidRPr="00523A2E">
        <w:t xml:space="preserve"> 125 mg/5 ml enfants et nourrissons, granulés pour suspension buvable en flacon – [</w:t>
      </w:r>
      <w:proofErr w:type="spellStart"/>
      <w:r w:rsidRPr="00523A2E">
        <w:t>céfuroxime</w:t>
      </w:r>
      <w:proofErr w:type="spellEnd"/>
      <w:r w:rsidRPr="00523A2E">
        <w:t xml:space="preserve"> </w:t>
      </w:r>
      <w:proofErr w:type="spellStart"/>
      <w:r w:rsidRPr="00523A2E">
        <w:t>axétil</w:t>
      </w:r>
      <w:proofErr w:type="spellEnd"/>
      <w:r w:rsidRPr="00523A2E">
        <w:t>] – Remise à disposition à partir du 03/04/2026 (ANSM, 03/04/2026)</w:t>
      </w:r>
    </w:p>
    <w:p w14:paraId="53BFADFE" w14:textId="77777777" w:rsidR="00523A2E" w:rsidRPr="00523A2E" w:rsidRDefault="00523A2E" w:rsidP="00523A2E">
      <w:pPr>
        <w:pStyle w:val="Textebrut"/>
      </w:pPr>
      <w:hyperlink r:id="rId166" w:history="1">
        <w:r w:rsidRPr="00523A2E">
          <w:rPr>
            <w:rStyle w:val="Lienhypertexte"/>
          </w:rPr>
          <w:t>https://ansm.sante.fr/disponibilites-des-produits-de-sante/medicaments/zinnat-125-mg-5-ml-enfants-et-nourrissons-granules-pour-suspension-buvable-en-flacon-cefuroxime-axetil</w:t>
        </w:r>
      </w:hyperlink>
    </w:p>
    <w:p w14:paraId="59DCFC95" w14:textId="77777777" w:rsidR="00523A2E" w:rsidRDefault="00523A2E" w:rsidP="00361AD6">
      <w:pPr>
        <w:pStyle w:val="Textebrut"/>
      </w:pPr>
    </w:p>
    <w:p w14:paraId="668A54C3" w14:textId="77777777" w:rsidR="00C078A3" w:rsidRPr="00C078A3" w:rsidRDefault="00C078A3" w:rsidP="00C078A3">
      <w:pPr>
        <w:pStyle w:val="Textebrut"/>
      </w:pPr>
      <w:proofErr w:type="spellStart"/>
      <w:r w:rsidRPr="00C078A3">
        <w:t>Quinimax</w:t>
      </w:r>
      <w:proofErr w:type="spellEnd"/>
      <w:r w:rsidRPr="00C078A3">
        <w:t xml:space="preserve"> 500 mg, comprimé pelliculé sécable – [</w:t>
      </w:r>
      <w:proofErr w:type="spellStart"/>
      <w:r w:rsidRPr="00C078A3">
        <w:t>inchonidine</w:t>
      </w:r>
      <w:proofErr w:type="spellEnd"/>
      <w:r w:rsidRPr="00C078A3">
        <w:t xml:space="preserve"> (</w:t>
      </w:r>
      <w:proofErr w:type="spellStart"/>
      <w:r w:rsidRPr="00C078A3">
        <w:t>monochlorhydrate</w:t>
      </w:r>
      <w:proofErr w:type="spellEnd"/>
      <w:r w:rsidRPr="00C078A3">
        <w:t xml:space="preserve"> de) monohydraté/cinchonine (chlorhydrate de) </w:t>
      </w:r>
      <w:proofErr w:type="spellStart"/>
      <w:r w:rsidRPr="00C078A3">
        <w:t>dihydraté</w:t>
      </w:r>
      <w:proofErr w:type="spellEnd"/>
      <w:r w:rsidRPr="00C078A3">
        <w:t>/quinidine (chlorhydrate de) monohydraté/quinine (chlorhydrate de)] – Rupture de stock depuis le 02/02/2026 (ANSM, actualisation du 03/04/2026).</w:t>
      </w:r>
    </w:p>
    <w:p w14:paraId="63E2B1BA" w14:textId="77777777" w:rsidR="00C078A3" w:rsidRPr="00C078A3" w:rsidRDefault="00C078A3" w:rsidP="00C078A3">
      <w:pPr>
        <w:pStyle w:val="Textebrut"/>
      </w:pPr>
      <w:r w:rsidRPr="00C078A3">
        <w:t>Situation en ville : rupture. Situation à l'hôpital : rupture. Disponibilité d'un stock limité de dépannage d'urgence en ville et à l'hôpital. Date de remise à disposition prévue mi-juin 2026</w:t>
      </w:r>
    </w:p>
    <w:p w14:paraId="0AC91433" w14:textId="77777777" w:rsidR="00C078A3" w:rsidRPr="00C078A3" w:rsidRDefault="00C078A3" w:rsidP="00C078A3">
      <w:pPr>
        <w:pStyle w:val="Textebrut"/>
      </w:pPr>
      <w:hyperlink r:id="rId167" w:history="1">
        <w:r w:rsidRPr="00C078A3">
          <w:rPr>
            <w:rStyle w:val="Lienhypertexte"/>
          </w:rPr>
          <w:t>https://ansm.sante.fr/disponibilites-des-produits-de-sante/medicaments/quinimax-500-mg-comprime-pellicule-secable-inchonidine-monochlorhydrate-de-monohydrate-cinchonine-chlorhydrate-de-dihydrate-quinidine-chlorhydrate-de-monohydrate-quinine-chlorhydrate-de</w:t>
        </w:r>
      </w:hyperlink>
    </w:p>
    <w:p w14:paraId="1EF11C8A" w14:textId="77777777" w:rsidR="00C078A3" w:rsidRDefault="00C078A3" w:rsidP="00361AD6">
      <w:pPr>
        <w:pStyle w:val="Textebrut"/>
      </w:pPr>
    </w:p>
    <w:p w14:paraId="023982DA" w14:textId="77777777" w:rsidR="00567782" w:rsidRPr="00567782" w:rsidRDefault="00567782" w:rsidP="00567782">
      <w:pPr>
        <w:pStyle w:val="Textebrut"/>
      </w:pPr>
      <w:proofErr w:type="spellStart"/>
      <w:r w:rsidRPr="00567782">
        <w:t>Clomipramine</w:t>
      </w:r>
      <w:proofErr w:type="spellEnd"/>
      <w:r w:rsidRPr="00567782">
        <w:t xml:space="preserve"> </w:t>
      </w:r>
      <w:proofErr w:type="spellStart"/>
      <w:r w:rsidRPr="00567782">
        <w:t>Viatris</w:t>
      </w:r>
      <w:proofErr w:type="spellEnd"/>
      <w:r w:rsidRPr="00567782">
        <w:t xml:space="preserve"> 25 mg, comprimé pelliculé – [</w:t>
      </w:r>
      <w:proofErr w:type="spellStart"/>
      <w:r w:rsidRPr="00567782">
        <w:t>clomipramine</w:t>
      </w:r>
      <w:proofErr w:type="spellEnd"/>
      <w:r w:rsidRPr="00567782">
        <w:t xml:space="preserve"> (chlorhydrate de)] – Tension d’approvisionnement depuis le 04/07/2025 (ANSM, actualisation du 10/04/2026).</w:t>
      </w:r>
    </w:p>
    <w:p w14:paraId="735DA99A" w14:textId="77777777" w:rsidR="00567782" w:rsidRPr="00567782" w:rsidRDefault="00567782" w:rsidP="00567782">
      <w:pPr>
        <w:pStyle w:val="Textebrut"/>
      </w:pPr>
      <w:r w:rsidRPr="00567782">
        <w:t>Situation en ville : tension. Contingentement quantitatif en ville. Date de remise à disposition prévue : courant juillet 2026</w:t>
      </w:r>
    </w:p>
    <w:p w14:paraId="6B40814D" w14:textId="77777777" w:rsidR="00567782" w:rsidRPr="00567782" w:rsidRDefault="00567782" w:rsidP="00567782">
      <w:pPr>
        <w:pStyle w:val="Textebrut"/>
      </w:pPr>
      <w:hyperlink r:id="rId168" w:history="1">
        <w:r w:rsidRPr="00567782">
          <w:rPr>
            <w:rStyle w:val="Lienhypertexte"/>
          </w:rPr>
          <w:t>https://ansm.sante.fr/disponibilites-des-produits-de-sante/medicaments/clomipramine-viatris-25-mg-comprime-pellicule-clomipramine-chlorhydrate-de</w:t>
        </w:r>
      </w:hyperlink>
    </w:p>
    <w:p w14:paraId="4EFA63E4" w14:textId="77777777" w:rsidR="00567782" w:rsidRDefault="00567782" w:rsidP="00361AD6">
      <w:pPr>
        <w:pStyle w:val="Textebrut"/>
      </w:pPr>
    </w:p>
    <w:p w14:paraId="77EF5F64" w14:textId="77777777" w:rsidR="00EC2C98" w:rsidRPr="00EC2C98" w:rsidRDefault="00EC2C98" w:rsidP="00EC2C98">
      <w:pPr>
        <w:pStyle w:val="Textebrut"/>
      </w:pPr>
      <w:r w:rsidRPr="00EC2C98">
        <w:t>Rispéridone 4 mg comprimé orodispersible – [rispéridone] – Remise à disposition à partir du 13/04/2026 (ANSM, 13/04/2026)</w:t>
      </w:r>
    </w:p>
    <w:p w14:paraId="352B6CA6" w14:textId="77777777" w:rsidR="00EC2C98" w:rsidRPr="00EC2C98" w:rsidRDefault="00EC2C98" w:rsidP="00EC2C98">
      <w:pPr>
        <w:pStyle w:val="Textebrut"/>
      </w:pPr>
      <w:hyperlink r:id="rId169" w:history="1">
        <w:r w:rsidRPr="00EC2C98">
          <w:rPr>
            <w:rStyle w:val="Lienhypertexte"/>
          </w:rPr>
          <w:t>https://ansm.sante.fr/disponibilites-des-produits-de-sante/medicaments/risperidone-4-mg-comprime-orodispersible-risperidone</w:t>
        </w:r>
      </w:hyperlink>
    </w:p>
    <w:p w14:paraId="5DF3F6BE" w14:textId="77777777" w:rsidR="00EC2C98" w:rsidRDefault="00EC2C98" w:rsidP="00EC2C98">
      <w:pPr>
        <w:pStyle w:val="Textebrut"/>
      </w:pPr>
    </w:p>
    <w:p w14:paraId="734DBA13" w14:textId="77777777" w:rsidR="00EC2C98" w:rsidRPr="00EC2C98" w:rsidRDefault="00EC2C98" w:rsidP="00EC2C98">
      <w:pPr>
        <w:pStyle w:val="Textebrut"/>
      </w:pPr>
      <w:r w:rsidRPr="00EC2C98">
        <w:t>Spécialités à base de Venlafaxine LP 37,5 mg et LP 75 mg en gélule à libération prolongée – [venlafaxine] – Tension d’approvisionnement depuis le 20/03/2025 (ANSM, actualisation du 13/04/2026).</w:t>
      </w:r>
    </w:p>
    <w:p w14:paraId="07E8700E" w14:textId="77777777" w:rsidR="00EC2C98" w:rsidRPr="00EC2C98" w:rsidRDefault="00EC2C98" w:rsidP="00EC2C98">
      <w:pPr>
        <w:pStyle w:val="Textebrut"/>
      </w:pPr>
      <w:r w:rsidRPr="00EC2C98">
        <w:t>Distribution contingentée des spécialités à base de Venlafaxine LP 37,5 mg et LP 75 mg en gélule à libération prolongée. Remise à disposition normale prévue courant 2026</w:t>
      </w:r>
    </w:p>
    <w:p w14:paraId="7B1F7404" w14:textId="77777777" w:rsidR="00EC2C98" w:rsidRPr="00EC2C98" w:rsidRDefault="00EC2C98" w:rsidP="00EC2C98">
      <w:pPr>
        <w:pStyle w:val="Textebrut"/>
      </w:pPr>
      <w:hyperlink r:id="rId170" w:history="1">
        <w:r w:rsidRPr="00EC2C98">
          <w:rPr>
            <w:rStyle w:val="Lienhypertexte"/>
          </w:rPr>
          <w:t>https://ansm.sante.fr/disponibilites-des-produits-de-sante/medicaments/specialites-a-base-de-venlafaxine-lp-37-5-mg-et-lp-75-mg-en-gelule-a-liberation-prolongee-venlafaxine</w:t>
        </w:r>
      </w:hyperlink>
    </w:p>
    <w:p w14:paraId="7321EF89" w14:textId="77777777" w:rsidR="00EC2C98" w:rsidRDefault="00EC2C98" w:rsidP="00361AD6">
      <w:pPr>
        <w:pStyle w:val="Textebrut"/>
      </w:pPr>
    </w:p>
    <w:p w14:paraId="1C0AFF25" w14:textId="77777777" w:rsidR="007D7E10" w:rsidRPr="007D7E10" w:rsidRDefault="007D7E10" w:rsidP="007D7E10">
      <w:pPr>
        <w:pStyle w:val="Textebrut"/>
      </w:pPr>
      <w:proofErr w:type="spellStart"/>
      <w:r w:rsidRPr="007D7E10">
        <w:t>Teralithe</w:t>
      </w:r>
      <w:proofErr w:type="spellEnd"/>
      <w:r w:rsidRPr="007D7E10">
        <w:t xml:space="preserve"> LP 400 mg, comprimé sécable à libération prolongée – [lithium (carbonate de)] – Remise à disposition à partir du 08/04/2026 (ANSM, 14/04/2026)</w:t>
      </w:r>
    </w:p>
    <w:p w14:paraId="6CEAF28C" w14:textId="77777777" w:rsidR="007D7E10" w:rsidRPr="007D7E10" w:rsidRDefault="007D7E10" w:rsidP="007D7E10">
      <w:pPr>
        <w:pStyle w:val="Textebrut"/>
      </w:pPr>
      <w:hyperlink r:id="rId171" w:history="1">
        <w:r w:rsidRPr="007D7E10">
          <w:rPr>
            <w:rStyle w:val="Lienhypertexte"/>
          </w:rPr>
          <w:t>https://ansm.sante.fr/disponibilites-des-produits-de-sante/medicaments/teralithe-lp-400-mg-comprime-secable-a-liberation-prolongee-lithium-carbonate-de</w:t>
        </w:r>
      </w:hyperlink>
    </w:p>
    <w:p w14:paraId="3D6535CC" w14:textId="77777777" w:rsidR="007D7E10" w:rsidRDefault="007D7E10" w:rsidP="00361AD6">
      <w:pPr>
        <w:pStyle w:val="Textebrut"/>
      </w:pPr>
    </w:p>
    <w:p w14:paraId="150F0A3E" w14:textId="77777777" w:rsidR="00D211D0" w:rsidRPr="00D211D0" w:rsidRDefault="00D211D0" w:rsidP="00D211D0">
      <w:pPr>
        <w:pStyle w:val="Textebrut"/>
      </w:pPr>
      <w:proofErr w:type="spellStart"/>
      <w:r w:rsidRPr="00D211D0">
        <w:t>Varivax</w:t>
      </w:r>
      <w:proofErr w:type="spellEnd"/>
      <w:r w:rsidRPr="00D211D0">
        <w:t>, poudre et solvant pour suspension injectable en seringue préremplie. Vaccin varicelleux (vivant) – [virus de la varicelle souche Oka (vivant, atténué) ((mammifères/humain/cellules diploïdes MRC-5))] – Tension d’approvisionnement depuis le 20/01/2026 (ANSM, 15/04/2026).</w:t>
      </w:r>
    </w:p>
    <w:p w14:paraId="7D08AF95" w14:textId="77777777" w:rsidR="00D211D0" w:rsidRPr="00D211D0" w:rsidRDefault="00D211D0" w:rsidP="00D211D0">
      <w:pPr>
        <w:pStyle w:val="Textebrut"/>
      </w:pPr>
      <w:r w:rsidRPr="00D211D0">
        <w:t>Situation en ville : tension. Contingentement quantitatif en ville. Date de remise à disposition prévue : courant juin 2026</w:t>
      </w:r>
    </w:p>
    <w:p w14:paraId="5144D6C5" w14:textId="77777777" w:rsidR="00D211D0" w:rsidRPr="00D211D0" w:rsidRDefault="00D211D0" w:rsidP="00D211D0">
      <w:pPr>
        <w:pStyle w:val="Textebrut"/>
      </w:pPr>
      <w:hyperlink r:id="rId172" w:history="1">
        <w:r w:rsidRPr="00D211D0">
          <w:rPr>
            <w:rStyle w:val="Lienhypertexte"/>
          </w:rPr>
          <w:t>https://ansm.sante.fr/disponibilites-des-produits-de-sante/medicaments/varivax-poudre-et-solvant-pour-suspension-injectable-en-seringue-preremplie-vaccin-varicelleux-vivant-virus-de-la-varicelle-souche-oka-vivant-attenue-mammiferes-humain-cellules-diploides-mrc-5</w:t>
        </w:r>
      </w:hyperlink>
    </w:p>
    <w:p w14:paraId="36A5AA04" w14:textId="77777777" w:rsidR="00D211D0" w:rsidRDefault="00D211D0" w:rsidP="00361AD6">
      <w:pPr>
        <w:pStyle w:val="Textebrut"/>
      </w:pPr>
    </w:p>
    <w:p w14:paraId="791A2449" w14:textId="77777777" w:rsidR="00873F94" w:rsidRPr="00873F94" w:rsidRDefault="00873F94" w:rsidP="00873F94">
      <w:pPr>
        <w:pStyle w:val="Textebrut"/>
      </w:pPr>
      <w:r w:rsidRPr="00873F94">
        <w:t>Rispéridone 0,5 mg, comprimé orodispersible – [rispéridone] – Tension d’approvisionnement depuis le 04/02/2025 (ANSM, actualisation du 17/04/2026).</w:t>
      </w:r>
    </w:p>
    <w:p w14:paraId="7AEEF62F" w14:textId="77777777" w:rsidR="00873F94" w:rsidRPr="00873F94" w:rsidRDefault="00873F94" w:rsidP="00873F94">
      <w:pPr>
        <w:pStyle w:val="Textebrut"/>
      </w:pPr>
      <w:r w:rsidRPr="00873F94">
        <w:t xml:space="preserve">Situation en ville : tension. Situation à l'hôpital : tension. Contingentement quantitatif en ville et à l'hôpital. Pour les personnes </w:t>
      </w:r>
      <w:proofErr w:type="gramStart"/>
      <w:r w:rsidRPr="00873F94">
        <w:t>ayant</w:t>
      </w:r>
      <w:proofErr w:type="gramEnd"/>
      <w:r w:rsidRPr="00873F94">
        <w:t xml:space="preserve"> des difficultés à avaler, la solution buvable est disponible. Date de remise à disposition prévue : fin juillet 2026</w:t>
      </w:r>
    </w:p>
    <w:p w14:paraId="3C67580B" w14:textId="77777777" w:rsidR="00873F94" w:rsidRPr="00873F94" w:rsidRDefault="00873F94" w:rsidP="00873F94">
      <w:pPr>
        <w:pStyle w:val="Textebrut"/>
      </w:pPr>
      <w:hyperlink r:id="rId173" w:history="1">
        <w:r w:rsidRPr="00873F94">
          <w:rPr>
            <w:rStyle w:val="Lienhypertexte"/>
          </w:rPr>
          <w:t>https://ansm.sante.fr/disponibilites-des-produits-de-sante/medicaments/risperidone-0-5-mg-comprime-orodispersible-risperidone</w:t>
        </w:r>
      </w:hyperlink>
    </w:p>
    <w:p w14:paraId="471A138B" w14:textId="77777777" w:rsidR="00873F94" w:rsidRDefault="00873F94" w:rsidP="00361AD6">
      <w:pPr>
        <w:pStyle w:val="Textebrut"/>
      </w:pPr>
    </w:p>
    <w:p w14:paraId="464BA39E" w14:textId="77777777" w:rsidR="004C4C85" w:rsidRPr="004C4C85" w:rsidRDefault="004C4C85" w:rsidP="004C4C85">
      <w:pPr>
        <w:pStyle w:val="Textebrut"/>
      </w:pPr>
      <w:r w:rsidRPr="004C4C85">
        <w:t>Méthylphénidate EG LP, comprimé à libération prolongée – [méthylphénidate (chlorhydrate de)] – Tension d’approvisionnement depuis le 12/11/2025 (ANSM, actualisation du 20/04/2026).</w:t>
      </w:r>
    </w:p>
    <w:p w14:paraId="5ED0C86D" w14:textId="77777777" w:rsidR="004C4C85" w:rsidRPr="004C4C85" w:rsidRDefault="004C4C85" w:rsidP="004C4C85">
      <w:pPr>
        <w:pStyle w:val="Textebrut"/>
      </w:pPr>
      <w:r w:rsidRPr="004C4C85">
        <w:t>Situation en ville : tension. Contingentement quantitatif en ville. Consultez les recommandations pour les pharmaciens. Dates de remises à disposition effectives : Dosage LP 54 mg : remise à disposition normale depuis le 20/04/2026 ; Dates de remises à disposition prévues : Dosage LP 18 mg : courant 2026 ; Dosage LP 36 mg : mai 2026</w:t>
      </w:r>
    </w:p>
    <w:p w14:paraId="0AA5EA3F" w14:textId="77777777" w:rsidR="004C4C85" w:rsidRPr="004C4C85" w:rsidRDefault="004C4C85" w:rsidP="004C4C85">
      <w:pPr>
        <w:pStyle w:val="Textebrut"/>
      </w:pPr>
      <w:hyperlink r:id="rId174" w:history="1">
        <w:r w:rsidRPr="004C4C85">
          <w:rPr>
            <w:rStyle w:val="Lienhypertexte"/>
          </w:rPr>
          <w:t>https://ansm.sante.fr/disponibilites-des-produits-de-sante/medicaments/methylphenidate-eg-lp-18-mg-et-36-mg-comprime-a-liberation-prolongee-methylphenidate-chlorhydrate-de</w:t>
        </w:r>
      </w:hyperlink>
    </w:p>
    <w:p w14:paraId="43A20E61" w14:textId="77777777" w:rsidR="004C4C85" w:rsidRDefault="004C4C85" w:rsidP="00361AD6">
      <w:pPr>
        <w:pStyle w:val="Textebrut"/>
      </w:pPr>
    </w:p>
    <w:p w14:paraId="6B5FFFDB" w14:textId="77777777" w:rsidR="004C4C85" w:rsidRPr="004C4C85" w:rsidRDefault="004C4C85" w:rsidP="004C4C85">
      <w:pPr>
        <w:pStyle w:val="Textebrut"/>
      </w:pPr>
      <w:proofErr w:type="spellStart"/>
      <w:r w:rsidRPr="004C4C85">
        <w:t>Tegretol</w:t>
      </w:r>
      <w:proofErr w:type="spellEnd"/>
      <w:r w:rsidRPr="004C4C85">
        <w:t xml:space="preserve"> 20 mg/ml, suspension buvable - [carbamazépine] – Tension d’approvisionnement depuis le 12/03/2026 (ANSM, 20/04/2026).</w:t>
      </w:r>
    </w:p>
    <w:p w14:paraId="5CE76912" w14:textId="77777777" w:rsidR="004C4C85" w:rsidRPr="004C4C85" w:rsidRDefault="004C4C85" w:rsidP="004C4C85">
      <w:pPr>
        <w:pStyle w:val="Textebrut"/>
      </w:pPr>
      <w:r w:rsidRPr="004C4C85">
        <w:t>Situation en ville : rupture. Situation à l'hôpital : tension. Disponibilité d'un stock limité de dépannage d'urgence en ville. Lettre d’information du laboratoire Novartis Pharma SAS en date du 20/04/2026 à l'attention des professionnels de santé. Date de remise à disposition prévue : fin avril 2026</w:t>
      </w:r>
    </w:p>
    <w:p w14:paraId="34B6C2C3" w14:textId="77777777" w:rsidR="004C4C85" w:rsidRPr="004C4C85" w:rsidRDefault="004C4C85" w:rsidP="004C4C85">
      <w:pPr>
        <w:pStyle w:val="Textebrut"/>
      </w:pPr>
      <w:hyperlink r:id="rId175" w:history="1">
        <w:r w:rsidRPr="004C4C85">
          <w:rPr>
            <w:rStyle w:val="Lienhypertexte"/>
          </w:rPr>
          <w:t>https://ansm.sante.fr/disponibilites-des-produits-de-sante/medicaments/tegretol-20-mg-ml-suspension-buvable-carbamazepine</w:t>
        </w:r>
      </w:hyperlink>
    </w:p>
    <w:p w14:paraId="7E470697" w14:textId="77777777" w:rsidR="004C4C85" w:rsidRDefault="004C4C85" w:rsidP="00361AD6">
      <w:pPr>
        <w:pStyle w:val="Textebrut"/>
      </w:pPr>
    </w:p>
    <w:p w14:paraId="301657ED" w14:textId="77777777" w:rsidR="006D3045" w:rsidRPr="006D3045" w:rsidRDefault="006D3045" w:rsidP="006D3045">
      <w:pPr>
        <w:pStyle w:val="Textebrut"/>
      </w:pPr>
      <w:proofErr w:type="spellStart"/>
      <w:r w:rsidRPr="006D3045">
        <w:t>Zypadhera</w:t>
      </w:r>
      <w:proofErr w:type="spellEnd"/>
      <w:r w:rsidRPr="006D3045">
        <w:t xml:space="preserve"> 210 mg, poudre et solvant pour suspension injectable à libération prolongée – [olanzapine (</w:t>
      </w:r>
      <w:proofErr w:type="spellStart"/>
      <w:r w:rsidRPr="006D3045">
        <w:t>pamoate</w:t>
      </w:r>
      <w:proofErr w:type="spellEnd"/>
      <w:r w:rsidRPr="006D3045">
        <w:t xml:space="preserve"> d') monohydraté] – Remise à disposition à partir du 21/04/2026 (ANSM, 21/04/2026)</w:t>
      </w:r>
    </w:p>
    <w:p w14:paraId="6437DE69" w14:textId="77777777" w:rsidR="006D3045" w:rsidRPr="006D3045" w:rsidRDefault="006D3045" w:rsidP="006D3045">
      <w:pPr>
        <w:pStyle w:val="Textebrut"/>
      </w:pPr>
      <w:hyperlink r:id="rId176" w:history="1">
        <w:r w:rsidRPr="006D3045">
          <w:rPr>
            <w:rStyle w:val="Lienhypertexte"/>
          </w:rPr>
          <w:t>https://ansm.sante.fr/disponibilites-des-produits-de-sante/medicaments/zypadhera-210-mg-poudre-et-solvant-pour-suspension-injectable-a-liberation-prolongee-olanzapine-pamoate-d-monohydrate</w:t>
        </w:r>
      </w:hyperlink>
    </w:p>
    <w:p w14:paraId="758B3C64" w14:textId="77777777" w:rsidR="006D3045" w:rsidRDefault="006D3045" w:rsidP="00361AD6">
      <w:pPr>
        <w:pStyle w:val="Textebrut"/>
      </w:pPr>
    </w:p>
    <w:p w14:paraId="227C78FD" w14:textId="77777777" w:rsidR="00AA52DF" w:rsidRPr="00AA52DF" w:rsidRDefault="00AA52DF" w:rsidP="00AA52DF">
      <w:pPr>
        <w:pStyle w:val="Textebrut"/>
      </w:pPr>
      <w:proofErr w:type="spellStart"/>
      <w:r w:rsidRPr="00AA52DF">
        <w:t>Zypadhera</w:t>
      </w:r>
      <w:proofErr w:type="spellEnd"/>
      <w:r w:rsidRPr="00AA52DF">
        <w:t xml:space="preserve"> 300 mg, poudre et solvant pour suspension injectable à libération prolongée - [olanzapine (</w:t>
      </w:r>
      <w:proofErr w:type="spellStart"/>
      <w:r w:rsidRPr="00AA52DF">
        <w:t>pamoate</w:t>
      </w:r>
      <w:proofErr w:type="spellEnd"/>
      <w:r w:rsidRPr="00AA52DF">
        <w:t xml:space="preserve"> d') monohydraté] – Tension d’approvisionnement depuis le 02/05/2024 (ANSM, actualisation du 21/04/2026).</w:t>
      </w:r>
    </w:p>
    <w:p w14:paraId="1C3A3397" w14:textId="77777777" w:rsidR="00AA52DF" w:rsidRPr="00AA52DF" w:rsidRDefault="00AA52DF" w:rsidP="00AA52DF">
      <w:pPr>
        <w:pStyle w:val="Textebrut"/>
      </w:pPr>
      <w:r w:rsidRPr="00AA52DF">
        <w:t>Situation à l'hôpital : tension. Contingentement quantitatif à l'hôpital. Date de remise à disposition indéterminée</w:t>
      </w:r>
    </w:p>
    <w:p w14:paraId="7FD9EBBD" w14:textId="77777777" w:rsidR="00AA52DF" w:rsidRPr="00AA52DF" w:rsidRDefault="00AA52DF" w:rsidP="00AA52DF">
      <w:pPr>
        <w:pStyle w:val="Textebrut"/>
      </w:pPr>
      <w:hyperlink r:id="rId177" w:history="1">
        <w:r w:rsidRPr="00AA52DF">
          <w:rPr>
            <w:rStyle w:val="Lienhypertexte"/>
          </w:rPr>
          <w:t>https://ansm.sante.fr/disponibilites-des-produits-de-sante/medicaments/zypadhera-300-mg-poudre-et-solvant-pour-suspension-injectable-a-liberation-prolongee-olanzapine-pamoate-d-monohydrate</w:t>
        </w:r>
      </w:hyperlink>
    </w:p>
    <w:p w14:paraId="3C92B62D" w14:textId="77777777" w:rsidR="006D3045" w:rsidRDefault="006D3045" w:rsidP="00361AD6">
      <w:pPr>
        <w:pStyle w:val="Textebrut"/>
      </w:pPr>
    </w:p>
    <w:p w14:paraId="232D8C78" w14:textId="77777777" w:rsidR="00AA52DF" w:rsidRPr="00AA52DF" w:rsidRDefault="00AA52DF" w:rsidP="00AA52DF">
      <w:pPr>
        <w:pStyle w:val="Textebrut"/>
      </w:pPr>
      <w:proofErr w:type="spellStart"/>
      <w:r w:rsidRPr="00AA52DF">
        <w:t>Zypadhera</w:t>
      </w:r>
      <w:proofErr w:type="spellEnd"/>
      <w:r w:rsidRPr="00AA52DF">
        <w:t xml:space="preserve"> 405 mg, poudre et solvant pour suspension injectable à libération prolongée – [olanzapine (</w:t>
      </w:r>
      <w:proofErr w:type="spellStart"/>
      <w:r w:rsidRPr="00AA52DF">
        <w:t>pamoate</w:t>
      </w:r>
      <w:proofErr w:type="spellEnd"/>
      <w:r w:rsidRPr="00AA52DF">
        <w:t xml:space="preserve"> d') monohydraté] – Remise à disposition à partir du 21/04/2026 (ANSM, 21/04/2026)</w:t>
      </w:r>
    </w:p>
    <w:p w14:paraId="2572A6F2" w14:textId="77777777" w:rsidR="00AA52DF" w:rsidRPr="00AA52DF" w:rsidRDefault="00AA52DF" w:rsidP="00AA52DF">
      <w:pPr>
        <w:pStyle w:val="Textebrut"/>
      </w:pPr>
      <w:hyperlink r:id="rId178" w:history="1">
        <w:r w:rsidRPr="00AA52DF">
          <w:rPr>
            <w:rStyle w:val="Lienhypertexte"/>
          </w:rPr>
          <w:t>https://ansm.sante.fr/disponibilites-des-produits-de-sante/medicaments/zypadhera-405-mg-poudre-et-solvant-pour-suspension-injectable-a-liberation-prolongee-olanzapine-pamoate-d-monohydrate</w:t>
        </w:r>
      </w:hyperlink>
    </w:p>
    <w:p w14:paraId="1215044E" w14:textId="77777777" w:rsidR="00AA52DF" w:rsidRDefault="00AA52DF" w:rsidP="00361AD6">
      <w:pPr>
        <w:pStyle w:val="Textebrut"/>
      </w:pPr>
    </w:p>
    <w:p w14:paraId="1DCAA5D9" w14:textId="77777777" w:rsidR="000500B5" w:rsidRPr="000500B5" w:rsidRDefault="000500B5" w:rsidP="000500B5">
      <w:pPr>
        <w:pStyle w:val="Textebrut"/>
      </w:pPr>
      <w:proofErr w:type="spellStart"/>
      <w:r w:rsidRPr="000500B5">
        <w:t>Teralithe</w:t>
      </w:r>
      <w:proofErr w:type="spellEnd"/>
      <w:r w:rsidRPr="000500B5">
        <w:t xml:space="preserve"> 250 mg, comprimé sécable – [lithium (carbonate de)] – Tension d’approvisionnement depuis le 17/09/2025 (ANSM, actualisation du 22/04/2026).</w:t>
      </w:r>
    </w:p>
    <w:p w14:paraId="02493F31" w14:textId="77777777" w:rsidR="000500B5" w:rsidRPr="000500B5" w:rsidRDefault="000500B5" w:rsidP="000500B5">
      <w:pPr>
        <w:pStyle w:val="Textebrut"/>
      </w:pPr>
      <w:r w:rsidRPr="000500B5">
        <w:t xml:space="preserve">Situation en ville : tension. Situation à l'hôpital : tension. Mise à disposition exceptionnelle et transitoire d’unités de la spécialité </w:t>
      </w:r>
      <w:proofErr w:type="spellStart"/>
      <w:r w:rsidRPr="000500B5">
        <w:t>Teralithe</w:t>
      </w:r>
      <w:proofErr w:type="spellEnd"/>
      <w:r w:rsidRPr="000500B5">
        <w:t xml:space="preserve"> 250 mg, comprimé sécable, initialement destinées au marché tunisien, et d’un lot 2018 non sérialisé. Lettre d’information du laboratoire en date du 25/02/2026 à l'attention des professionnels de santé. Présence sur le marché de lots des médicaments </w:t>
      </w:r>
      <w:proofErr w:type="spellStart"/>
      <w:r w:rsidRPr="000500B5">
        <w:t>Teralithe</w:t>
      </w:r>
      <w:proofErr w:type="spellEnd"/>
      <w:r w:rsidRPr="000500B5">
        <w:t xml:space="preserve"> (250 mg et LP 400 mg) comportant des notices qui ne sont pas à jour. Consultez le courrier d'information en date du 27/10/2025 à destination des professionnels de santé et des patients concernant la mise à jour des notices (29/10/2025). Date de remise à disposition prévue : courant juin 2026</w:t>
      </w:r>
    </w:p>
    <w:p w14:paraId="4F09E79B" w14:textId="77777777" w:rsidR="000500B5" w:rsidRPr="000500B5" w:rsidRDefault="000500B5" w:rsidP="000500B5">
      <w:pPr>
        <w:pStyle w:val="Textebrut"/>
      </w:pPr>
      <w:hyperlink r:id="rId179" w:history="1">
        <w:r w:rsidRPr="000500B5">
          <w:rPr>
            <w:rStyle w:val="Lienhypertexte"/>
          </w:rPr>
          <w:t>https://ansm.sante.fr/disponibilites-des-produits-de-sante/medicaments/teralithe-250-mg-comprime-secable-lithium-carbonate-de</w:t>
        </w:r>
      </w:hyperlink>
    </w:p>
    <w:p w14:paraId="6B2AAD99" w14:textId="77777777" w:rsidR="000500B5" w:rsidRDefault="000500B5" w:rsidP="00361AD6">
      <w:pPr>
        <w:pStyle w:val="Textebrut"/>
      </w:pPr>
    </w:p>
    <w:p w14:paraId="6AD21750" w14:textId="77777777" w:rsidR="00F465DD" w:rsidRPr="00F465DD" w:rsidRDefault="00F465DD" w:rsidP="00F465DD">
      <w:pPr>
        <w:pStyle w:val="Textebrut"/>
      </w:pPr>
      <w:r w:rsidRPr="00F465DD">
        <w:t>Rispéridone 3 mg comprimé orodispersible – [rispéridone] – Rupture de stock depuis le 24/09/2025 (ANSM, 22/04/2026).</w:t>
      </w:r>
    </w:p>
    <w:p w14:paraId="18D54AEE" w14:textId="77777777" w:rsidR="00F465DD" w:rsidRPr="00F465DD" w:rsidRDefault="00F465DD" w:rsidP="00F465DD">
      <w:pPr>
        <w:pStyle w:val="Textebrut"/>
      </w:pPr>
      <w:r w:rsidRPr="00F465DD">
        <w:t>Situation en ville : rupture. Situation à l'hôpital : rupture. Date de remise à disposition prévue : fin juillet 2026</w:t>
      </w:r>
    </w:p>
    <w:p w14:paraId="49A85178" w14:textId="77777777" w:rsidR="00F465DD" w:rsidRPr="00F465DD" w:rsidRDefault="00F465DD" w:rsidP="00F465DD">
      <w:pPr>
        <w:pStyle w:val="Textebrut"/>
      </w:pPr>
      <w:hyperlink r:id="rId180" w:history="1">
        <w:r w:rsidRPr="00F465DD">
          <w:rPr>
            <w:rStyle w:val="Lienhypertexte"/>
          </w:rPr>
          <w:t>https://ansm.sante.fr/disponibilites-des-produits-de-sante/medicaments/risperidone-3-mg-comprime-orodispersible-risperidone</w:t>
        </w:r>
      </w:hyperlink>
    </w:p>
    <w:p w14:paraId="303763A8" w14:textId="77777777" w:rsidR="00F465DD" w:rsidRDefault="00F465DD" w:rsidP="00361AD6">
      <w:pPr>
        <w:pStyle w:val="Textebrut"/>
      </w:pPr>
    </w:p>
    <w:p w14:paraId="7EB13858" w14:textId="77777777" w:rsidR="00754AC1" w:rsidRPr="00754AC1" w:rsidRDefault="00754AC1" w:rsidP="00754AC1">
      <w:pPr>
        <w:pStyle w:val="Textebrut"/>
      </w:pPr>
      <w:proofErr w:type="spellStart"/>
      <w:r w:rsidRPr="00754AC1">
        <w:t>Varivax</w:t>
      </w:r>
      <w:proofErr w:type="spellEnd"/>
      <w:r w:rsidRPr="00754AC1">
        <w:t>, poudre et solvant pour suspension injectable en seringue préremplie. Vaccin varicelleux (vivant) – [virus de la varicelle souche Oka (vivant, atténué) ((mammifères/humain/cellules diploïdes MRC-5))] – Tension d’approvisionnement depuis le 20/01/2026 (ANSM, actualisation du 23/04/2026).</w:t>
      </w:r>
    </w:p>
    <w:p w14:paraId="6FCB926F" w14:textId="77777777" w:rsidR="00754AC1" w:rsidRPr="00754AC1" w:rsidRDefault="00754AC1" w:rsidP="00754AC1">
      <w:pPr>
        <w:pStyle w:val="Textebrut"/>
      </w:pPr>
      <w:r w:rsidRPr="00754AC1">
        <w:t>Situation en ville : tension. Contingentement quantitatif en ville. Date de remise à disposition prévue : courant mai 2026</w:t>
      </w:r>
    </w:p>
    <w:p w14:paraId="6FBD9FF0" w14:textId="77777777" w:rsidR="00754AC1" w:rsidRPr="00754AC1" w:rsidRDefault="00754AC1" w:rsidP="00754AC1">
      <w:pPr>
        <w:pStyle w:val="Textebrut"/>
      </w:pPr>
      <w:hyperlink r:id="rId181" w:history="1">
        <w:r w:rsidRPr="00754AC1">
          <w:rPr>
            <w:rStyle w:val="Lienhypertexte"/>
          </w:rPr>
          <w:t>https://ansm.sante.fr/disponibilites-des-produits-de-sante/medicaments/varivax-poudre-et-solvant-pour-suspension-injectable-en-seringue-preremplie-vaccin-varicelleux-vivant-virus-de-la-varicelle-souche-oka-vivant-attenue-mammiferes-humain-cellules-diploides-mrc-5</w:t>
        </w:r>
      </w:hyperlink>
    </w:p>
    <w:p w14:paraId="0464C4F9" w14:textId="77777777" w:rsidR="00754AC1" w:rsidRDefault="00754AC1" w:rsidP="00361AD6">
      <w:pPr>
        <w:pStyle w:val="Textebrut"/>
      </w:pPr>
    </w:p>
    <w:p w14:paraId="718E0510" w14:textId="77777777" w:rsidR="00754AC1" w:rsidRPr="00754AC1" w:rsidRDefault="00754AC1" w:rsidP="00754AC1">
      <w:pPr>
        <w:pStyle w:val="Textebrut"/>
      </w:pPr>
      <w:proofErr w:type="spellStart"/>
      <w:r w:rsidRPr="00754AC1">
        <w:t>Combantrin</w:t>
      </w:r>
      <w:proofErr w:type="spellEnd"/>
      <w:r w:rsidRPr="00754AC1">
        <w:t xml:space="preserve"> 125 mg, comprimé – [</w:t>
      </w:r>
      <w:proofErr w:type="spellStart"/>
      <w:r w:rsidRPr="00754AC1">
        <w:t>pyrantel</w:t>
      </w:r>
      <w:proofErr w:type="spellEnd"/>
      <w:r w:rsidRPr="00754AC1">
        <w:t xml:space="preserve"> (</w:t>
      </w:r>
      <w:proofErr w:type="spellStart"/>
      <w:r w:rsidRPr="00754AC1">
        <w:t>embonate</w:t>
      </w:r>
      <w:proofErr w:type="spellEnd"/>
      <w:r w:rsidRPr="00754AC1">
        <w:t xml:space="preserve"> de)] – Remise à disposition à partir du 15/12/2025 (ANSM, 23/04/2026)</w:t>
      </w:r>
    </w:p>
    <w:p w14:paraId="70653178" w14:textId="77777777" w:rsidR="00754AC1" w:rsidRPr="00754AC1" w:rsidRDefault="00754AC1" w:rsidP="00754AC1">
      <w:pPr>
        <w:pStyle w:val="Textebrut"/>
      </w:pPr>
      <w:hyperlink r:id="rId182" w:history="1">
        <w:r w:rsidRPr="00754AC1">
          <w:rPr>
            <w:rStyle w:val="Lienhypertexte"/>
          </w:rPr>
          <w:t>https://ansm.sante.fr/disponibilites-des-produits-de-sante/medicaments/combantrin-125-mg-comprime-pyrantel-embonate-de-1</w:t>
        </w:r>
      </w:hyperlink>
    </w:p>
    <w:p w14:paraId="64382C74" w14:textId="77777777" w:rsidR="00754AC1" w:rsidRDefault="00754AC1" w:rsidP="00361AD6">
      <w:pPr>
        <w:pStyle w:val="Textebrut"/>
      </w:pPr>
    </w:p>
    <w:p w14:paraId="6DEB949B" w14:textId="77777777" w:rsidR="001E7E7E" w:rsidRPr="001E7E7E" w:rsidRDefault="001E7E7E" w:rsidP="001E7E7E">
      <w:pPr>
        <w:pStyle w:val="Textebrut"/>
      </w:pPr>
      <w:proofErr w:type="spellStart"/>
      <w:r w:rsidRPr="001E7E7E">
        <w:t>Norfloxacine</w:t>
      </w:r>
      <w:proofErr w:type="spellEnd"/>
      <w:r w:rsidRPr="001E7E7E">
        <w:t xml:space="preserve"> EG 400 mg, comprimé pelliculé – [</w:t>
      </w:r>
      <w:proofErr w:type="spellStart"/>
      <w:r w:rsidRPr="001E7E7E">
        <w:t>norfloxacine</w:t>
      </w:r>
      <w:proofErr w:type="spellEnd"/>
      <w:r w:rsidRPr="001E7E7E">
        <w:t>] – Rupture de stock depuis le 06/03/2026 (ANSM, actualisation du 24/04/2026).</w:t>
      </w:r>
    </w:p>
    <w:p w14:paraId="01B0F021" w14:textId="77777777" w:rsidR="001E7E7E" w:rsidRPr="001E7E7E" w:rsidRDefault="001E7E7E" w:rsidP="001E7E7E">
      <w:pPr>
        <w:pStyle w:val="Textebrut"/>
      </w:pPr>
      <w:r w:rsidRPr="001E7E7E">
        <w:t xml:space="preserve">Mise à disposition exceptionnelle et transitoire d’unités de la spécialité </w:t>
      </w:r>
      <w:proofErr w:type="spellStart"/>
      <w:r w:rsidRPr="001E7E7E">
        <w:t>Norfloxacine</w:t>
      </w:r>
      <w:proofErr w:type="spellEnd"/>
      <w:r w:rsidRPr="001E7E7E">
        <w:t xml:space="preserve"> EG 400 mg compresse </w:t>
      </w:r>
      <w:proofErr w:type="spellStart"/>
      <w:r w:rsidRPr="001E7E7E">
        <w:t>rivestite</w:t>
      </w:r>
      <w:proofErr w:type="spellEnd"/>
      <w:r w:rsidRPr="001E7E7E">
        <w:t xml:space="preserve"> con film, initialement destinées au marché italien. Lettre d’information du laboratoire en date du 31/03/2026 à l'attention des professionnels de santé (24/04/2026). Lettre d'information du laboratoire en date du 31/03/2026 à l'attention des patients (24/04/2026). Date de remise à disposition prévue : 20/05/2026</w:t>
      </w:r>
    </w:p>
    <w:p w14:paraId="7BF8D22A" w14:textId="77777777" w:rsidR="001E7E7E" w:rsidRPr="001E7E7E" w:rsidRDefault="001E7E7E" w:rsidP="001E7E7E">
      <w:pPr>
        <w:pStyle w:val="Textebrut"/>
      </w:pPr>
      <w:hyperlink r:id="rId183" w:history="1">
        <w:r w:rsidRPr="001E7E7E">
          <w:rPr>
            <w:rStyle w:val="Lienhypertexte"/>
          </w:rPr>
          <w:t>https://ansm.sante.fr/disponibilites-des-produits-de-sante/medicaments/norfloxacine-eg-400-mg-comprime-pellicule-norfloxacine</w:t>
        </w:r>
      </w:hyperlink>
    </w:p>
    <w:p w14:paraId="63230CC3" w14:textId="77777777" w:rsidR="001E7E7E" w:rsidRDefault="001E7E7E" w:rsidP="00361AD6">
      <w:pPr>
        <w:pStyle w:val="Textebrut"/>
      </w:pPr>
    </w:p>
    <w:p w14:paraId="424F3D7D" w14:textId="77777777" w:rsidR="00444C76" w:rsidRPr="00444C76" w:rsidRDefault="00444C76" w:rsidP="00444C76">
      <w:pPr>
        <w:pStyle w:val="Textebrut"/>
      </w:pPr>
      <w:proofErr w:type="spellStart"/>
      <w:r w:rsidRPr="00444C76">
        <w:t>Varivax</w:t>
      </w:r>
      <w:proofErr w:type="spellEnd"/>
      <w:r w:rsidRPr="00444C76">
        <w:t>, poudre et solvant pour suspension injectable en seringue préremplie. Vaccin varicelleux (vivant) – [virus de la varicelle souche Oka (vivant, atténué) ((mammifères/humain/cellules diploïdes MRC-5))] – Tension d’approvisionnement depuis le 21/01/2026 (ANSM, actualisation du 27/04/2026).</w:t>
      </w:r>
    </w:p>
    <w:p w14:paraId="74F6C6DD" w14:textId="77777777" w:rsidR="00444C76" w:rsidRPr="00444C76" w:rsidRDefault="00444C76" w:rsidP="00444C76">
      <w:pPr>
        <w:pStyle w:val="Textebrut"/>
      </w:pPr>
      <w:r w:rsidRPr="00444C76">
        <w:t>Situation en ville : tension. Contingentement quantitatif en ville. Date de remise à disposition prévue : indéterminée (</w:t>
      </w:r>
      <w:proofErr w:type="spellStart"/>
      <w:r w:rsidRPr="00444C76">
        <w:t>NdlR</w:t>
      </w:r>
      <w:proofErr w:type="spellEnd"/>
      <w:r w:rsidRPr="00444C76">
        <w:t> : vs courant mai 2026 le 23/04/2026)</w:t>
      </w:r>
    </w:p>
    <w:p w14:paraId="3A38000D" w14:textId="77777777" w:rsidR="00444C76" w:rsidRPr="00444C76" w:rsidRDefault="00444C76" w:rsidP="00444C76">
      <w:pPr>
        <w:pStyle w:val="Textebrut"/>
      </w:pPr>
      <w:hyperlink r:id="rId184" w:history="1">
        <w:r w:rsidRPr="00444C76">
          <w:rPr>
            <w:rStyle w:val="Lienhypertexte"/>
          </w:rPr>
          <w:t>https://ansm.sante.fr/disponibilites-des-produits-de-sante/medicaments/varivax-poudre-et-solvant-pour-suspension-injectable-en-seringue-preremplie-vaccin-varicelleux-vivant-virus-de-la-varicelle-souche-oka-vivant-attenue-mammiferes-humain-cellules-diploides-mrc-5</w:t>
        </w:r>
      </w:hyperlink>
    </w:p>
    <w:p w14:paraId="5830ABDF" w14:textId="77777777" w:rsidR="00444C76" w:rsidRDefault="00444C76" w:rsidP="00361AD6">
      <w:pPr>
        <w:pStyle w:val="Textebrut"/>
      </w:pPr>
    </w:p>
    <w:p w14:paraId="00C6DC58" w14:textId="77777777" w:rsidR="00BF5F40" w:rsidRPr="00BF5F40" w:rsidRDefault="00BF5F40" w:rsidP="00BF5F40">
      <w:pPr>
        <w:pStyle w:val="Textebrut"/>
      </w:pPr>
      <w:proofErr w:type="spellStart"/>
      <w:r w:rsidRPr="00BF5F40">
        <w:t>Varilrix</w:t>
      </w:r>
      <w:proofErr w:type="spellEnd"/>
      <w:r w:rsidRPr="00BF5F40">
        <w:t>, poudre et solvant pour solution injectable en seringue préremplie. Vaccin varicelleux (vivant) – [virus de la varicelle souche Oka (vivant, atténué) ((mammifères/humain/cellules diploïdes MRC-5))] – Tension d’approvisionnement depuis le 26/03/2026 (ANSM, 27/04/2026).</w:t>
      </w:r>
    </w:p>
    <w:p w14:paraId="67FFD7E9" w14:textId="77777777" w:rsidR="00BF5F40" w:rsidRPr="00BF5F40" w:rsidRDefault="00BF5F40" w:rsidP="00BF5F40">
      <w:pPr>
        <w:pStyle w:val="Textebrut"/>
      </w:pPr>
      <w:r w:rsidRPr="00BF5F40">
        <w:t>Situation en ville : tension. Contingentement quantitatif en ville. Disponibilité d'un stock limité de dépannage d'urgence en ville. Les hôpitaux et les DROM ne sont pas impactés par ce contingentement</w:t>
      </w:r>
    </w:p>
    <w:p w14:paraId="5D0AEB79" w14:textId="77777777" w:rsidR="00BF5F40" w:rsidRPr="00BF5F40" w:rsidRDefault="00BF5F40" w:rsidP="00BF5F40">
      <w:pPr>
        <w:pStyle w:val="Textebrut"/>
      </w:pPr>
      <w:hyperlink r:id="rId185" w:history="1">
        <w:r w:rsidRPr="00BF5F40">
          <w:rPr>
            <w:rStyle w:val="Lienhypertexte"/>
          </w:rPr>
          <w:t>https://ansm.sante.fr/disponibilites-des-produits-de-sante/medicaments/varilrix-poudre-et-solvant-pour-solution-injectable-en-seringue-preremplie-vaccin-varicelleux-vivant-virus-de-la-varicelle-souche-oka-vivant-attenue-mammiferes-humain-cellules-diploides-mrc-5</w:t>
        </w:r>
      </w:hyperlink>
    </w:p>
    <w:p w14:paraId="5F94D89A" w14:textId="77777777" w:rsidR="00BF5F40" w:rsidRDefault="00BF5F40" w:rsidP="00361AD6">
      <w:pPr>
        <w:pStyle w:val="Textebrut"/>
      </w:pPr>
    </w:p>
    <w:p w14:paraId="0BA82713" w14:textId="77777777" w:rsidR="00BF5F40" w:rsidRPr="00BF5F40" w:rsidRDefault="00BF5F40" w:rsidP="00BF5F40">
      <w:pPr>
        <w:pStyle w:val="Textebrut"/>
      </w:pPr>
      <w:r w:rsidRPr="00BF5F40">
        <w:t xml:space="preserve">Méthylphénidate </w:t>
      </w:r>
      <w:proofErr w:type="spellStart"/>
      <w:r w:rsidRPr="00BF5F40">
        <w:t>Viatris</w:t>
      </w:r>
      <w:proofErr w:type="spellEnd"/>
      <w:r w:rsidRPr="00BF5F40">
        <w:t xml:space="preserve"> LP, comprimé à libération prolongée – [méthylphénidate (chlorhydrate de)] – Tension d’approvisionnement depuis le 08/06/2023 (ANSM, actualisation du 27/04/2026).</w:t>
      </w:r>
    </w:p>
    <w:p w14:paraId="4CEFC6E3" w14:textId="77777777" w:rsidR="00BF5F40" w:rsidRPr="00BF5F40" w:rsidRDefault="00BF5F40" w:rsidP="00BF5F40">
      <w:pPr>
        <w:pStyle w:val="Textebrut"/>
      </w:pPr>
      <w:r w:rsidRPr="00BF5F40">
        <w:t xml:space="preserve">Remise à disposition de la spécialité </w:t>
      </w:r>
      <w:proofErr w:type="spellStart"/>
      <w:r w:rsidRPr="00BF5F40">
        <w:t>Methylphénidate</w:t>
      </w:r>
      <w:proofErr w:type="spellEnd"/>
      <w:r w:rsidRPr="00BF5F40">
        <w:t xml:space="preserve"> </w:t>
      </w:r>
      <w:proofErr w:type="spellStart"/>
      <w:r w:rsidRPr="00BF5F40">
        <w:t>Viatris</w:t>
      </w:r>
      <w:proofErr w:type="spellEnd"/>
      <w:r w:rsidRPr="00BF5F40">
        <w:t xml:space="preserve"> LP 54 mg, comprimé à libération prolongée et Méthylphénidate </w:t>
      </w:r>
      <w:proofErr w:type="spellStart"/>
      <w:r w:rsidRPr="00BF5F40">
        <w:t>Viatris</w:t>
      </w:r>
      <w:proofErr w:type="spellEnd"/>
      <w:r w:rsidRPr="00BF5F40">
        <w:t xml:space="preserve"> LP 36 mg, comprimé à libération prolongée. Distribution contingentée en ville de la spécialité Méthylphénidate </w:t>
      </w:r>
      <w:proofErr w:type="spellStart"/>
      <w:r w:rsidRPr="00BF5F40">
        <w:t>Viatris</w:t>
      </w:r>
      <w:proofErr w:type="spellEnd"/>
      <w:r w:rsidRPr="00BF5F40">
        <w:t xml:space="preserve"> LP 18 mg, comprimé à libération prolongée. Consultez les recommandations pour les pharmaciens. Remise à disposition courant 2026</w:t>
      </w:r>
    </w:p>
    <w:p w14:paraId="25ADDB24" w14:textId="77777777" w:rsidR="00BF5F40" w:rsidRPr="00BF5F40" w:rsidRDefault="00BF5F40" w:rsidP="00BF5F40">
      <w:pPr>
        <w:pStyle w:val="Textebrut"/>
      </w:pPr>
      <w:hyperlink r:id="rId186" w:history="1">
        <w:r w:rsidRPr="00BF5F40">
          <w:rPr>
            <w:rStyle w:val="Lienhypertexte"/>
          </w:rPr>
          <w:t>https://ansm.sante.fr/disponibilites-des-produits-de-sante/medicaments/methylphenidate-viatris-lp-comprime-a-liberation-prolongee-methylphenidate-chlorhydrate-de</w:t>
        </w:r>
      </w:hyperlink>
    </w:p>
    <w:p w14:paraId="356A8AC1" w14:textId="77777777" w:rsidR="001E7E7E" w:rsidRDefault="001E7E7E" w:rsidP="00361AD6">
      <w:pPr>
        <w:pStyle w:val="Textebrut"/>
      </w:pPr>
    </w:p>
    <w:p w14:paraId="752D663E" w14:textId="77777777" w:rsidR="00BF5F40" w:rsidRPr="00BF5F40" w:rsidRDefault="00BF5F40" w:rsidP="00BF5F40">
      <w:pPr>
        <w:pStyle w:val="Textebrut"/>
      </w:pPr>
      <w:r w:rsidRPr="00BF5F40">
        <w:t>Lyrica 20 mg/ml, solution buvable – [</w:t>
      </w:r>
      <w:proofErr w:type="spellStart"/>
      <w:r w:rsidRPr="00BF5F40">
        <w:t>prégabaline</w:t>
      </w:r>
      <w:proofErr w:type="spellEnd"/>
      <w:r w:rsidRPr="00BF5F40">
        <w:t>] – Remise à disposition à partir du 27/04/2026 (ANSM, 27/04/2026)</w:t>
      </w:r>
    </w:p>
    <w:p w14:paraId="69B851FB" w14:textId="77777777" w:rsidR="00BF5F40" w:rsidRPr="00BF5F40" w:rsidRDefault="00BF5F40" w:rsidP="00BF5F40">
      <w:pPr>
        <w:pStyle w:val="Textebrut"/>
      </w:pPr>
      <w:hyperlink r:id="rId187" w:history="1">
        <w:r w:rsidRPr="00BF5F40">
          <w:rPr>
            <w:rStyle w:val="Lienhypertexte"/>
          </w:rPr>
          <w:t>https://ansm.sante.fr/disponibilites-des-produits-de-sante/medicaments/lyrica-20-mg-ml-solution-buvable-pregabaline</w:t>
        </w:r>
      </w:hyperlink>
    </w:p>
    <w:p w14:paraId="205C0AF2" w14:textId="77777777" w:rsidR="00BF5F40" w:rsidRDefault="00BF5F40" w:rsidP="00361AD6">
      <w:pPr>
        <w:pStyle w:val="Textebrut"/>
      </w:pPr>
    </w:p>
    <w:p w14:paraId="04D4ADE6" w14:textId="77777777" w:rsidR="003A386A" w:rsidRPr="003A386A" w:rsidRDefault="003A386A" w:rsidP="003A386A">
      <w:pPr>
        <w:pStyle w:val="Textebrut"/>
      </w:pPr>
      <w:proofErr w:type="spellStart"/>
      <w:r w:rsidRPr="003A386A">
        <w:t>Imogam</w:t>
      </w:r>
      <w:proofErr w:type="spellEnd"/>
      <w:r w:rsidRPr="003A386A">
        <w:t xml:space="preserve"> Rage 150 UI/</w:t>
      </w:r>
      <w:proofErr w:type="spellStart"/>
      <w:r w:rsidRPr="003A386A">
        <w:t>mL</w:t>
      </w:r>
      <w:proofErr w:type="spellEnd"/>
      <w:r w:rsidRPr="003A386A">
        <w:t>, solution injectable – [Immunoglobuline humaine rabique] – Arrêt de commercialisation depuis le 31/12/2022 (ANSM, actualisation du 28/04/2026).</w:t>
      </w:r>
    </w:p>
    <w:p w14:paraId="6E200C58" w14:textId="77777777" w:rsidR="003A386A" w:rsidRPr="003A386A" w:rsidRDefault="003A386A" w:rsidP="003A386A">
      <w:pPr>
        <w:pStyle w:val="Textebrut"/>
      </w:pPr>
      <w:r w:rsidRPr="003A386A">
        <w:lastRenderedPageBreak/>
        <w:t xml:space="preserve">Arrêt de commercialisation. Lettre d’information du laboratoire Sanofi Pasteur en date du 23/05/2022 à l’attention des professionnels de santé (24/05/2022). Importation d’une spécialité similaire </w:t>
      </w:r>
      <w:proofErr w:type="spellStart"/>
      <w:r w:rsidRPr="003A386A">
        <w:t>Berirab</w:t>
      </w:r>
      <w:proofErr w:type="spellEnd"/>
      <w:r w:rsidRPr="003A386A">
        <w:t xml:space="preserve"> 300 UI (2 ml), solution pour injection intramusculaire en seringue préremplie, initialement destinée au marché suisse. Lettre d’information du laboratoire CSL Behring en date du 23/06/2025 à l’attention des professionnels de santé (07/04/2023)</w:t>
      </w:r>
    </w:p>
    <w:p w14:paraId="5E868A39" w14:textId="77777777" w:rsidR="003A386A" w:rsidRPr="003A386A" w:rsidRDefault="003A386A" w:rsidP="003A386A">
      <w:pPr>
        <w:pStyle w:val="Textebrut"/>
      </w:pPr>
      <w:hyperlink r:id="rId188" w:history="1">
        <w:r w:rsidRPr="003A386A">
          <w:rPr>
            <w:rStyle w:val="Lienhypertexte"/>
          </w:rPr>
          <w:t>https://ansm.sante.fr/disponibilites-des-produits-de-sante/medicaments/imogam-rage-150-ui-ml-solution-injectable-immunoglobuline-humaine-rabique</w:t>
        </w:r>
      </w:hyperlink>
    </w:p>
    <w:p w14:paraId="3942392C" w14:textId="77777777" w:rsidR="003A386A" w:rsidRDefault="003A386A" w:rsidP="00361AD6">
      <w:pPr>
        <w:pStyle w:val="Textebrut"/>
      </w:pPr>
    </w:p>
    <w:p w14:paraId="60D5DB53" w14:textId="77777777" w:rsidR="00475FEA" w:rsidRPr="00475FEA" w:rsidRDefault="00475FEA" w:rsidP="00475FEA">
      <w:pPr>
        <w:pStyle w:val="Textebrut"/>
      </w:pPr>
      <w:proofErr w:type="spellStart"/>
      <w:r w:rsidRPr="00475FEA">
        <w:t>Digidot</w:t>
      </w:r>
      <w:proofErr w:type="spellEnd"/>
      <w:r w:rsidRPr="00475FEA">
        <w:t xml:space="preserve"> 80mg, poudre pour solution pour perfusion (</w:t>
      </w:r>
      <w:proofErr w:type="spellStart"/>
      <w:r w:rsidRPr="00475FEA">
        <w:t>Digifab</w:t>
      </w:r>
      <w:proofErr w:type="spellEnd"/>
      <w:r w:rsidRPr="00475FEA">
        <w:t xml:space="preserve"> importation) – [Fragment </w:t>
      </w:r>
      <w:proofErr w:type="spellStart"/>
      <w:r w:rsidRPr="00475FEA">
        <w:t>Fab</w:t>
      </w:r>
      <w:proofErr w:type="spellEnd"/>
      <w:r w:rsidRPr="00475FEA">
        <w:t xml:space="preserve"> d’immunoglobuline </w:t>
      </w:r>
      <w:proofErr w:type="spellStart"/>
      <w:r w:rsidRPr="00475FEA">
        <w:t>antidigitalique</w:t>
      </w:r>
      <w:proofErr w:type="spellEnd"/>
      <w:r w:rsidRPr="00475FEA">
        <w:t xml:space="preserve"> ovin] – Arrêt de commercialisation depuis le 11/04/2011 (ANSM, actualisation du 28/04/2026).</w:t>
      </w:r>
    </w:p>
    <w:p w14:paraId="074BD925" w14:textId="77777777" w:rsidR="00475FEA" w:rsidRPr="00475FEA" w:rsidRDefault="00475FEA" w:rsidP="00475FEA">
      <w:pPr>
        <w:pStyle w:val="Textebrut"/>
      </w:pPr>
      <w:r w:rsidRPr="00475FEA">
        <w:t xml:space="preserve">Mise à disposition exceptionnelle et transitoire d’unités de la spécialité importée initialement destinée au marché anglais </w:t>
      </w:r>
      <w:proofErr w:type="spellStart"/>
      <w:r w:rsidRPr="00475FEA">
        <w:t>Digifab</w:t>
      </w:r>
      <w:proofErr w:type="spellEnd"/>
      <w:r w:rsidRPr="00475FEA">
        <w:t xml:space="preserve"> 40mg poudre pour solution pour perfusion. Lettre d’information du laboratoire </w:t>
      </w:r>
      <w:proofErr w:type="spellStart"/>
      <w:r w:rsidRPr="00475FEA">
        <w:t>Serb</w:t>
      </w:r>
      <w:proofErr w:type="spellEnd"/>
      <w:r w:rsidRPr="00475FEA">
        <w:t xml:space="preserve"> en date du 23/12/2021 à l’attention des professionnels de santé</w:t>
      </w:r>
    </w:p>
    <w:p w14:paraId="73E674B4" w14:textId="03D619B1" w:rsidR="003A386A" w:rsidRDefault="00475FEA" w:rsidP="00475FEA">
      <w:pPr>
        <w:pStyle w:val="Textebrut"/>
      </w:pPr>
      <w:hyperlink r:id="rId189" w:history="1">
        <w:r w:rsidRPr="00475FEA">
          <w:rPr>
            <w:rStyle w:val="Lienhypertexte"/>
          </w:rPr>
          <w:t>https://ansm.sante.fr/disponibilites-des-produits-de-sante/medicaments/digidot-80mg-poudre-pour-solution-pour-perfusion-digifab-importation-fragment-fab-dimmunoglobuline-antidigitalique-ovin</w:t>
        </w:r>
      </w:hyperlink>
    </w:p>
    <w:p w14:paraId="71D3C11B" w14:textId="77777777" w:rsidR="00475FEA" w:rsidRDefault="00475FEA" w:rsidP="00475FEA">
      <w:pPr>
        <w:pStyle w:val="Textebrut"/>
      </w:pPr>
    </w:p>
    <w:sectPr w:rsidR="00475FEA" w:rsidSect="004568FE">
      <w:headerReference w:type="even" r:id="rId190"/>
      <w:headerReference w:type="default" r:id="rId191"/>
      <w:footerReference w:type="even" r:id="rId192"/>
      <w:footerReference w:type="default" r:id="rId193"/>
      <w:headerReference w:type="first" r:id="rId194"/>
      <w:footerReference w:type="first" r:id="rId195"/>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AF1DA" w14:textId="77777777" w:rsidR="00D41F9A" w:rsidRDefault="00D41F9A">
      <w:r>
        <w:separator/>
      </w:r>
    </w:p>
  </w:endnote>
  <w:endnote w:type="continuationSeparator" w:id="0">
    <w:p w14:paraId="674F1DA9" w14:textId="77777777" w:rsidR="00D41F9A" w:rsidRDefault="00D41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ABBEF"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68E6A" w14:textId="77777777" w:rsidR="00987053" w:rsidRDefault="00987053">
    <w:pPr>
      <w:pStyle w:val="Pieddepage"/>
    </w:pPr>
  </w:p>
  <w:p w14:paraId="58924948" w14:textId="77777777" w:rsidR="008B3189" w:rsidRDefault="008B3189">
    <w:pPr>
      <w:pStyle w:val="Pieddepage"/>
    </w:pPr>
    <w:r>
      <w:t xml:space="preserve">Contact : </w:t>
    </w:r>
    <w:hyperlink r:id="rId1" w:history="1">
      <w:r w:rsidRPr="009D2627">
        <w:rPr>
          <w:rStyle w:val="Lienhypertexte"/>
        </w:rPr>
        <w:t>ars-bfc-peps@ars.sante.fr</w:t>
      </w:r>
    </w:hyperlink>
  </w:p>
  <w:p w14:paraId="7F1221A6" w14:textId="77777777" w:rsidR="008B3189" w:rsidRDefault="008B3189">
    <w:pPr>
      <w:pStyle w:val="Pieddepage"/>
    </w:pPr>
  </w:p>
  <w:p w14:paraId="75A1DCFB"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9FA4A"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316B88" w14:textId="77777777" w:rsidR="00D41F9A" w:rsidRDefault="00D41F9A">
      <w:r>
        <w:separator/>
      </w:r>
    </w:p>
  </w:footnote>
  <w:footnote w:type="continuationSeparator" w:id="0">
    <w:p w14:paraId="1C1F34F7" w14:textId="77777777" w:rsidR="00D41F9A" w:rsidRDefault="00D41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B2F33"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C832D"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58CC8"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5CE3736"/>
    <w:multiLevelType w:val="hybridMultilevel"/>
    <w:tmpl w:val="BDA27C88"/>
    <w:lvl w:ilvl="0" w:tplc="14682CB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1F814EEC"/>
    <w:multiLevelType w:val="hybridMultilevel"/>
    <w:tmpl w:val="6E7C13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E434B05"/>
    <w:multiLevelType w:val="hybridMultilevel"/>
    <w:tmpl w:val="7BACED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8"/>
  </w:num>
  <w:num w:numId="2" w16cid:durableId="1892185552">
    <w:abstractNumId w:val="7"/>
  </w:num>
  <w:num w:numId="3" w16cid:durableId="1366295517">
    <w:abstractNumId w:val="0"/>
  </w:num>
  <w:num w:numId="4" w16cid:durableId="1869682685">
    <w:abstractNumId w:val="1"/>
  </w:num>
  <w:num w:numId="5" w16cid:durableId="483862807">
    <w:abstractNumId w:val="15"/>
  </w:num>
  <w:num w:numId="6" w16cid:durableId="106702296">
    <w:abstractNumId w:val="17"/>
  </w:num>
  <w:num w:numId="7" w16cid:durableId="211118289">
    <w:abstractNumId w:val="3"/>
  </w:num>
  <w:num w:numId="8" w16cid:durableId="2127459736">
    <w:abstractNumId w:val="14"/>
  </w:num>
  <w:num w:numId="9" w16cid:durableId="1835490178">
    <w:abstractNumId w:val="2"/>
  </w:num>
  <w:num w:numId="10" w16cid:durableId="358509021">
    <w:abstractNumId w:val="20"/>
  </w:num>
  <w:num w:numId="11" w16cid:durableId="802238835">
    <w:abstractNumId w:val="9"/>
  </w:num>
  <w:num w:numId="12" w16cid:durableId="1119682966">
    <w:abstractNumId w:val="5"/>
  </w:num>
  <w:num w:numId="13" w16cid:durableId="1384252903">
    <w:abstractNumId w:val="23"/>
  </w:num>
  <w:num w:numId="14" w16cid:durableId="624848701">
    <w:abstractNumId w:val="19"/>
  </w:num>
  <w:num w:numId="15" w16cid:durableId="758873685">
    <w:abstractNumId w:val="24"/>
  </w:num>
  <w:num w:numId="16" w16cid:durableId="1294290176">
    <w:abstractNumId w:val="22"/>
  </w:num>
  <w:num w:numId="17" w16cid:durableId="534585621">
    <w:abstractNumId w:val="21"/>
  </w:num>
  <w:num w:numId="18" w16cid:durableId="1675378248">
    <w:abstractNumId w:val="6"/>
  </w:num>
  <w:num w:numId="19" w16cid:durableId="974604461">
    <w:abstractNumId w:val="13"/>
  </w:num>
  <w:num w:numId="20" w16cid:durableId="886448293">
    <w:abstractNumId w:val="10"/>
  </w:num>
  <w:num w:numId="21" w16cid:durableId="2009556170">
    <w:abstractNumId w:val="12"/>
  </w:num>
  <w:num w:numId="22" w16cid:durableId="10105033">
    <w:abstractNumId w:val="16"/>
  </w:num>
  <w:num w:numId="23" w16cid:durableId="803281040">
    <w:abstractNumId w:val="25"/>
  </w:num>
  <w:num w:numId="24" w16cid:durableId="533931080">
    <w:abstractNumId w:val="8"/>
  </w:num>
  <w:num w:numId="25" w16cid:durableId="1614481324">
    <w:abstractNumId w:val="4"/>
  </w:num>
  <w:num w:numId="26" w16cid:durableId="4001745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9DC"/>
    <w:rsid w:val="0000124D"/>
    <w:rsid w:val="00003243"/>
    <w:rsid w:val="00003A9F"/>
    <w:rsid w:val="000041FF"/>
    <w:rsid w:val="000100AD"/>
    <w:rsid w:val="000109A8"/>
    <w:rsid w:val="000109BE"/>
    <w:rsid w:val="00010FF1"/>
    <w:rsid w:val="0001329F"/>
    <w:rsid w:val="00013D39"/>
    <w:rsid w:val="0001452A"/>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0B5"/>
    <w:rsid w:val="0005013A"/>
    <w:rsid w:val="00051500"/>
    <w:rsid w:val="00051965"/>
    <w:rsid w:val="00051C3F"/>
    <w:rsid w:val="00052663"/>
    <w:rsid w:val="00052F60"/>
    <w:rsid w:val="00052FC0"/>
    <w:rsid w:val="00053858"/>
    <w:rsid w:val="0005411B"/>
    <w:rsid w:val="00055320"/>
    <w:rsid w:val="00055A22"/>
    <w:rsid w:val="00056C53"/>
    <w:rsid w:val="00057490"/>
    <w:rsid w:val="00060B4D"/>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00D1"/>
    <w:rsid w:val="0008347C"/>
    <w:rsid w:val="00083886"/>
    <w:rsid w:val="00084284"/>
    <w:rsid w:val="000845FF"/>
    <w:rsid w:val="00085059"/>
    <w:rsid w:val="00085772"/>
    <w:rsid w:val="0009110B"/>
    <w:rsid w:val="00091989"/>
    <w:rsid w:val="00091AAB"/>
    <w:rsid w:val="000939AC"/>
    <w:rsid w:val="00093E65"/>
    <w:rsid w:val="0009442E"/>
    <w:rsid w:val="00095B4D"/>
    <w:rsid w:val="00095DE4"/>
    <w:rsid w:val="00096208"/>
    <w:rsid w:val="00096629"/>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79E"/>
    <w:rsid w:val="000B4A08"/>
    <w:rsid w:val="000B6D06"/>
    <w:rsid w:val="000C1264"/>
    <w:rsid w:val="000C1633"/>
    <w:rsid w:val="000C26FB"/>
    <w:rsid w:val="000C2A3C"/>
    <w:rsid w:val="000C4685"/>
    <w:rsid w:val="000C5402"/>
    <w:rsid w:val="000C5AD8"/>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5F1A"/>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0A6"/>
    <w:rsid w:val="00122229"/>
    <w:rsid w:val="001227EE"/>
    <w:rsid w:val="00123F25"/>
    <w:rsid w:val="00124E8E"/>
    <w:rsid w:val="001255E4"/>
    <w:rsid w:val="001259C3"/>
    <w:rsid w:val="00126647"/>
    <w:rsid w:val="00127F33"/>
    <w:rsid w:val="001313D8"/>
    <w:rsid w:val="00131476"/>
    <w:rsid w:val="0013232E"/>
    <w:rsid w:val="00133883"/>
    <w:rsid w:val="001355D7"/>
    <w:rsid w:val="00136108"/>
    <w:rsid w:val="00137E96"/>
    <w:rsid w:val="00140E13"/>
    <w:rsid w:val="00146846"/>
    <w:rsid w:val="00147846"/>
    <w:rsid w:val="00150170"/>
    <w:rsid w:val="00151590"/>
    <w:rsid w:val="00151EB5"/>
    <w:rsid w:val="00152A7F"/>
    <w:rsid w:val="001538BD"/>
    <w:rsid w:val="00154883"/>
    <w:rsid w:val="00154951"/>
    <w:rsid w:val="001555D0"/>
    <w:rsid w:val="0015590C"/>
    <w:rsid w:val="00157226"/>
    <w:rsid w:val="00160142"/>
    <w:rsid w:val="00160DCE"/>
    <w:rsid w:val="00160F02"/>
    <w:rsid w:val="00161EAF"/>
    <w:rsid w:val="00162E9F"/>
    <w:rsid w:val="0016306B"/>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222"/>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45D7"/>
    <w:rsid w:val="001E5999"/>
    <w:rsid w:val="001E68AC"/>
    <w:rsid w:val="001E75EF"/>
    <w:rsid w:val="001E7D1B"/>
    <w:rsid w:val="001E7E7E"/>
    <w:rsid w:val="001F0206"/>
    <w:rsid w:val="001F12B1"/>
    <w:rsid w:val="001F17E9"/>
    <w:rsid w:val="001F18E1"/>
    <w:rsid w:val="001F2484"/>
    <w:rsid w:val="001F535A"/>
    <w:rsid w:val="001F564F"/>
    <w:rsid w:val="001F5B9B"/>
    <w:rsid w:val="001F6248"/>
    <w:rsid w:val="001F66B2"/>
    <w:rsid w:val="001F7694"/>
    <w:rsid w:val="0020050C"/>
    <w:rsid w:val="0020070B"/>
    <w:rsid w:val="00200A3C"/>
    <w:rsid w:val="00200D08"/>
    <w:rsid w:val="00201104"/>
    <w:rsid w:val="00202D49"/>
    <w:rsid w:val="002053C0"/>
    <w:rsid w:val="00206890"/>
    <w:rsid w:val="00206BA0"/>
    <w:rsid w:val="00207094"/>
    <w:rsid w:val="00207D4F"/>
    <w:rsid w:val="00210253"/>
    <w:rsid w:val="002116B6"/>
    <w:rsid w:val="00213F84"/>
    <w:rsid w:val="00214BA9"/>
    <w:rsid w:val="00216B65"/>
    <w:rsid w:val="00217095"/>
    <w:rsid w:val="00221412"/>
    <w:rsid w:val="00222D50"/>
    <w:rsid w:val="00223320"/>
    <w:rsid w:val="00226826"/>
    <w:rsid w:val="0022726E"/>
    <w:rsid w:val="00231A00"/>
    <w:rsid w:val="00231B3F"/>
    <w:rsid w:val="00232266"/>
    <w:rsid w:val="002329F6"/>
    <w:rsid w:val="00233A04"/>
    <w:rsid w:val="002346B5"/>
    <w:rsid w:val="0023513D"/>
    <w:rsid w:val="0023536F"/>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46D5C"/>
    <w:rsid w:val="00250A93"/>
    <w:rsid w:val="00251FC3"/>
    <w:rsid w:val="002520A6"/>
    <w:rsid w:val="002520FC"/>
    <w:rsid w:val="002526E4"/>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76AA7"/>
    <w:rsid w:val="00276D48"/>
    <w:rsid w:val="002819DC"/>
    <w:rsid w:val="00281D23"/>
    <w:rsid w:val="00281ED9"/>
    <w:rsid w:val="00281F56"/>
    <w:rsid w:val="002823AE"/>
    <w:rsid w:val="002823F2"/>
    <w:rsid w:val="0028255C"/>
    <w:rsid w:val="0028302F"/>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19EF"/>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4FC7"/>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4598"/>
    <w:rsid w:val="002D59AD"/>
    <w:rsid w:val="002D5A7F"/>
    <w:rsid w:val="002D650A"/>
    <w:rsid w:val="002D6B97"/>
    <w:rsid w:val="002D6C94"/>
    <w:rsid w:val="002E3075"/>
    <w:rsid w:val="002E4021"/>
    <w:rsid w:val="002E5370"/>
    <w:rsid w:val="002E7065"/>
    <w:rsid w:val="002F0ECB"/>
    <w:rsid w:val="002F1EED"/>
    <w:rsid w:val="002F3D2D"/>
    <w:rsid w:val="002F5FA4"/>
    <w:rsid w:val="002F68E7"/>
    <w:rsid w:val="00300462"/>
    <w:rsid w:val="00301108"/>
    <w:rsid w:val="00301448"/>
    <w:rsid w:val="00304E06"/>
    <w:rsid w:val="00305CB2"/>
    <w:rsid w:val="00306396"/>
    <w:rsid w:val="00306A7F"/>
    <w:rsid w:val="00307FD2"/>
    <w:rsid w:val="0031111D"/>
    <w:rsid w:val="003140C7"/>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64F1"/>
    <w:rsid w:val="0034740E"/>
    <w:rsid w:val="003477E6"/>
    <w:rsid w:val="00347FEF"/>
    <w:rsid w:val="00350DA1"/>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5C61"/>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386A"/>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18"/>
    <w:rsid w:val="003C24C0"/>
    <w:rsid w:val="003C3C5D"/>
    <w:rsid w:val="003C5679"/>
    <w:rsid w:val="003C7D38"/>
    <w:rsid w:val="003D0611"/>
    <w:rsid w:val="003D0624"/>
    <w:rsid w:val="003D0E62"/>
    <w:rsid w:val="003D225D"/>
    <w:rsid w:val="003D3E5C"/>
    <w:rsid w:val="003D46C3"/>
    <w:rsid w:val="003D70D5"/>
    <w:rsid w:val="003D7119"/>
    <w:rsid w:val="003E06F0"/>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07A9A"/>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620"/>
    <w:rsid w:val="00434C2E"/>
    <w:rsid w:val="0043575F"/>
    <w:rsid w:val="0043747D"/>
    <w:rsid w:val="00437B63"/>
    <w:rsid w:val="00437FFA"/>
    <w:rsid w:val="00440074"/>
    <w:rsid w:val="00441375"/>
    <w:rsid w:val="00442E20"/>
    <w:rsid w:val="004436AF"/>
    <w:rsid w:val="0044388F"/>
    <w:rsid w:val="00443CB7"/>
    <w:rsid w:val="00444416"/>
    <w:rsid w:val="00444C7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5FEA"/>
    <w:rsid w:val="00476D29"/>
    <w:rsid w:val="004776D0"/>
    <w:rsid w:val="00480920"/>
    <w:rsid w:val="00481907"/>
    <w:rsid w:val="004830BB"/>
    <w:rsid w:val="004837F1"/>
    <w:rsid w:val="00484403"/>
    <w:rsid w:val="004849F8"/>
    <w:rsid w:val="0048629B"/>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A598A"/>
    <w:rsid w:val="004A6508"/>
    <w:rsid w:val="004B0AAA"/>
    <w:rsid w:val="004B1C7D"/>
    <w:rsid w:val="004B25BB"/>
    <w:rsid w:val="004B2836"/>
    <w:rsid w:val="004B2F69"/>
    <w:rsid w:val="004B42DD"/>
    <w:rsid w:val="004B706F"/>
    <w:rsid w:val="004B759A"/>
    <w:rsid w:val="004C1F7B"/>
    <w:rsid w:val="004C215D"/>
    <w:rsid w:val="004C304E"/>
    <w:rsid w:val="004C3B33"/>
    <w:rsid w:val="004C4482"/>
    <w:rsid w:val="004C4C85"/>
    <w:rsid w:val="004C4F28"/>
    <w:rsid w:val="004C5695"/>
    <w:rsid w:val="004C5E58"/>
    <w:rsid w:val="004C5FE3"/>
    <w:rsid w:val="004C7AF7"/>
    <w:rsid w:val="004D0B23"/>
    <w:rsid w:val="004D0C50"/>
    <w:rsid w:val="004D0E58"/>
    <w:rsid w:val="004D17D0"/>
    <w:rsid w:val="004D2AA0"/>
    <w:rsid w:val="004D4DE9"/>
    <w:rsid w:val="004D5CD7"/>
    <w:rsid w:val="004D6968"/>
    <w:rsid w:val="004D6D7F"/>
    <w:rsid w:val="004D6DA3"/>
    <w:rsid w:val="004D6DDD"/>
    <w:rsid w:val="004D7F20"/>
    <w:rsid w:val="004E000F"/>
    <w:rsid w:val="004E0B14"/>
    <w:rsid w:val="004E154A"/>
    <w:rsid w:val="004E172D"/>
    <w:rsid w:val="004E367F"/>
    <w:rsid w:val="004E39D7"/>
    <w:rsid w:val="004E4492"/>
    <w:rsid w:val="004E537B"/>
    <w:rsid w:val="004E7514"/>
    <w:rsid w:val="004F0101"/>
    <w:rsid w:val="004F047F"/>
    <w:rsid w:val="004F05C8"/>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39B1"/>
    <w:rsid w:val="0050482D"/>
    <w:rsid w:val="00504A66"/>
    <w:rsid w:val="00504FE9"/>
    <w:rsid w:val="005066F5"/>
    <w:rsid w:val="0050702A"/>
    <w:rsid w:val="00507105"/>
    <w:rsid w:val="00507686"/>
    <w:rsid w:val="00507D29"/>
    <w:rsid w:val="005102F6"/>
    <w:rsid w:val="005111DF"/>
    <w:rsid w:val="00511612"/>
    <w:rsid w:val="0051288B"/>
    <w:rsid w:val="00513D68"/>
    <w:rsid w:val="005142E8"/>
    <w:rsid w:val="00515C80"/>
    <w:rsid w:val="00515D2F"/>
    <w:rsid w:val="005162CC"/>
    <w:rsid w:val="005174CF"/>
    <w:rsid w:val="00520D2E"/>
    <w:rsid w:val="00522701"/>
    <w:rsid w:val="00523A2E"/>
    <w:rsid w:val="00523C2D"/>
    <w:rsid w:val="00523F15"/>
    <w:rsid w:val="00525A70"/>
    <w:rsid w:val="00525D98"/>
    <w:rsid w:val="00527431"/>
    <w:rsid w:val="005274AD"/>
    <w:rsid w:val="00531567"/>
    <w:rsid w:val="005341A8"/>
    <w:rsid w:val="00534CE1"/>
    <w:rsid w:val="0053532B"/>
    <w:rsid w:val="0053668F"/>
    <w:rsid w:val="00536AE0"/>
    <w:rsid w:val="00536C83"/>
    <w:rsid w:val="00536D33"/>
    <w:rsid w:val="005402A7"/>
    <w:rsid w:val="00540633"/>
    <w:rsid w:val="00541AC8"/>
    <w:rsid w:val="00542499"/>
    <w:rsid w:val="00542CE7"/>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503"/>
    <w:rsid w:val="005566A0"/>
    <w:rsid w:val="005568FB"/>
    <w:rsid w:val="0055738E"/>
    <w:rsid w:val="005612D7"/>
    <w:rsid w:val="00561E34"/>
    <w:rsid w:val="00561F70"/>
    <w:rsid w:val="005622BA"/>
    <w:rsid w:val="00562C83"/>
    <w:rsid w:val="00563F99"/>
    <w:rsid w:val="005640FD"/>
    <w:rsid w:val="005644FA"/>
    <w:rsid w:val="005652D0"/>
    <w:rsid w:val="005658C5"/>
    <w:rsid w:val="00566A94"/>
    <w:rsid w:val="00567782"/>
    <w:rsid w:val="00567ABD"/>
    <w:rsid w:val="00567D46"/>
    <w:rsid w:val="005711C2"/>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18A7"/>
    <w:rsid w:val="005F3682"/>
    <w:rsid w:val="005F41D7"/>
    <w:rsid w:val="005F4A21"/>
    <w:rsid w:val="005F53D3"/>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2C8"/>
    <w:rsid w:val="00631A01"/>
    <w:rsid w:val="00631E3D"/>
    <w:rsid w:val="00631E7B"/>
    <w:rsid w:val="00632498"/>
    <w:rsid w:val="00633C2F"/>
    <w:rsid w:val="00634129"/>
    <w:rsid w:val="00634A2E"/>
    <w:rsid w:val="006352B5"/>
    <w:rsid w:val="00636F1C"/>
    <w:rsid w:val="0063746A"/>
    <w:rsid w:val="00642845"/>
    <w:rsid w:val="00642C3A"/>
    <w:rsid w:val="00644051"/>
    <w:rsid w:val="006446A0"/>
    <w:rsid w:val="00644A1C"/>
    <w:rsid w:val="00644C21"/>
    <w:rsid w:val="00644F7C"/>
    <w:rsid w:val="0064581D"/>
    <w:rsid w:val="006468AE"/>
    <w:rsid w:val="00646A46"/>
    <w:rsid w:val="0064747D"/>
    <w:rsid w:val="006478A2"/>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29E"/>
    <w:rsid w:val="00685819"/>
    <w:rsid w:val="00686A2B"/>
    <w:rsid w:val="00686DF7"/>
    <w:rsid w:val="00686F4B"/>
    <w:rsid w:val="006948F9"/>
    <w:rsid w:val="0069536C"/>
    <w:rsid w:val="006962F9"/>
    <w:rsid w:val="00697503"/>
    <w:rsid w:val="006A1397"/>
    <w:rsid w:val="006A1FF1"/>
    <w:rsid w:val="006A37A4"/>
    <w:rsid w:val="006A4469"/>
    <w:rsid w:val="006A4827"/>
    <w:rsid w:val="006A4C9D"/>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73C"/>
    <w:rsid w:val="006D21A4"/>
    <w:rsid w:val="006D22CC"/>
    <w:rsid w:val="006D2F28"/>
    <w:rsid w:val="006D3045"/>
    <w:rsid w:val="006D351B"/>
    <w:rsid w:val="006D37B1"/>
    <w:rsid w:val="006D3D75"/>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573B"/>
    <w:rsid w:val="007061E5"/>
    <w:rsid w:val="0070691F"/>
    <w:rsid w:val="007076F1"/>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05CD"/>
    <w:rsid w:val="00730A8D"/>
    <w:rsid w:val="0073160C"/>
    <w:rsid w:val="00731EB6"/>
    <w:rsid w:val="007329DE"/>
    <w:rsid w:val="00733533"/>
    <w:rsid w:val="00734C00"/>
    <w:rsid w:val="00740508"/>
    <w:rsid w:val="007414C4"/>
    <w:rsid w:val="007424C2"/>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4AC1"/>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68"/>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D7E10"/>
    <w:rsid w:val="007E0006"/>
    <w:rsid w:val="007E040A"/>
    <w:rsid w:val="007E1CA3"/>
    <w:rsid w:val="007E366D"/>
    <w:rsid w:val="007E3F23"/>
    <w:rsid w:val="007E5148"/>
    <w:rsid w:val="007E68B6"/>
    <w:rsid w:val="007E72BF"/>
    <w:rsid w:val="007E7D47"/>
    <w:rsid w:val="007F0C2E"/>
    <w:rsid w:val="007F0D2F"/>
    <w:rsid w:val="007F182B"/>
    <w:rsid w:val="007F1E49"/>
    <w:rsid w:val="007F1E7A"/>
    <w:rsid w:val="007F1EF6"/>
    <w:rsid w:val="007F1F08"/>
    <w:rsid w:val="007F216B"/>
    <w:rsid w:val="007F251E"/>
    <w:rsid w:val="007F287F"/>
    <w:rsid w:val="007F440D"/>
    <w:rsid w:val="007F4D79"/>
    <w:rsid w:val="007F6AAC"/>
    <w:rsid w:val="007F6C06"/>
    <w:rsid w:val="007F7C54"/>
    <w:rsid w:val="007F7F88"/>
    <w:rsid w:val="00800C53"/>
    <w:rsid w:val="00800E6A"/>
    <w:rsid w:val="008016F5"/>
    <w:rsid w:val="00801F93"/>
    <w:rsid w:val="00802146"/>
    <w:rsid w:val="00802AC2"/>
    <w:rsid w:val="00802F8E"/>
    <w:rsid w:val="00803A61"/>
    <w:rsid w:val="008056AF"/>
    <w:rsid w:val="00805A85"/>
    <w:rsid w:val="0080692F"/>
    <w:rsid w:val="00806B1C"/>
    <w:rsid w:val="00810907"/>
    <w:rsid w:val="00810CBE"/>
    <w:rsid w:val="00811FCA"/>
    <w:rsid w:val="008121B9"/>
    <w:rsid w:val="00812724"/>
    <w:rsid w:val="00812AEA"/>
    <w:rsid w:val="00813150"/>
    <w:rsid w:val="008132E9"/>
    <w:rsid w:val="008138C3"/>
    <w:rsid w:val="00815D5B"/>
    <w:rsid w:val="008209C9"/>
    <w:rsid w:val="00820A37"/>
    <w:rsid w:val="00820A74"/>
    <w:rsid w:val="00820BDD"/>
    <w:rsid w:val="00820BF8"/>
    <w:rsid w:val="0082169B"/>
    <w:rsid w:val="00822856"/>
    <w:rsid w:val="00822A89"/>
    <w:rsid w:val="00822A8D"/>
    <w:rsid w:val="00823C54"/>
    <w:rsid w:val="008245ED"/>
    <w:rsid w:val="00824BCF"/>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4AA"/>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3F94"/>
    <w:rsid w:val="008756F4"/>
    <w:rsid w:val="008768E0"/>
    <w:rsid w:val="00877680"/>
    <w:rsid w:val="0087777D"/>
    <w:rsid w:val="00881549"/>
    <w:rsid w:val="008822AB"/>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715"/>
    <w:rsid w:val="008A184E"/>
    <w:rsid w:val="008A1A1D"/>
    <w:rsid w:val="008A24C3"/>
    <w:rsid w:val="008A3CB8"/>
    <w:rsid w:val="008A49B5"/>
    <w:rsid w:val="008A55A3"/>
    <w:rsid w:val="008A63D9"/>
    <w:rsid w:val="008A652E"/>
    <w:rsid w:val="008A679A"/>
    <w:rsid w:val="008A6B79"/>
    <w:rsid w:val="008A6C4B"/>
    <w:rsid w:val="008A6C9E"/>
    <w:rsid w:val="008A7CD2"/>
    <w:rsid w:val="008B006A"/>
    <w:rsid w:val="008B1B47"/>
    <w:rsid w:val="008B30C1"/>
    <w:rsid w:val="008B3189"/>
    <w:rsid w:val="008B3410"/>
    <w:rsid w:val="008B3F09"/>
    <w:rsid w:val="008B4875"/>
    <w:rsid w:val="008B69D8"/>
    <w:rsid w:val="008B6F60"/>
    <w:rsid w:val="008B6FEF"/>
    <w:rsid w:val="008B70C5"/>
    <w:rsid w:val="008B7FE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3A6"/>
    <w:rsid w:val="008E2B9F"/>
    <w:rsid w:val="008E3A19"/>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DCA"/>
    <w:rsid w:val="00901E6E"/>
    <w:rsid w:val="00902B20"/>
    <w:rsid w:val="009033B3"/>
    <w:rsid w:val="0090370B"/>
    <w:rsid w:val="00903ED4"/>
    <w:rsid w:val="00907078"/>
    <w:rsid w:val="00907704"/>
    <w:rsid w:val="00911771"/>
    <w:rsid w:val="0091179D"/>
    <w:rsid w:val="00911F95"/>
    <w:rsid w:val="00912953"/>
    <w:rsid w:val="00914BF5"/>
    <w:rsid w:val="0091527F"/>
    <w:rsid w:val="00916AC7"/>
    <w:rsid w:val="00917A85"/>
    <w:rsid w:val="0092053D"/>
    <w:rsid w:val="00920836"/>
    <w:rsid w:val="0092232C"/>
    <w:rsid w:val="00922B08"/>
    <w:rsid w:val="009235F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4447"/>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481"/>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24"/>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1CF9"/>
    <w:rsid w:val="009C7265"/>
    <w:rsid w:val="009C72BF"/>
    <w:rsid w:val="009C7E16"/>
    <w:rsid w:val="009C7E66"/>
    <w:rsid w:val="009D03C7"/>
    <w:rsid w:val="009D175E"/>
    <w:rsid w:val="009D3F38"/>
    <w:rsid w:val="009D431B"/>
    <w:rsid w:val="009D4859"/>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4AA6"/>
    <w:rsid w:val="009F5106"/>
    <w:rsid w:val="009F510E"/>
    <w:rsid w:val="009F68C4"/>
    <w:rsid w:val="009F7DB6"/>
    <w:rsid w:val="00A00611"/>
    <w:rsid w:val="00A00764"/>
    <w:rsid w:val="00A03103"/>
    <w:rsid w:val="00A03510"/>
    <w:rsid w:val="00A03CEB"/>
    <w:rsid w:val="00A043C8"/>
    <w:rsid w:val="00A04C3F"/>
    <w:rsid w:val="00A079C2"/>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5A4D"/>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438"/>
    <w:rsid w:val="00A83B92"/>
    <w:rsid w:val="00A843E4"/>
    <w:rsid w:val="00A846F4"/>
    <w:rsid w:val="00A87984"/>
    <w:rsid w:val="00A90685"/>
    <w:rsid w:val="00A928CF"/>
    <w:rsid w:val="00A934DD"/>
    <w:rsid w:val="00A94E82"/>
    <w:rsid w:val="00A94FB0"/>
    <w:rsid w:val="00A953A4"/>
    <w:rsid w:val="00A954D3"/>
    <w:rsid w:val="00A96781"/>
    <w:rsid w:val="00A96ABF"/>
    <w:rsid w:val="00A96B81"/>
    <w:rsid w:val="00A9710A"/>
    <w:rsid w:val="00A97B42"/>
    <w:rsid w:val="00AA4EAB"/>
    <w:rsid w:val="00AA52DF"/>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51EF"/>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4A9C"/>
    <w:rsid w:val="00B45521"/>
    <w:rsid w:val="00B46026"/>
    <w:rsid w:val="00B4640B"/>
    <w:rsid w:val="00B46A46"/>
    <w:rsid w:val="00B521B0"/>
    <w:rsid w:val="00B523B4"/>
    <w:rsid w:val="00B52666"/>
    <w:rsid w:val="00B5323D"/>
    <w:rsid w:val="00B5395A"/>
    <w:rsid w:val="00B5491B"/>
    <w:rsid w:val="00B55E19"/>
    <w:rsid w:val="00B55F07"/>
    <w:rsid w:val="00B608E5"/>
    <w:rsid w:val="00B6091C"/>
    <w:rsid w:val="00B619FE"/>
    <w:rsid w:val="00B61A92"/>
    <w:rsid w:val="00B6258C"/>
    <w:rsid w:val="00B6283B"/>
    <w:rsid w:val="00B62C6A"/>
    <w:rsid w:val="00B63FDB"/>
    <w:rsid w:val="00B64137"/>
    <w:rsid w:val="00B64240"/>
    <w:rsid w:val="00B647F8"/>
    <w:rsid w:val="00B66233"/>
    <w:rsid w:val="00B66A34"/>
    <w:rsid w:val="00B67A53"/>
    <w:rsid w:val="00B67EE1"/>
    <w:rsid w:val="00B70960"/>
    <w:rsid w:val="00B71BE8"/>
    <w:rsid w:val="00B71F7C"/>
    <w:rsid w:val="00B72076"/>
    <w:rsid w:val="00B72587"/>
    <w:rsid w:val="00B73169"/>
    <w:rsid w:val="00B740FD"/>
    <w:rsid w:val="00B7457E"/>
    <w:rsid w:val="00B74FE3"/>
    <w:rsid w:val="00B75E43"/>
    <w:rsid w:val="00B76503"/>
    <w:rsid w:val="00B77099"/>
    <w:rsid w:val="00B7715B"/>
    <w:rsid w:val="00B800BA"/>
    <w:rsid w:val="00B805EE"/>
    <w:rsid w:val="00B8089B"/>
    <w:rsid w:val="00B80A46"/>
    <w:rsid w:val="00B825FE"/>
    <w:rsid w:val="00B83F52"/>
    <w:rsid w:val="00B851BA"/>
    <w:rsid w:val="00B9018C"/>
    <w:rsid w:val="00B9071E"/>
    <w:rsid w:val="00B917BA"/>
    <w:rsid w:val="00B92E16"/>
    <w:rsid w:val="00B9303C"/>
    <w:rsid w:val="00B934ED"/>
    <w:rsid w:val="00B93E2E"/>
    <w:rsid w:val="00B9463E"/>
    <w:rsid w:val="00B95E48"/>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B7CED"/>
    <w:rsid w:val="00BC20C8"/>
    <w:rsid w:val="00BC2F1B"/>
    <w:rsid w:val="00BC4964"/>
    <w:rsid w:val="00BC4DB0"/>
    <w:rsid w:val="00BC528F"/>
    <w:rsid w:val="00BC6052"/>
    <w:rsid w:val="00BD0611"/>
    <w:rsid w:val="00BD100A"/>
    <w:rsid w:val="00BD173B"/>
    <w:rsid w:val="00BD1944"/>
    <w:rsid w:val="00BD1BDF"/>
    <w:rsid w:val="00BD1EE5"/>
    <w:rsid w:val="00BD2A43"/>
    <w:rsid w:val="00BD3394"/>
    <w:rsid w:val="00BD4679"/>
    <w:rsid w:val="00BD62BF"/>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5F40"/>
    <w:rsid w:val="00BF79F2"/>
    <w:rsid w:val="00BF7E57"/>
    <w:rsid w:val="00C004DA"/>
    <w:rsid w:val="00C019D6"/>
    <w:rsid w:val="00C027D5"/>
    <w:rsid w:val="00C03EF2"/>
    <w:rsid w:val="00C0589F"/>
    <w:rsid w:val="00C078A3"/>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477DF"/>
    <w:rsid w:val="00C47FB0"/>
    <w:rsid w:val="00C50462"/>
    <w:rsid w:val="00C50F05"/>
    <w:rsid w:val="00C52055"/>
    <w:rsid w:val="00C53387"/>
    <w:rsid w:val="00C53FE8"/>
    <w:rsid w:val="00C54204"/>
    <w:rsid w:val="00C55DF0"/>
    <w:rsid w:val="00C56CDB"/>
    <w:rsid w:val="00C56E18"/>
    <w:rsid w:val="00C60325"/>
    <w:rsid w:val="00C60F4B"/>
    <w:rsid w:val="00C61036"/>
    <w:rsid w:val="00C61D19"/>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BAD"/>
    <w:rsid w:val="00C71C7E"/>
    <w:rsid w:val="00C7266E"/>
    <w:rsid w:val="00C72744"/>
    <w:rsid w:val="00C73176"/>
    <w:rsid w:val="00C732DD"/>
    <w:rsid w:val="00C7330E"/>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35D"/>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4EF1"/>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4F1C"/>
    <w:rsid w:val="00D05CEA"/>
    <w:rsid w:val="00D063DB"/>
    <w:rsid w:val="00D07083"/>
    <w:rsid w:val="00D07B9E"/>
    <w:rsid w:val="00D10080"/>
    <w:rsid w:val="00D11611"/>
    <w:rsid w:val="00D11FE0"/>
    <w:rsid w:val="00D133C4"/>
    <w:rsid w:val="00D138C3"/>
    <w:rsid w:val="00D16378"/>
    <w:rsid w:val="00D16705"/>
    <w:rsid w:val="00D16C67"/>
    <w:rsid w:val="00D211D0"/>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1F9A"/>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57C5B"/>
    <w:rsid w:val="00D609BD"/>
    <w:rsid w:val="00D614B2"/>
    <w:rsid w:val="00D61CB8"/>
    <w:rsid w:val="00D62546"/>
    <w:rsid w:val="00D62771"/>
    <w:rsid w:val="00D63798"/>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CA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1A3"/>
    <w:rsid w:val="00DD2D9C"/>
    <w:rsid w:val="00DD3A7E"/>
    <w:rsid w:val="00DD40DD"/>
    <w:rsid w:val="00DD4436"/>
    <w:rsid w:val="00DD5121"/>
    <w:rsid w:val="00DD5C04"/>
    <w:rsid w:val="00DD6865"/>
    <w:rsid w:val="00DE0ECB"/>
    <w:rsid w:val="00DE2519"/>
    <w:rsid w:val="00DE29FD"/>
    <w:rsid w:val="00DE3622"/>
    <w:rsid w:val="00DE3EF3"/>
    <w:rsid w:val="00DE40FD"/>
    <w:rsid w:val="00DE421F"/>
    <w:rsid w:val="00DE602B"/>
    <w:rsid w:val="00DE7E93"/>
    <w:rsid w:val="00DF02B5"/>
    <w:rsid w:val="00DF5154"/>
    <w:rsid w:val="00DF5BD2"/>
    <w:rsid w:val="00DF5E53"/>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0A1"/>
    <w:rsid w:val="00E13736"/>
    <w:rsid w:val="00E138D4"/>
    <w:rsid w:val="00E15B72"/>
    <w:rsid w:val="00E163AC"/>
    <w:rsid w:val="00E164C1"/>
    <w:rsid w:val="00E16B87"/>
    <w:rsid w:val="00E20CE5"/>
    <w:rsid w:val="00E20F91"/>
    <w:rsid w:val="00E235B3"/>
    <w:rsid w:val="00E2557D"/>
    <w:rsid w:val="00E26131"/>
    <w:rsid w:val="00E2691A"/>
    <w:rsid w:val="00E27664"/>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3F35"/>
    <w:rsid w:val="00E544CD"/>
    <w:rsid w:val="00E5668B"/>
    <w:rsid w:val="00E60275"/>
    <w:rsid w:val="00E60F6E"/>
    <w:rsid w:val="00E620B5"/>
    <w:rsid w:val="00E63307"/>
    <w:rsid w:val="00E64E8C"/>
    <w:rsid w:val="00E6506E"/>
    <w:rsid w:val="00E65B57"/>
    <w:rsid w:val="00E65B7A"/>
    <w:rsid w:val="00E6620B"/>
    <w:rsid w:val="00E6713E"/>
    <w:rsid w:val="00E67905"/>
    <w:rsid w:val="00E705F6"/>
    <w:rsid w:val="00E71A1A"/>
    <w:rsid w:val="00E71D85"/>
    <w:rsid w:val="00E72D64"/>
    <w:rsid w:val="00E73CED"/>
    <w:rsid w:val="00E74708"/>
    <w:rsid w:val="00E747A7"/>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25D"/>
    <w:rsid w:val="00E923D8"/>
    <w:rsid w:val="00E93D9D"/>
    <w:rsid w:val="00E94578"/>
    <w:rsid w:val="00E95BD4"/>
    <w:rsid w:val="00E96B26"/>
    <w:rsid w:val="00E9764D"/>
    <w:rsid w:val="00EA03E9"/>
    <w:rsid w:val="00EA0A76"/>
    <w:rsid w:val="00EA0D06"/>
    <w:rsid w:val="00EA208E"/>
    <w:rsid w:val="00EA2546"/>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1121"/>
    <w:rsid w:val="00EC2C98"/>
    <w:rsid w:val="00EC3AA2"/>
    <w:rsid w:val="00EC3E96"/>
    <w:rsid w:val="00EC6FE8"/>
    <w:rsid w:val="00EC7BB1"/>
    <w:rsid w:val="00EC7CB4"/>
    <w:rsid w:val="00ED0184"/>
    <w:rsid w:val="00ED0E70"/>
    <w:rsid w:val="00ED28B3"/>
    <w:rsid w:val="00ED2E7C"/>
    <w:rsid w:val="00ED33D3"/>
    <w:rsid w:val="00ED3F32"/>
    <w:rsid w:val="00ED4EE8"/>
    <w:rsid w:val="00EE039A"/>
    <w:rsid w:val="00EE129F"/>
    <w:rsid w:val="00EE17E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2F8"/>
    <w:rsid w:val="00F0183D"/>
    <w:rsid w:val="00F0414A"/>
    <w:rsid w:val="00F049BC"/>
    <w:rsid w:val="00F06B81"/>
    <w:rsid w:val="00F07C59"/>
    <w:rsid w:val="00F10594"/>
    <w:rsid w:val="00F10D9B"/>
    <w:rsid w:val="00F10E95"/>
    <w:rsid w:val="00F11A82"/>
    <w:rsid w:val="00F1281B"/>
    <w:rsid w:val="00F14C34"/>
    <w:rsid w:val="00F14D82"/>
    <w:rsid w:val="00F14FA2"/>
    <w:rsid w:val="00F1507B"/>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65DD"/>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3A40"/>
    <w:rsid w:val="00F84852"/>
    <w:rsid w:val="00F8571B"/>
    <w:rsid w:val="00F86853"/>
    <w:rsid w:val="00F86A80"/>
    <w:rsid w:val="00F876E5"/>
    <w:rsid w:val="00F9049B"/>
    <w:rsid w:val="00F912D3"/>
    <w:rsid w:val="00F92BEF"/>
    <w:rsid w:val="00F94E5B"/>
    <w:rsid w:val="00F97771"/>
    <w:rsid w:val="00F97D0A"/>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B74"/>
    <w:rsid w:val="00FD1CCC"/>
    <w:rsid w:val="00FD21DD"/>
    <w:rsid w:val="00FD5337"/>
    <w:rsid w:val="00FD5DE0"/>
    <w:rsid w:val="00FD61FB"/>
    <w:rsid w:val="00FD6291"/>
    <w:rsid w:val="00FE15DE"/>
    <w:rsid w:val="00FE349E"/>
    <w:rsid w:val="00FE37E7"/>
    <w:rsid w:val="00FE4EE7"/>
    <w:rsid w:val="00FE600D"/>
    <w:rsid w:val="00FE6479"/>
    <w:rsid w:val="00FE6FC3"/>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504C6E"/>
  <w15:chartTrackingRefBased/>
  <w15:docId w15:val="{01302C48-5946-4CD1-B51C-A69DEA161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2979662">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3754746">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29249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3460355">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1907899">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176045">
      <w:bodyDiv w:val="1"/>
      <w:marLeft w:val="0"/>
      <w:marRight w:val="0"/>
      <w:marTop w:val="0"/>
      <w:marBottom w:val="0"/>
      <w:divBdr>
        <w:top w:val="none" w:sz="0" w:space="0" w:color="auto"/>
        <w:left w:val="none" w:sz="0" w:space="0" w:color="auto"/>
        <w:bottom w:val="none" w:sz="0" w:space="0" w:color="auto"/>
        <w:right w:val="none" w:sz="0" w:space="0" w:color="auto"/>
      </w:divBdr>
    </w:div>
    <w:div w:id="25252810">
      <w:bodyDiv w:val="1"/>
      <w:marLeft w:val="0"/>
      <w:marRight w:val="0"/>
      <w:marTop w:val="0"/>
      <w:marBottom w:val="0"/>
      <w:divBdr>
        <w:top w:val="none" w:sz="0" w:space="0" w:color="auto"/>
        <w:left w:val="none" w:sz="0" w:space="0" w:color="auto"/>
        <w:bottom w:val="none" w:sz="0" w:space="0" w:color="auto"/>
        <w:right w:val="none" w:sz="0" w:space="0" w:color="auto"/>
      </w:divBdr>
    </w:div>
    <w:div w:id="25376198">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6106736">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6130258">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0983155">
      <w:bodyDiv w:val="1"/>
      <w:marLeft w:val="0"/>
      <w:marRight w:val="0"/>
      <w:marTop w:val="0"/>
      <w:marBottom w:val="0"/>
      <w:divBdr>
        <w:top w:val="none" w:sz="0" w:space="0" w:color="auto"/>
        <w:left w:val="none" w:sz="0" w:space="0" w:color="auto"/>
        <w:bottom w:val="none" w:sz="0" w:space="0" w:color="auto"/>
        <w:right w:val="none" w:sz="0" w:space="0" w:color="auto"/>
      </w:divBdr>
    </w:div>
    <w:div w:id="4268274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16471">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272949">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7170882">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4256915">
      <w:bodyDiv w:val="1"/>
      <w:marLeft w:val="0"/>
      <w:marRight w:val="0"/>
      <w:marTop w:val="0"/>
      <w:marBottom w:val="0"/>
      <w:divBdr>
        <w:top w:val="none" w:sz="0" w:space="0" w:color="auto"/>
        <w:left w:val="none" w:sz="0" w:space="0" w:color="auto"/>
        <w:bottom w:val="none" w:sz="0" w:space="0" w:color="auto"/>
        <w:right w:val="none" w:sz="0" w:space="0" w:color="auto"/>
      </w:divBdr>
    </w:div>
    <w:div w:id="68385821">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2632534">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2576614">
      <w:bodyDiv w:val="1"/>
      <w:marLeft w:val="0"/>
      <w:marRight w:val="0"/>
      <w:marTop w:val="0"/>
      <w:marBottom w:val="0"/>
      <w:divBdr>
        <w:top w:val="none" w:sz="0" w:space="0" w:color="auto"/>
        <w:left w:val="none" w:sz="0" w:space="0" w:color="auto"/>
        <w:bottom w:val="none" w:sz="0" w:space="0" w:color="auto"/>
        <w:right w:val="none" w:sz="0" w:space="0" w:color="auto"/>
      </w:divBdr>
    </w:div>
    <w:div w:id="83498295">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252737">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4634659">
      <w:bodyDiv w:val="1"/>
      <w:marLeft w:val="0"/>
      <w:marRight w:val="0"/>
      <w:marTop w:val="0"/>
      <w:marBottom w:val="0"/>
      <w:divBdr>
        <w:top w:val="none" w:sz="0" w:space="0" w:color="auto"/>
        <w:left w:val="none" w:sz="0" w:space="0" w:color="auto"/>
        <w:bottom w:val="none" w:sz="0" w:space="0" w:color="auto"/>
        <w:right w:val="none" w:sz="0" w:space="0" w:color="auto"/>
      </w:divBdr>
    </w:div>
    <w:div w:id="101460894">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5465687">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7654173">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1578049">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48206463">
      <w:bodyDiv w:val="1"/>
      <w:marLeft w:val="0"/>
      <w:marRight w:val="0"/>
      <w:marTop w:val="0"/>
      <w:marBottom w:val="0"/>
      <w:divBdr>
        <w:top w:val="none" w:sz="0" w:space="0" w:color="auto"/>
        <w:left w:val="none" w:sz="0" w:space="0" w:color="auto"/>
        <w:bottom w:val="none" w:sz="0" w:space="0" w:color="auto"/>
        <w:right w:val="none" w:sz="0" w:space="0" w:color="auto"/>
      </w:divBdr>
    </w:div>
    <w:div w:id="149175301">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7574259">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78786457">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2717109">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6913794">
      <w:bodyDiv w:val="1"/>
      <w:marLeft w:val="0"/>
      <w:marRight w:val="0"/>
      <w:marTop w:val="0"/>
      <w:marBottom w:val="0"/>
      <w:divBdr>
        <w:top w:val="none" w:sz="0" w:space="0" w:color="auto"/>
        <w:left w:val="none" w:sz="0" w:space="0" w:color="auto"/>
        <w:bottom w:val="none" w:sz="0" w:space="0" w:color="auto"/>
        <w:right w:val="none" w:sz="0" w:space="0" w:color="auto"/>
      </w:divBdr>
    </w:div>
    <w:div w:id="188302964">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2576435">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8133683">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2378108">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2349829">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8655960">
      <w:bodyDiv w:val="1"/>
      <w:marLeft w:val="0"/>
      <w:marRight w:val="0"/>
      <w:marTop w:val="0"/>
      <w:marBottom w:val="0"/>
      <w:divBdr>
        <w:top w:val="none" w:sz="0" w:space="0" w:color="auto"/>
        <w:left w:val="none" w:sz="0" w:space="0" w:color="auto"/>
        <w:bottom w:val="none" w:sz="0" w:space="0" w:color="auto"/>
        <w:right w:val="none" w:sz="0" w:space="0" w:color="auto"/>
      </w:divBdr>
    </w:div>
    <w:div w:id="248663264">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8853369">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4137691">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79070455">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14389">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89627108">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4994267">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573964">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1087921">
      <w:bodyDiv w:val="1"/>
      <w:marLeft w:val="0"/>
      <w:marRight w:val="0"/>
      <w:marTop w:val="0"/>
      <w:marBottom w:val="0"/>
      <w:divBdr>
        <w:top w:val="none" w:sz="0" w:space="0" w:color="auto"/>
        <w:left w:val="none" w:sz="0" w:space="0" w:color="auto"/>
        <w:bottom w:val="none" w:sz="0" w:space="0" w:color="auto"/>
        <w:right w:val="none" w:sz="0" w:space="0" w:color="auto"/>
      </w:divBdr>
    </w:div>
    <w:div w:id="321586237">
      <w:bodyDiv w:val="1"/>
      <w:marLeft w:val="0"/>
      <w:marRight w:val="0"/>
      <w:marTop w:val="0"/>
      <w:marBottom w:val="0"/>
      <w:divBdr>
        <w:top w:val="none" w:sz="0" w:space="0" w:color="auto"/>
        <w:left w:val="none" w:sz="0" w:space="0" w:color="auto"/>
        <w:bottom w:val="none" w:sz="0" w:space="0" w:color="auto"/>
        <w:right w:val="none" w:sz="0" w:space="0" w:color="auto"/>
      </w:divBdr>
    </w:div>
    <w:div w:id="327943796">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106015">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8183910">
      <w:bodyDiv w:val="1"/>
      <w:marLeft w:val="0"/>
      <w:marRight w:val="0"/>
      <w:marTop w:val="0"/>
      <w:marBottom w:val="0"/>
      <w:divBdr>
        <w:top w:val="none" w:sz="0" w:space="0" w:color="auto"/>
        <w:left w:val="none" w:sz="0" w:space="0" w:color="auto"/>
        <w:bottom w:val="none" w:sz="0" w:space="0" w:color="auto"/>
        <w:right w:val="none" w:sz="0" w:space="0" w:color="auto"/>
      </w:divBdr>
    </w:div>
    <w:div w:id="369649245">
      <w:bodyDiv w:val="1"/>
      <w:marLeft w:val="0"/>
      <w:marRight w:val="0"/>
      <w:marTop w:val="0"/>
      <w:marBottom w:val="0"/>
      <w:divBdr>
        <w:top w:val="none" w:sz="0" w:space="0" w:color="auto"/>
        <w:left w:val="none" w:sz="0" w:space="0" w:color="auto"/>
        <w:bottom w:val="none" w:sz="0" w:space="0" w:color="auto"/>
        <w:right w:val="none" w:sz="0" w:space="0" w:color="auto"/>
      </w:divBdr>
    </w:div>
    <w:div w:id="369960190">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569164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89816506">
      <w:bodyDiv w:val="1"/>
      <w:marLeft w:val="0"/>
      <w:marRight w:val="0"/>
      <w:marTop w:val="0"/>
      <w:marBottom w:val="0"/>
      <w:divBdr>
        <w:top w:val="none" w:sz="0" w:space="0" w:color="auto"/>
        <w:left w:val="none" w:sz="0" w:space="0" w:color="auto"/>
        <w:bottom w:val="none" w:sz="0" w:space="0" w:color="auto"/>
        <w:right w:val="none" w:sz="0" w:space="0" w:color="auto"/>
      </w:divBdr>
    </w:div>
    <w:div w:id="390037040">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0912076">
      <w:bodyDiv w:val="1"/>
      <w:marLeft w:val="0"/>
      <w:marRight w:val="0"/>
      <w:marTop w:val="0"/>
      <w:marBottom w:val="0"/>
      <w:divBdr>
        <w:top w:val="none" w:sz="0" w:space="0" w:color="auto"/>
        <w:left w:val="none" w:sz="0" w:space="0" w:color="auto"/>
        <w:bottom w:val="none" w:sz="0" w:space="0" w:color="auto"/>
        <w:right w:val="none" w:sz="0" w:space="0" w:color="auto"/>
      </w:divBdr>
    </w:div>
    <w:div w:id="407701027">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5247399">
      <w:bodyDiv w:val="1"/>
      <w:marLeft w:val="0"/>
      <w:marRight w:val="0"/>
      <w:marTop w:val="0"/>
      <w:marBottom w:val="0"/>
      <w:divBdr>
        <w:top w:val="none" w:sz="0" w:space="0" w:color="auto"/>
        <w:left w:val="none" w:sz="0" w:space="0" w:color="auto"/>
        <w:bottom w:val="none" w:sz="0" w:space="0" w:color="auto"/>
        <w:right w:val="none" w:sz="0" w:space="0" w:color="auto"/>
      </w:divBdr>
    </w:div>
    <w:div w:id="416635977">
      <w:bodyDiv w:val="1"/>
      <w:marLeft w:val="0"/>
      <w:marRight w:val="0"/>
      <w:marTop w:val="0"/>
      <w:marBottom w:val="0"/>
      <w:divBdr>
        <w:top w:val="none" w:sz="0" w:space="0" w:color="auto"/>
        <w:left w:val="none" w:sz="0" w:space="0" w:color="auto"/>
        <w:bottom w:val="none" w:sz="0" w:space="0" w:color="auto"/>
        <w:right w:val="none" w:sz="0" w:space="0" w:color="auto"/>
      </w:divBdr>
    </w:div>
    <w:div w:id="417597658">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5928170">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0130912">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48864642">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4251170">
      <w:bodyDiv w:val="1"/>
      <w:marLeft w:val="0"/>
      <w:marRight w:val="0"/>
      <w:marTop w:val="0"/>
      <w:marBottom w:val="0"/>
      <w:divBdr>
        <w:top w:val="none" w:sz="0" w:space="0" w:color="auto"/>
        <w:left w:val="none" w:sz="0" w:space="0" w:color="auto"/>
        <w:bottom w:val="none" w:sz="0" w:space="0" w:color="auto"/>
        <w:right w:val="none" w:sz="0" w:space="0" w:color="auto"/>
      </w:divBdr>
    </w:div>
    <w:div w:id="455150201">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304358">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1168594">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6654149">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2045671">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603185">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4226256">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1700101">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09490891">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3958454">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1404921">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3752435">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4509550">
      <w:bodyDiv w:val="1"/>
      <w:marLeft w:val="0"/>
      <w:marRight w:val="0"/>
      <w:marTop w:val="0"/>
      <w:marBottom w:val="0"/>
      <w:divBdr>
        <w:top w:val="none" w:sz="0" w:space="0" w:color="auto"/>
        <w:left w:val="none" w:sz="0" w:space="0" w:color="auto"/>
        <w:bottom w:val="none" w:sz="0" w:space="0" w:color="auto"/>
        <w:right w:val="none" w:sz="0" w:space="0" w:color="auto"/>
      </w:divBdr>
    </w:div>
    <w:div w:id="554708204">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361781">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3593194">
      <w:bodyDiv w:val="1"/>
      <w:marLeft w:val="0"/>
      <w:marRight w:val="0"/>
      <w:marTop w:val="0"/>
      <w:marBottom w:val="0"/>
      <w:divBdr>
        <w:top w:val="none" w:sz="0" w:space="0" w:color="auto"/>
        <w:left w:val="none" w:sz="0" w:space="0" w:color="auto"/>
        <w:bottom w:val="none" w:sz="0" w:space="0" w:color="auto"/>
        <w:right w:val="none" w:sz="0" w:space="0" w:color="auto"/>
      </w:divBdr>
    </w:div>
    <w:div w:id="573858249">
      <w:bodyDiv w:val="1"/>
      <w:marLeft w:val="0"/>
      <w:marRight w:val="0"/>
      <w:marTop w:val="0"/>
      <w:marBottom w:val="0"/>
      <w:divBdr>
        <w:top w:val="none" w:sz="0" w:space="0" w:color="auto"/>
        <w:left w:val="none" w:sz="0" w:space="0" w:color="auto"/>
        <w:bottom w:val="none" w:sz="0" w:space="0" w:color="auto"/>
        <w:right w:val="none" w:sz="0" w:space="0" w:color="auto"/>
      </w:divBdr>
    </w:div>
    <w:div w:id="574365915">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5358097">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175519">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0525407">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3614470">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07930232">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6521481">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19190433">
      <w:bodyDiv w:val="1"/>
      <w:marLeft w:val="0"/>
      <w:marRight w:val="0"/>
      <w:marTop w:val="0"/>
      <w:marBottom w:val="0"/>
      <w:divBdr>
        <w:top w:val="none" w:sz="0" w:space="0" w:color="auto"/>
        <w:left w:val="none" w:sz="0" w:space="0" w:color="auto"/>
        <w:bottom w:val="none" w:sz="0" w:space="0" w:color="auto"/>
        <w:right w:val="none" w:sz="0" w:space="0" w:color="auto"/>
      </w:divBdr>
    </w:div>
    <w:div w:id="620958553">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7510300">
      <w:bodyDiv w:val="1"/>
      <w:marLeft w:val="0"/>
      <w:marRight w:val="0"/>
      <w:marTop w:val="0"/>
      <w:marBottom w:val="0"/>
      <w:divBdr>
        <w:top w:val="none" w:sz="0" w:space="0" w:color="auto"/>
        <w:left w:val="none" w:sz="0" w:space="0" w:color="auto"/>
        <w:bottom w:val="none" w:sz="0" w:space="0" w:color="auto"/>
        <w:right w:val="none" w:sz="0" w:space="0" w:color="auto"/>
      </w:divBdr>
    </w:div>
    <w:div w:id="628584080">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2080110">
      <w:bodyDiv w:val="1"/>
      <w:marLeft w:val="0"/>
      <w:marRight w:val="0"/>
      <w:marTop w:val="0"/>
      <w:marBottom w:val="0"/>
      <w:divBdr>
        <w:top w:val="none" w:sz="0" w:space="0" w:color="auto"/>
        <w:left w:val="none" w:sz="0" w:space="0" w:color="auto"/>
        <w:bottom w:val="none" w:sz="0" w:space="0" w:color="auto"/>
        <w:right w:val="none" w:sz="0" w:space="0" w:color="auto"/>
      </w:divBdr>
    </w:div>
    <w:div w:id="644314500">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059034">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2440846">
      <w:bodyDiv w:val="1"/>
      <w:marLeft w:val="0"/>
      <w:marRight w:val="0"/>
      <w:marTop w:val="0"/>
      <w:marBottom w:val="0"/>
      <w:divBdr>
        <w:top w:val="none" w:sz="0" w:space="0" w:color="auto"/>
        <w:left w:val="none" w:sz="0" w:space="0" w:color="auto"/>
        <w:bottom w:val="none" w:sz="0" w:space="0" w:color="auto"/>
        <w:right w:val="none" w:sz="0" w:space="0" w:color="auto"/>
      </w:divBdr>
    </w:div>
    <w:div w:id="665476193">
      <w:bodyDiv w:val="1"/>
      <w:marLeft w:val="0"/>
      <w:marRight w:val="0"/>
      <w:marTop w:val="0"/>
      <w:marBottom w:val="0"/>
      <w:divBdr>
        <w:top w:val="none" w:sz="0" w:space="0" w:color="auto"/>
        <w:left w:val="none" w:sz="0" w:space="0" w:color="auto"/>
        <w:bottom w:val="none" w:sz="0" w:space="0" w:color="auto"/>
        <w:right w:val="none" w:sz="0" w:space="0" w:color="auto"/>
      </w:divBdr>
    </w:div>
    <w:div w:id="669021877">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0089822">
      <w:bodyDiv w:val="1"/>
      <w:marLeft w:val="0"/>
      <w:marRight w:val="0"/>
      <w:marTop w:val="0"/>
      <w:marBottom w:val="0"/>
      <w:divBdr>
        <w:top w:val="none" w:sz="0" w:space="0" w:color="auto"/>
        <w:left w:val="none" w:sz="0" w:space="0" w:color="auto"/>
        <w:bottom w:val="none" w:sz="0" w:space="0" w:color="auto"/>
        <w:right w:val="none" w:sz="0" w:space="0" w:color="auto"/>
      </w:divBdr>
    </w:div>
    <w:div w:id="683626737">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89915850">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2268471">
      <w:bodyDiv w:val="1"/>
      <w:marLeft w:val="0"/>
      <w:marRight w:val="0"/>
      <w:marTop w:val="0"/>
      <w:marBottom w:val="0"/>
      <w:divBdr>
        <w:top w:val="none" w:sz="0" w:space="0" w:color="auto"/>
        <w:left w:val="none" w:sz="0" w:space="0" w:color="auto"/>
        <w:bottom w:val="none" w:sz="0" w:space="0" w:color="auto"/>
        <w:right w:val="none" w:sz="0" w:space="0" w:color="auto"/>
      </w:divBdr>
    </w:div>
    <w:div w:id="697007163">
      <w:bodyDiv w:val="1"/>
      <w:marLeft w:val="0"/>
      <w:marRight w:val="0"/>
      <w:marTop w:val="0"/>
      <w:marBottom w:val="0"/>
      <w:divBdr>
        <w:top w:val="none" w:sz="0" w:space="0" w:color="auto"/>
        <w:left w:val="none" w:sz="0" w:space="0" w:color="auto"/>
        <w:bottom w:val="none" w:sz="0" w:space="0" w:color="auto"/>
        <w:right w:val="none" w:sz="0" w:space="0" w:color="auto"/>
      </w:divBdr>
    </w:div>
    <w:div w:id="698118492">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2175414">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09652912">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4452634">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070866">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6996428">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199344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67311967">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6170237">
      <w:bodyDiv w:val="1"/>
      <w:marLeft w:val="0"/>
      <w:marRight w:val="0"/>
      <w:marTop w:val="0"/>
      <w:marBottom w:val="0"/>
      <w:divBdr>
        <w:top w:val="none" w:sz="0" w:space="0" w:color="auto"/>
        <w:left w:val="none" w:sz="0" w:space="0" w:color="auto"/>
        <w:bottom w:val="none" w:sz="0" w:space="0" w:color="auto"/>
        <w:right w:val="none" w:sz="0" w:space="0" w:color="auto"/>
      </w:divBdr>
    </w:div>
    <w:div w:id="781418184">
      <w:bodyDiv w:val="1"/>
      <w:marLeft w:val="0"/>
      <w:marRight w:val="0"/>
      <w:marTop w:val="0"/>
      <w:marBottom w:val="0"/>
      <w:divBdr>
        <w:top w:val="none" w:sz="0" w:space="0" w:color="auto"/>
        <w:left w:val="none" w:sz="0" w:space="0" w:color="auto"/>
        <w:bottom w:val="none" w:sz="0" w:space="0" w:color="auto"/>
        <w:right w:val="none" w:sz="0" w:space="0" w:color="auto"/>
      </w:divBdr>
    </w:div>
    <w:div w:id="782462547">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0780307">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2775352">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07627788">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5126556">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099330">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3029094">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7385818">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4075150">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9288899">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191338">
      <w:bodyDiv w:val="1"/>
      <w:marLeft w:val="0"/>
      <w:marRight w:val="0"/>
      <w:marTop w:val="0"/>
      <w:marBottom w:val="0"/>
      <w:divBdr>
        <w:top w:val="none" w:sz="0" w:space="0" w:color="auto"/>
        <w:left w:val="none" w:sz="0" w:space="0" w:color="auto"/>
        <w:bottom w:val="none" w:sz="0" w:space="0" w:color="auto"/>
        <w:right w:val="none" w:sz="0" w:space="0" w:color="auto"/>
      </w:divBdr>
    </w:div>
    <w:div w:id="909466671">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29580984">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382989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5501496">
      <w:bodyDiv w:val="1"/>
      <w:marLeft w:val="0"/>
      <w:marRight w:val="0"/>
      <w:marTop w:val="0"/>
      <w:marBottom w:val="0"/>
      <w:divBdr>
        <w:top w:val="none" w:sz="0" w:space="0" w:color="auto"/>
        <w:left w:val="none" w:sz="0" w:space="0" w:color="auto"/>
        <w:bottom w:val="none" w:sz="0" w:space="0" w:color="auto"/>
        <w:right w:val="none" w:sz="0" w:space="0" w:color="auto"/>
      </w:divBdr>
    </w:div>
    <w:div w:id="946544228">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329297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2425570">
      <w:bodyDiv w:val="1"/>
      <w:marLeft w:val="0"/>
      <w:marRight w:val="0"/>
      <w:marTop w:val="0"/>
      <w:marBottom w:val="0"/>
      <w:divBdr>
        <w:top w:val="none" w:sz="0" w:space="0" w:color="auto"/>
        <w:left w:val="none" w:sz="0" w:space="0" w:color="auto"/>
        <w:bottom w:val="none" w:sz="0" w:space="0" w:color="auto"/>
        <w:right w:val="none" w:sz="0" w:space="0" w:color="auto"/>
      </w:divBdr>
    </w:div>
    <w:div w:id="962880514">
      <w:bodyDiv w:val="1"/>
      <w:marLeft w:val="0"/>
      <w:marRight w:val="0"/>
      <w:marTop w:val="0"/>
      <w:marBottom w:val="0"/>
      <w:divBdr>
        <w:top w:val="none" w:sz="0" w:space="0" w:color="auto"/>
        <w:left w:val="none" w:sz="0" w:space="0" w:color="auto"/>
        <w:bottom w:val="none" w:sz="0" w:space="0" w:color="auto"/>
        <w:right w:val="none" w:sz="0" w:space="0" w:color="auto"/>
      </w:divBdr>
    </w:div>
    <w:div w:id="968821207">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1975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193260">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4014702">
      <w:bodyDiv w:val="1"/>
      <w:marLeft w:val="0"/>
      <w:marRight w:val="0"/>
      <w:marTop w:val="0"/>
      <w:marBottom w:val="0"/>
      <w:divBdr>
        <w:top w:val="none" w:sz="0" w:space="0" w:color="auto"/>
        <w:left w:val="none" w:sz="0" w:space="0" w:color="auto"/>
        <w:bottom w:val="none" w:sz="0" w:space="0" w:color="auto"/>
        <w:right w:val="none" w:sz="0" w:space="0" w:color="auto"/>
      </w:divBdr>
    </w:div>
    <w:div w:id="1004208404">
      <w:bodyDiv w:val="1"/>
      <w:marLeft w:val="0"/>
      <w:marRight w:val="0"/>
      <w:marTop w:val="0"/>
      <w:marBottom w:val="0"/>
      <w:divBdr>
        <w:top w:val="none" w:sz="0" w:space="0" w:color="auto"/>
        <w:left w:val="none" w:sz="0" w:space="0" w:color="auto"/>
        <w:bottom w:val="none" w:sz="0" w:space="0" w:color="auto"/>
        <w:right w:val="none" w:sz="0" w:space="0" w:color="auto"/>
      </w:divBdr>
    </w:div>
    <w:div w:id="1005790740">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7288602">
      <w:bodyDiv w:val="1"/>
      <w:marLeft w:val="0"/>
      <w:marRight w:val="0"/>
      <w:marTop w:val="0"/>
      <w:marBottom w:val="0"/>
      <w:divBdr>
        <w:top w:val="none" w:sz="0" w:space="0" w:color="auto"/>
        <w:left w:val="none" w:sz="0" w:space="0" w:color="auto"/>
        <w:bottom w:val="none" w:sz="0" w:space="0" w:color="auto"/>
        <w:right w:val="none" w:sz="0" w:space="0" w:color="auto"/>
      </w:divBdr>
    </w:div>
    <w:div w:id="1009329577">
      <w:bodyDiv w:val="1"/>
      <w:marLeft w:val="0"/>
      <w:marRight w:val="0"/>
      <w:marTop w:val="0"/>
      <w:marBottom w:val="0"/>
      <w:divBdr>
        <w:top w:val="none" w:sz="0" w:space="0" w:color="auto"/>
        <w:left w:val="none" w:sz="0" w:space="0" w:color="auto"/>
        <w:bottom w:val="none" w:sz="0" w:space="0" w:color="auto"/>
        <w:right w:val="none" w:sz="0" w:space="0" w:color="auto"/>
      </w:divBdr>
    </w:div>
    <w:div w:id="1009336500">
      <w:bodyDiv w:val="1"/>
      <w:marLeft w:val="0"/>
      <w:marRight w:val="0"/>
      <w:marTop w:val="0"/>
      <w:marBottom w:val="0"/>
      <w:divBdr>
        <w:top w:val="none" w:sz="0" w:space="0" w:color="auto"/>
        <w:left w:val="none" w:sz="0" w:space="0" w:color="auto"/>
        <w:bottom w:val="none" w:sz="0" w:space="0" w:color="auto"/>
        <w:right w:val="none" w:sz="0" w:space="0" w:color="auto"/>
      </w:divBdr>
    </w:div>
    <w:div w:id="1009991427">
      <w:bodyDiv w:val="1"/>
      <w:marLeft w:val="0"/>
      <w:marRight w:val="0"/>
      <w:marTop w:val="0"/>
      <w:marBottom w:val="0"/>
      <w:divBdr>
        <w:top w:val="none" w:sz="0" w:space="0" w:color="auto"/>
        <w:left w:val="none" w:sz="0" w:space="0" w:color="auto"/>
        <w:bottom w:val="none" w:sz="0" w:space="0" w:color="auto"/>
        <w:right w:val="none" w:sz="0" w:space="0" w:color="auto"/>
      </w:divBdr>
    </w:div>
    <w:div w:id="1010176554">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16925806">
      <w:bodyDiv w:val="1"/>
      <w:marLeft w:val="0"/>
      <w:marRight w:val="0"/>
      <w:marTop w:val="0"/>
      <w:marBottom w:val="0"/>
      <w:divBdr>
        <w:top w:val="none" w:sz="0" w:space="0" w:color="auto"/>
        <w:left w:val="none" w:sz="0" w:space="0" w:color="auto"/>
        <w:bottom w:val="none" w:sz="0" w:space="0" w:color="auto"/>
        <w:right w:val="none" w:sz="0" w:space="0" w:color="auto"/>
      </w:divBdr>
    </w:div>
    <w:div w:id="1020741624">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28683610">
      <w:bodyDiv w:val="1"/>
      <w:marLeft w:val="0"/>
      <w:marRight w:val="0"/>
      <w:marTop w:val="0"/>
      <w:marBottom w:val="0"/>
      <w:divBdr>
        <w:top w:val="none" w:sz="0" w:space="0" w:color="auto"/>
        <w:left w:val="none" w:sz="0" w:space="0" w:color="auto"/>
        <w:bottom w:val="none" w:sz="0" w:space="0" w:color="auto"/>
        <w:right w:val="none" w:sz="0" w:space="0" w:color="auto"/>
      </w:divBdr>
    </w:div>
    <w:div w:id="1030375935">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123641">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6414223">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376833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4477614">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2530069">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6347676">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7674050">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5878706">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376873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897402">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4834816">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0196894">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49903097">
      <w:bodyDiv w:val="1"/>
      <w:marLeft w:val="0"/>
      <w:marRight w:val="0"/>
      <w:marTop w:val="0"/>
      <w:marBottom w:val="0"/>
      <w:divBdr>
        <w:top w:val="none" w:sz="0" w:space="0" w:color="auto"/>
        <w:left w:val="none" w:sz="0" w:space="0" w:color="auto"/>
        <w:bottom w:val="none" w:sz="0" w:space="0" w:color="auto"/>
        <w:right w:val="none" w:sz="0" w:space="0" w:color="auto"/>
      </w:divBdr>
    </w:div>
    <w:div w:id="1150636003">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0733034">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4519682">
      <w:bodyDiv w:val="1"/>
      <w:marLeft w:val="0"/>
      <w:marRight w:val="0"/>
      <w:marTop w:val="0"/>
      <w:marBottom w:val="0"/>
      <w:divBdr>
        <w:top w:val="none" w:sz="0" w:space="0" w:color="auto"/>
        <w:left w:val="none" w:sz="0" w:space="0" w:color="auto"/>
        <w:bottom w:val="none" w:sz="0" w:space="0" w:color="auto"/>
        <w:right w:val="none" w:sz="0" w:space="0" w:color="auto"/>
      </w:divBdr>
    </w:div>
    <w:div w:id="1191336321">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09029091">
      <w:bodyDiv w:val="1"/>
      <w:marLeft w:val="0"/>
      <w:marRight w:val="0"/>
      <w:marTop w:val="0"/>
      <w:marBottom w:val="0"/>
      <w:divBdr>
        <w:top w:val="none" w:sz="0" w:space="0" w:color="auto"/>
        <w:left w:val="none" w:sz="0" w:space="0" w:color="auto"/>
        <w:bottom w:val="none" w:sz="0" w:space="0" w:color="auto"/>
        <w:right w:val="none" w:sz="0" w:space="0" w:color="auto"/>
      </w:divBdr>
    </w:div>
    <w:div w:id="1219853434">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1427413">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58169875">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2319930">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79608569">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6280165">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5864395">
      <w:bodyDiv w:val="1"/>
      <w:marLeft w:val="0"/>
      <w:marRight w:val="0"/>
      <w:marTop w:val="0"/>
      <w:marBottom w:val="0"/>
      <w:divBdr>
        <w:top w:val="none" w:sz="0" w:space="0" w:color="auto"/>
        <w:left w:val="none" w:sz="0" w:space="0" w:color="auto"/>
        <w:bottom w:val="none" w:sz="0" w:space="0" w:color="auto"/>
        <w:right w:val="none" w:sz="0" w:space="0" w:color="auto"/>
      </w:divBdr>
    </w:div>
    <w:div w:id="1300376210">
      <w:bodyDiv w:val="1"/>
      <w:marLeft w:val="0"/>
      <w:marRight w:val="0"/>
      <w:marTop w:val="0"/>
      <w:marBottom w:val="0"/>
      <w:divBdr>
        <w:top w:val="none" w:sz="0" w:space="0" w:color="auto"/>
        <w:left w:val="none" w:sz="0" w:space="0" w:color="auto"/>
        <w:bottom w:val="none" w:sz="0" w:space="0" w:color="auto"/>
        <w:right w:val="none" w:sz="0" w:space="0" w:color="auto"/>
      </w:divBdr>
    </w:div>
    <w:div w:id="1300457953">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0982372">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106851">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6372473">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7606351">
      <w:bodyDiv w:val="1"/>
      <w:marLeft w:val="0"/>
      <w:marRight w:val="0"/>
      <w:marTop w:val="0"/>
      <w:marBottom w:val="0"/>
      <w:divBdr>
        <w:top w:val="none" w:sz="0" w:space="0" w:color="auto"/>
        <w:left w:val="none" w:sz="0" w:space="0" w:color="auto"/>
        <w:bottom w:val="none" w:sz="0" w:space="0" w:color="auto"/>
        <w:right w:val="none" w:sz="0" w:space="0" w:color="auto"/>
      </w:divBdr>
    </w:div>
    <w:div w:id="1368525030">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1592586">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149278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862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8263436">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376252">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5832192">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1702753">
      <w:bodyDiv w:val="1"/>
      <w:marLeft w:val="0"/>
      <w:marRight w:val="0"/>
      <w:marTop w:val="0"/>
      <w:marBottom w:val="0"/>
      <w:divBdr>
        <w:top w:val="none" w:sz="0" w:space="0" w:color="auto"/>
        <w:left w:val="none" w:sz="0" w:space="0" w:color="auto"/>
        <w:bottom w:val="none" w:sz="0" w:space="0" w:color="auto"/>
        <w:right w:val="none" w:sz="0" w:space="0" w:color="auto"/>
      </w:divBdr>
    </w:div>
    <w:div w:id="1451977458">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9453177">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2653842">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5469653">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0054983">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744887">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3521455">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3930471">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4904163">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0408771">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6230915">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0778189">
      <w:bodyDiv w:val="1"/>
      <w:marLeft w:val="0"/>
      <w:marRight w:val="0"/>
      <w:marTop w:val="0"/>
      <w:marBottom w:val="0"/>
      <w:divBdr>
        <w:top w:val="none" w:sz="0" w:space="0" w:color="auto"/>
        <w:left w:val="none" w:sz="0" w:space="0" w:color="auto"/>
        <w:bottom w:val="none" w:sz="0" w:space="0" w:color="auto"/>
        <w:right w:val="none" w:sz="0" w:space="0" w:color="auto"/>
      </w:divBdr>
    </w:div>
    <w:div w:id="1545483156">
      <w:bodyDiv w:val="1"/>
      <w:marLeft w:val="0"/>
      <w:marRight w:val="0"/>
      <w:marTop w:val="0"/>
      <w:marBottom w:val="0"/>
      <w:divBdr>
        <w:top w:val="none" w:sz="0" w:space="0" w:color="auto"/>
        <w:left w:val="none" w:sz="0" w:space="0" w:color="auto"/>
        <w:bottom w:val="none" w:sz="0" w:space="0" w:color="auto"/>
        <w:right w:val="none" w:sz="0" w:space="0" w:color="auto"/>
      </w:divBdr>
    </w:div>
    <w:div w:id="154633357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600857">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1963009">
      <w:bodyDiv w:val="1"/>
      <w:marLeft w:val="0"/>
      <w:marRight w:val="0"/>
      <w:marTop w:val="0"/>
      <w:marBottom w:val="0"/>
      <w:divBdr>
        <w:top w:val="none" w:sz="0" w:space="0" w:color="auto"/>
        <w:left w:val="none" w:sz="0" w:space="0" w:color="auto"/>
        <w:bottom w:val="none" w:sz="0" w:space="0" w:color="auto"/>
        <w:right w:val="none" w:sz="0" w:space="0" w:color="auto"/>
      </w:divBdr>
    </w:div>
    <w:div w:id="1552040414">
      <w:bodyDiv w:val="1"/>
      <w:marLeft w:val="0"/>
      <w:marRight w:val="0"/>
      <w:marTop w:val="0"/>
      <w:marBottom w:val="0"/>
      <w:divBdr>
        <w:top w:val="none" w:sz="0" w:space="0" w:color="auto"/>
        <w:left w:val="none" w:sz="0" w:space="0" w:color="auto"/>
        <w:bottom w:val="none" w:sz="0" w:space="0" w:color="auto"/>
        <w:right w:val="none" w:sz="0" w:space="0" w:color="auto"/>
      </w:divBdr>
    </w:div>
    <w:div w:id="1553301499">
      <w:bodyDiv w:val="1"/>
      <w:marLeft w:val="0"/>
      <w:marRight w:val="0"/>
      <w:marTop w:val="0"/>
      <w:marBottom w:val="0"/>
      <w:divBdr>
        <w:top w:val="none" w:sz="0" w:space="0" w:color="auto"/>
        <w:left w:val="none" w:sz="0" w:space="0" w:color="auto"/>
        <w:bottom w:val="none" w:sz="0" w:space="0" w:color="auto"/>
        <w:right w:val="none" w:sz="0" w:space="0" w:color="auto"/>
      </w:divBdr>
    </w:div>
    <w:div w:id="1560553842">
      <w:bodyDiv w:val="1"/>
      <w:marLeft w:val="0"/>
      <w:marRight w:val="0"/>
      <w:marTop w:val="0"/>
      <w:marBottom w:val="0"/>
      <w:divBdr>
        <w:top w:val="none" w:sz="0" w:space="0" w:color="auto"/>
        <w:left w:val="none" w:sz="0" w:space="0" w:color="auto"/>
        <w:bottom w:val="none" w:sz="0" w:space="0" w:color="auto"/>
        <w:right w:val="none" w:sz="0" w:space="0" w:color="auto"/>
      </w:divBdr>
    </w:div>
    <w:div w:id="1563710147">
      <w:bodyDiv w:val="1"/>
      <w:marLeft w:val="0"/>
      <w:marRight w:val="0"/>
      <w:marTop w:val="0"/>
      <w:marBottom w:val="0"/>
      <w:divBdr>
        <w:top w:val="none" w:sz="0" w:space="0" w:color="auto"/>
        <w:left w:val="none" w:sz="0" w:space="0" w:color="auto"/>
        <w:bottom w:val="none" w:sz="0" w:space="0" w:color="auto"/>
        <w:right w:val="none" w:sz="0" w:space="0" w:color="auto"/>
      </w:divBdr>
    </w:div>
    <w:div w:id="1564292912">
      <w:bodyDiv w:val="1"/>
      <w:marLeft w:val="0"/>
      <w:marRight w:val="0"/>
      <w:marTop w:val="0"/>
      <w:marBottom w:val="0"/>
      <w:divBdr>
        <w:top w:val="none" w:sz="0" w:space="0" w:color="auto"/>
        <w:left w:val="none" w:sz="0" w:space="0" w:color="auto"/>
        <w:bottom w:val="none" w:sz="0" w:space="0" w:color="auto"/>
        <w:right w:val="none" w:sz="0" w:space="0" w:color="auto"/>
      </w:divBdr>
    </w:div>
    <w:div w:id="1564636601">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454493">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3755834">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6326400">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5089199">
      <w:bodyDiv w:val="1"/>
      <w:marLeft w:val="0"/>
      <w:marRight w:val="0"/>
      <w:marTop w:val="0"/>
      <w:marBottom w:val="0"/>
      <w:divBdr>
        <w:top w:val="none" w:sz="0" w:space="0" w:color="auto"/>
        <w:left w:val="none" w:sz="0" w:space="0" w:color="auto"/>
        <w:bottom w:val="none" w:sz="0" w:space="0" w:color="auto"/>
        <w:right w:val="none" w:sz="0" w:space="0" w:color="auto"/>
      </w:divBdr>
    </w:div>
    <w:div w:id="1615865125">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092519">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4944273">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3925335">
      <w:bodyDiv w:val="1"/>
      <w:marLeft w:val="0"/>
      <w:marRight w:val="0"/>
      <w:marTop w:val="0"/>
      <w:marBottom w:val="0"/>
      <w:divBdr>
        <w:top w:val="none" w:sz="0" w:space="0" w:color="auto"/>
        <w:left w:val="none" w:sz="0" w:space="0" w:color="auto"/>
        <w:bottom w:val="none" w:sz="0" w:space="0" w:color="auto"/>
        <w:right w:val="none" w:sz="0" w:space="0" w:color="auto"/>
      </w:divBdr>
    </w:div>
    <w:div w:id="1644234094">
      <w:bodyDiv w:val="1"/>
      <w:marLeft w:val="0"/>
      <w:marRight w:val="0"/>
      <w:marTop w:val="0"/>
      <w:marBottom w:val="0"/>
      <w:divBdr>
        <w:top w:val="none" w:sz="0" w:space="0" w:color="auto"/>
        <w:left w:val="none" w:sz="0" w:space="0" w:color="auto"/>
        <w:bottom w:val="none" w:sz="0" w:space="0" w:color="auto"/>
        <w:right w:val="none" w:sz="0" w:space="0" w:color="auto"/>
      </w:divBdr>
    </w:div>
    <w:div w:id="1645351313">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49673450">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4335781">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107906">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1813163">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0697562">
      <w:bodyDiv w:val="1"/>
      <w:marLeft w:val="0"/>
      <w:marRight w:val="0"/>
      <w:marTop w:val="0"/>
      <w:marBottom w:val="0"/>
      <w:divBdr>
        <w:top w:val="none" w:sz="0" w:space="0" w:color="auto"/>
        <w:left w:val="none" w:sz="0" w:space="0" w:color="auto"/>
        <w:bottom w:val="none" w:sz="0" w:space="0" w:color="auto"/>
        <w:right w:val="none" w:sz="0" w:space="0" w:color="auto"/>
      </w:divBdr>
    </w:div>
    <w:div w:id="1686131942">
      <w:bodyDiv w:val="1"/>
      <w:marLeft w:val="0"/>
      <w:marRight w:val="0"/>
      <w:marTop w:val="0"/>
      <w:marBottom w:val="0"/>
      <w:divBdr>
        <w:top w:val="none" w:sz="0" w:space="0" w:color="auto"/>
        <w:left w:val="none" w:sz="0" w:space="0" w:color="auto"/>
        <w:bottom w:val="none" w:sz="0" w:space="0" w:color="auto"/>
        <w:right w:val="none" w:sz="0" w:space="0" w:color="auto"/>
      </w:divBdr>
    </w:div>
    <w:div w:id="1695302205">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3550755">
      <w:bodyDiv w:val="1"/>
      <w:marLeft w:val="0"/>
      <w:marRight w:val="0"/>
      <w:marTop w:val="0"/>
      <w:marBottom w:val="0"/>
      <w:divBdr>
        <w:top w:val="none" w:sz="0" w:space="0" w:color="auto"/>
        <w:left w:val="none" w:sz="0" w:space="0" w:color="auto"/>
        <w:bottom w:val="none" w:sz="0" w:space="0" w:color="auto"/>
        <w:right w:val="none" w:sz="0" w:space="0" w:color="auto"/>
      </w:divBdr>
    </w:div>
    <w:div w:id="1704476873">
      <w:bodyDiv w:val="1"/>
      <w:marLeft w:val="0"/>
      <w:marRight w:val="0"/>
      <w:marTop w:val="0"/>
      <w:marBottom w:val="0"/>
      <w:divBdr>
        <w:top w:val="none" w:sz="0" w:space="0" w:color="auto"/>
        <w:left w:val="none" w:sz="0" w:space="0" w:color="auto"/>
        <w:bottom w:val="none" w:sz="0" w:space="0" w:color="auto"/>
        <w:right w:val="none" w:sz="0" w:space="0" w:color="auto"/>
      </w:divBdr>
    </w:div>
    <w:div w:id="1706563071">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5495626">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1610802">
      <w:bodyDiv w:val="1"/>
      <w:marLeft w:val="0"/>
      <w:marRight w:val="0"/>
      <w:marTop w:val="0"/>
      <w:marBottom w:val="0"/>
      <w:divBdr>
        <w:top w:val="none" w:sz="0" w:space="0" w:color="auto"/>
        <w:left w:val="none" w:sz="0" w:space="0" w:color="auto"/>
        <w:bottom w:val="none" w:sz="0" w:space="0" w:color="auto"/>
        <w:right w:val="none" w:sz="0" w:space="0" w:color="auto"/>
      </w:divBdr>
    </w:div>
    <w:div w:id="1733459820">
      <w:bodyDiv w:val="1"/>
      <w:marLeft w:val="0"/>
      <w:marRight w:val="0"/>
      <w:marTop w:val="0"/>
      <w:marBottom w:val="0"/>
      <w:divBdr>
        <w:top w:val="none" w:sz="0" w:space="0" w:color="auto"/>
        <w:left w:val="none" w:sz="0" w:space="0" w:color="auto"/>
        <w:bottom w:val="none" w:sz="0" w:space="0" w:color="auto"/>
        <w:right w:val="none" w:sz="0" w:space="0" w:color="auto"/>
      </w:divBdr>
    </w:div>
    <w:div w:id="1735162525">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39397789">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15188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7095506">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58474628">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203668">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3528902">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5828218">
      <w:bodyDiv w:val="1"/>
      <w:marLeft w:val="0"/>
      <w:marRight w:val="0"/>
      <w:marTop w:val="0"/>
      <w:marBottom w:val="0"/>
      <w:divBdr>
        <w:top w:val="none" w:sz="0" w:space="0" w:color="auto"/>
        <w:left w:val="none" w:sz="0" w:space="0" w:color="auto"/>
        <w:bottom w:val="none" w:sz="0" w:space="0" w:color="auto"/>
        <w:right w:val="none" w:sz="0" w:space="0" w:color="auto"/>
      </w:divBdr>
    </w:div>
    <w:div w:id="1795905242">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7477670">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2792884">
      <w:bodyDiv w:val="1"/>
      <w:marLeft w:val="0"/>
      <w:marRight w:val="0"/>
      <w:marTop w:val="0"/>
      <w:marBottom w:val="0"/>
      <w:divBdr>
        <w:top w:val="none" w:sz="0" w:space="0" w:color="auto"/>
        <w:left w:val="none" w:sz="0" w:space="0" w:color="auto"/>
        <w:bottom w:val="none" w:sz="0" w:space="0" w:color="auto"/>
        <w:right w:val="none" w:sz="0" w:space="0" w:color="auto"/>
      </w:divBdr>
    </w:div>
    <w:div w:id="1833058786">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759188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302525">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58349070">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2428857">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8254878">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5942931">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3540368">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18973562">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385387">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2205941">
      <w:bodyDiv w:val="1"/>
      <w:marLeft w:val="0"/>
      <w:marRight w:val="0"/>
      <w:marTop w:val="0"/>
      <w:marBottom w:val="0"/>
      <w:divBdr>
        <w:top w:val="none" w:sz="0" w:space="0" w:color="auto"/>
        <w:left w:val="none" w:sz="0" w:space="0" w:color="auto"/>
        <w:bottom w:val="none" w:sz="0" w:space="0" w:color="auto"/>
        <w:right w:val="none" w:sz="0" w:space="0" w:color="auto"/>
      </w:divBdr>
    </w:div>
    <w:div w:id="19535845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6711756">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58486974">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3223871">
      <w:bodyDiv w:val="1"/>
      <w:marLeft w:val="0"/>
      <w:marRight w:val="0"/>
      <w:marTop w:val="0"/>
      <w:marBottom w:val="0"/>
      <w:divBdr>
        <w:top w:val="none" w:sz="0" w:space="0" w:color="auto"/>
        <w:left w:val="none" w:sz="0" w:space="0" w:color="auto"/>
        <w:bottom w:val="none" w:sz="0" w:space="0" w:color="auto"/>
        <w:right w:val="none" w:sz="0" w:space="0" w:color="auto"/>
      </w:divBdr>
    </w:div>
    <w:div w:id="1965622129">
      <w:bodyDiv w:val="1"/>
      <w:marLeft w:val="0"/>
      <w:marRight w:val="0"/>
      <w:marTop w:val="0"/>
      <w:marBottom w:val="0"/>
      <w:divBdr>
        <w:top w:val="none" w:sz="0" w:space="0" w:color="auto"/>
        <w:left w:val="none" w:sz="0" w:space="0" w:color="auto"/>
        <w:bottom w:val="none" w:sz="0" w:space="0" w:color="auto"/>
        <w:right w:val="none" w:sz="0" w:space="0" w:color="auto"/>
      </w:divBdr>
    </w:div>
    <w:div w:id="1967080349">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8166411">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0452668">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294617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1053784">
      <w:bodyDiv w:val="1"/>
      <w:marLeft w:val="0"/>
      <w:marRight w:val="0"/>
      <w:marTop w:val="0"/>
      <w:marBottom w:val="0"/>
      <w:divBdr>
        <w:top w:val="none" w:sz="0" w:space="0" w:color="auto"/>
        <w:left w:val="none" w:sz="0" w:space="0" w:color="auto"/>
        <w:bottom w:val="none" w:sz="0" w:space="0" w:color="auto"/>
        <w:right w:val="none" w:sz="0" w:space="0" w:color="auto"/>
      </w:divBdr>
    </w:div>
    <w:div w:id="2041734088">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1441590">
      <w:bodyDiv w:val="1"/>
      <w:marLeft w:val="0"/>
      <w:marRight w:val="0"/>
      <w:marTop w:val="0"/>
      <w:marBottom w:val="0"/>
      <w:divBdr>
        <w:top w:val="none" w:sz="0" w:space="0" w:color="auto"/>
        <w:left w:val="none" w:sz="0" w:space="0" w:color="auto"/>
        <w:bottom w:val="none" w:sz="0" w:space="0" w:color="auto"/>
        <w:right w:val="none" w:sz="0" w:space="0" w:color="auto"/>
      </w:divBdr>
    </w:div>
    <w:div w:id="2062247846">
      <w:bodyDiv w:val="1"/>
      <w:marLeft w:val="0"/>
      <w:marRight w:val="0"/>
      <w:marTop w:val="0"/>
      <w:marBottom w:val="0"/>
      <w:divBdr>
        <w:top w:val="none" w:sz="0" w:space="0" w:color="auto"/>
        <w:left w:val="none" w:sz="0" w:space="0" w:color="auto"/>
        <w:bottom w:val="none" w:sz="0" w:space="0" w:color="auto"/>
        <w:right w:val="none" w:sz="0" w:space="0" w:color="auto"/>
      </w:divBdr>
    </w:div>
    <w:div w:id="2062629299">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547663">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293271">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9866819">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398749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86842">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5862264">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0078187">
      <w:bodyDiv w:val="1"/>
      <w:marLeft w:val="0"/>
      <w:marRight w:val="0"/>
      <w:marTop w:val="0"/>
      <w:marBottom w:val="0"/>
      <w:divBdr>
        <w:top w:val="none" w:sz="0" w:space="0" w:color="auto"/>
        <w:left w:val="none" w:sz="0" w:space="0" w:color="auto"/>
        <w:bottom w:val="none" w:sz="0" w:space="0" w:color="auto"/>
        <w:right w:val="none" w:sz="0" w:space="0" w:color="auto"/>
      </w:divBdr>
    </w:div>
    <w:div w:id="2131167852">
      <w:bodyDiv w:val="1"/>
      <w:marLeft w:val="0"/>
      <w:marRight w:val="0"/>
      <w:marTop w:val="0"/>
      <w:marBottom w:val="0"/>
      <w:divBdr>
        <w:top w:val="none" w:sz="0" w:space="0" w:color="auto"/>
        <w:left w:val="none" w:sz="0" w:space="0" w:color="auto"/>
        <w:bottom w:val="none" w:sz="0" w:space="0" w:color="auto"/>
        <w:right w:val="none" w:sz="0" w:space="0" w:color="auto"/>
      </w:divBdr>
    </w:div>
    <w:div w:id="2132898240">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6632005">
      <w:bodyDiv w:val="1"/>
      <w:marLeft w:val="0"/>
      <w:marRight w:val="0"/>
      <w:marTop w:val="0"/>
      <w:marBottom w:val="0"/>
      <w:divBdr>
        <w:top w:val="none" w:sz="0" w:space="0" w:color="auto"/>
        <w:left w:val="none" w:sz="0" w:space="0" w:color="auto"/>
        <w:bottom w:val="none" w:sz="0" w:space="0" w:color="auto"/>
        <w:right w:val="none" w:sz="0" w:space="0" w:color="auto"/>
      </w:divBdr>
    </w:div>
    <w:div w:id="213740321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69638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5467549">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moniteurdespharmacies.fr/therapeutique/vigilances/antibiotiques-la-consommation-repart-a-la-hauss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ansm.sante.fr/uploads/2026/04/15/20260415-aprepitant-suspension-buvable-20mgml-fiche-utilisation-2.pdf" TargetMode="External"/><Relationship Id="rId63" Type="http://schemas.openxmlformats.org/officeDocument/2006/relationships/hyperlink" Target="https://www.ameli.fr/assure/actualites/vaccin-covid-19-rappel-de-printemps-partir-du-20-avril-0" TargetMode="External"/><Relationship Id="rId84" Type="http://schemas.openxmlformats.org/officeDocument/2006/relationships/hyperlink" Target="https://www.lemoniteurdespharmacies.fr/profession/socio-professionnel/financiarisation-comment-les-investisseurs-avancent-leurs-pions-jusque-dans-les-facultes-de-pharmacie" TargetMode="External"/><Relationship Id="rId138" Type="http://schemas.openxmlformats.org/officeDocument/2006/relationships/hyperlink" Target="https://www.santepubliquefrance.fr/vaccination/carte-postale/calendrier-simplifie-des-vaccinations-2026-carte-postale" TargetMode="External"/><Relationship Id="rId159" Type="http://schemas.openxmlformats.org/officeDocument/2006/relationships/hyperlink" Target="https://ansm.sante.fr/actualites/point-de-situation-sur-les-approvisionnements-des-produits-de-contraste" TargetMode="External"/><Relationship Id="rId170" Type="http://schemas.openxmlformats.org/officeDocument/2006/relationships/hyperlink" Target="https://ansm.sante.fr/disponibilites-des-produits-de-sante/medicaments/specialites-a-base-de-venlafaxine-lp-37-5-mg-et-lp-75-mg-en-gelule-a-liberation-prolongee-venlafaxine" TargetMode="External"/><Relationship Id="rId191" Type="http://schemas.openxmlformats.org/officeDocument/2006/relationships/header" Target="header2.xml"/><Relationship Id="rId107" Type="http://schemas.openxmlformats.org/officeDocument/2006/relationships/hyperlink" Target="https://www.has-sante.fr/jcms/p_3931065/fr/reemergence-du-chikungunya-en-guyane-quelle-strategie-vaccinale"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ceta/id/CETATEXT000053635766" TargetMode="External"/><Relationship Id="rId53" Type="http://schemas.openxmlformats.org/officeDocument/2006/relationships/hyperlink" Target="https://peps.sante.gouv.fr/actu/2026/26_minsante_2026-06_annexe3.pdf" TargetMode="External"/><Relationship Id="rId74" Type="http://schemas.openxmlformats.org/officeDocument/2006/relationships/hyperlink" Target="https://www.lemoniteurdespharmacies.fr/profession/socio-professionnel/mnu-lexperimentation-hospitaliere-qui-pourrait-gagner-lofficine" TargetMode="External"/><Relationship Id="rId128" Type="http://schemas.openxmlformats.org/officeDocument/2006/relationships/hyperlink" Target="https://www.lemoniteurdespharmacies.fr/profession/socio-professionnel/pourquoi-lavenir-de-sante-publique-france-inquiete-desormais-les-parlementaires" TargetMode="External"/><Relationship Id="rId149" Type="http://schemas.openxmlformats.org/officeDocument/2006/relationships/hyperlink" Target="https://theconversation.com/pourquoi-est-il-deconseille-de-boire-de-lalcool-quand-on-prend-des-medicaments-281078" TargetMode="External"/><Relationship Id="rId5" Type="http://schemas.openxmlformats.org/officeDocument/2006/relationships/footnotes" Target="footnotes.xml"/><Relationship Id="rId95" Type="http://schemas.openxmlformats.org/officeDocument/2006/relationships/hyperlink" Target="https://sante.gouv.fr/IMG/pdf/misp_no2026_06_preparation_campagne_de_vaccination_grippe_saisonniere.pdf" TargetMode="External"/><Relationship Id="rId160" Type="http://schemas.openxmlformats.org/officeDocument/2006/relationships/hyperlink" Target="https://peps.sante.gouv.fr/actu/2026/26_sanofi-imaxio_tuberculine_31032026.pdf" TargetMode="External"/><Relationship Id="rId181" Type="http://schemas.openxmlformats.org/officeDocument/2006/relationships/hyperlink" Target="https://ansm.sante.fr/disponibilites-des-produits-de-sante/medicaments/varivax-poudre-et-solvant-pour-suspension-injectable-en-seringue-preremplie-vaccin-varicelleux-vivant-virus-de-la-varicelle-souche-oka-vivant-attenue-mammiferes-humain-cellules-diploides-mrc-5" TargetMode="External"/><Relationship Id="rId22" Type="http://schemas.openxmlformats.org/officeDocument/2006/relationships/hyperlink" Target="https://peps.sante.gouv.fr/themes/subst_ven/subst.html" TargetMode="External"/><Relationship Id="rId43" Type="http://schemas.openxmlformats.org/officeDocument/2006/relationships/hyperlink" Target="https://www.lequotidiendupharmacien.fr/exercice-pro/le-pharmacien-temporairement-autorise-delivrer-des-preparations-magistrales-daprepitant" TargetMode="External"/><Relationship Id="rId64" Type="http://schemas.openxmlformats.org/officeDocument/2006/relationships/hyperlink" Target="https://sante.gouv.fr/actualites-presse/presse/communiques-de-presse/article/protection-contre-le-covid-19-la-campagne-de-renouvellement-vaccinal-pour-les-433276" TargetMode="External"/><Relationship Id="rId118" Type="http://schemas.openxmlformats.org/officeDocument/2006/relationships/hyperlink" Target="https://www.has-sante.fr/jcms/p_3947208/fr/lettre-ouverte-du-college-de-la-has-defendre-l-independance-scientifique-face-aux-pressions" TargetMode="External"/><Relationship Id="rId139" Type="http://schemas.openxmlformats.org/officeDocument/2006/relationships/hyperlink" Target="https://sante.gouv.fr/IMG/pdf/bulletinvaccination_donnees_2025_sous_embargo.pdf" TargetMode="External"/><Relationship Id="rId85" Type="http://schemas.openxmlformats.org/officeDocument/2006/relationships/hyperlink" Target="https://www.lemoniteurdespharmacies.fr/profession/socio-professionnel/financiarisation-de-lofficine-les-syndicats-contre-attaquent-sur-le-terrain-de-la-formation" TargetMode="External"/><Relationship Id="rId150" Type="http://schemas.openxmlformats.org/officeDocument/2006/relationships/hyperlink" Target="https://www.santepubliquefrance.fr/infections-invasives-a-meningocoque/bulletin-regional/infections-invasives-a-meningocoque-bilan-2025" TargetMode="External"/><Relationship Id="rId171" Type="http://schemas.openxmlformats.org/officeDocument/2006/relationships/hyperlink" Target="https://ansm.sante.fr/disponibilites-des-produits-de-sante/medicaments/teralithe-lp-400-mg-comprime-secable-a-liberation-prolongee-lithium-carbonate-de" TargetMode="External"/><Relationship Id="rId192" Type="http://schemas.openxmlformats.org/officeDocument/2006/relationships/footer" Target="footer1.xm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53876558" TargetMode="External"/><Relationship Id="rId108" Type="http://schemas.openxmlformats.org/officeDocument/2006/relationships/hyperlink" Target="https://www.academie-medecine.fr/pour-une-revision-reflechie-et-soutenable-des-modalites-dentree-dans-les-etudes-de-medecine/" TargetMode="External"/><Relationship Id="rId129" Type="http://schemas.openxmlformats.org/officeDocument/2006/relationships/hyperlink" Target="https://www.lemoniteurdespharmacies.fr/profession/interpro/numerique-en-sante-les-editeurs-de-lgo-doivent-permettre-linteroperabilite" TargetMode="External"/><Relationship Id="rId54" Type="http://schemas.openxmlformats.org/officeDocument/2006/relationships/hyperlink" Target="https://peps.sante.gouv.fr/actu/2026/26_minsante_2026-06_annexe4.pdf" TargetMode="External"/><Relationship Id="rId75" Type="http://schemas.openxmlformats.org/officeDocument/2006/relationships/hyperlink" Target="https://www.fspf.fr/finasteride-1-mg-attestation-obligatoire-pour-toute-dispensation/" TargetMode="External"/><Relationship Id="rId96" Type="http://schemas.openxmlformats.org/officeDocument/2006/relationships/hyperlink" Target="https://www.lemoniteurdespharmacies.fr/profession/socio-professionnel/carine-wolf-thal-supprimer-lechelon-regional-de-lordre-serait-un-contresens-pour-la-sante-publique" TargetMode="External"/><Relationship Id="rId140" Type="http://schemas.openxmlformats.org/officeDocument/2006/relationships/hyperlink" Target="https://www.lemoniteurdespharmacies.fr/nouvelles-missions/vaccination/nouveautes-du-calendrier-vaccinal-2026-la-rougeole-en-premiere-ligne" TargetMode="External"/><Relationship Id="rId161" Type="http://schemas.openxmlformats.org/officeDocument/2006/relationships/hyperlink" Target="https://ansm.sante.fr/actualites/tensions-en-wilfactin-privilegiez-le-recours-aux-alternatives-therapeutiques" TargetMode="External"/><Relationship Id="rId182" Type="http://schemas.openxmlformats.org/officeDocument/2006/relationships/hyperlink" Target="https://ansm.sante.fr/disponibilites-des-produits-de-sante/medicaments/combantrin-125-mg-comprime-pyrantel-embonate-de-1" TargetMode="Externa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sante.gouv.fr/actualites-presse/presse/dossiers-de-presse/article/la-reforme-de-la-premiere-annee-vers-une-simplification-de-l-acces-aux-etudes" TargetMode="External"/><Relationship Id="rId44" Type="http://schemas.openxmlformats.org/officeDocument/2006/relationships/hyperlink" Target="https://www.legifrance.gouv.fr/jorf/id/JORFTEXT000053907152" TargetMode="External"/><Relationship Id="rId65" Type="http://schemas.openxmlformats.org/officeDocument/2006/relationships/hyperlink" Target="https://www.lequotidiendupharmacien.fr/exercice-pro/vaccination-covid-pourquoi-les-commandes-de-seringues-et-daiguilles-posent-probleme" TargetMode="External"/><Relationship Id="rId86" Type="http://schemas.openxmlformats.org/officeDocument/2006/relationships/hyperlink" Target="https://www.lequotidiendupharmacien.fr/exercice-pro/la-certification-periodique-en-13-points-pratiques" TargetMode="External"/><Relationship Id="rId130" Type="http://schemas.openxmlformats.org/officeDocument/2006/relationships/hyperlink" Target="https://www.lemoniteurdespharmacies.fr/profession/socio-professionnel/le-pharmacien-ne-peut-aliener-son-independance-le-code-de-deontologie-2026-fixe-les-lignes-rouges" TargetMode="External"/><Relationship Id="rId151" Type="http://schemas.openxmlformats.org/officeDocument/2006/relationships/hyperlink" Target="https://www.lemoniteurdespharmacies.fr/legislation/dispensation/vendre-et-acheter-des-medicaments-nimporte-ou-ces-risques-auxquels-on-ne-pense-pas" TargetMode="External"/><Relationship Id="rId172" Type="http://schemas.openxmlformats.org/officeDocument/2006/relationships/hyperlink" Target="https://ansm.sante.fr/disponibilites-des-produits-de-sante/medicaments/varivax-poudre-et-solvant-pour-suspension-injectable-en-seringue-preremplie-vaccin-varicelleux-vivant-virus-de-la-varicelle-souche-oka-vivant-attenue-mammiferes-humain-cellules-diploides-mrc-5" TargetMode="External"/><Relationship Id="rId193" Type="http://schemas.openxmlformats.org/officeDocument/2006/relationships/footer" Target="footer2.xml"/><Relationship Id="rId13" Type="http://schemas.openxmlformats.org/officeDocument/2006/relationships/hyperlink" Target="https://peps.sante.gouv.fr/themes/subst_ven/subst.html" TargetMode="External"/><Relationship Id="rId109" Type="http://schemas.openxmlformats.org/officeDocument/2006/relationships/hyperlink" Target="https://www.has-sante.fr/jcms/p_3946562/fr/quel-est-le-niveau-de-qualite-des-accompagnements-des-essms-en-france" TargetMode="External"/><Relationship Id="rId34" Type="http://schemas.openxmlformats.org/officeDocument/2006/relationships/hyperlink" Target="https://www.legifrance.gouv.fr/jorf/id/JORFTEXT000053876573" TargetMode="External"/><Relationship Id="rId55" Type="http://schemas.openxmlformats.org/officeDocument/2006/relationships/hyperlink" Target="https://peps.sante.gouv.fr/actu/2026/26_minsante_2026-06_complement_22042026.pdf" TargetMode="External"/><Relationship Id="rId76" Type="http://schemas.openxmlformats.org/officeDocument/2006/relationships/hyperlink" Target="https://ansm.sante.fr/tableau-marr/sel-de-fer-injectable" TargetMode="External"/><Relationship Id="rId97" Type="http://schemas.openxmlformats.org/officeDocument/2006/relationships/hyperlink" Target="https://www.lequotidiendupharmacien.fr/formation/specialites-medicales/neurologie/valproate-chez-le-pere-que-penser-des-recentes-etudes-contradictoires" TargetMode="External"/><Relationship Id="rId120" Type="http://schemas.openxmlformats.org/officeDocument/2006/relationships/hyperlink" Target="https://sante.gouv.fr/IMG/pdf/sante_2026_04_210x297_05.pdf" TargetMode="External"/><Relationship Id="rId141" Type="http://schemas.openxmlformats.org/officeDocument/2006/relationships/hyperlink" Target="https://www.ordre.pharmacien.fr/les-communications/focus-sur/les-actualites/calendrier-vaccinal-2026-et-semaine-europeenne-de-sensibilisation" TargetMode="External"/><Relationship Id="rId7" Type="http://schemas.openxmlformats.org/officeDocument/2006/relationships/image" Target="media/image1.jpeg"/><Relationship Id="rId71" Type="http://schemas.openxmlformats.org/officeDocument/2006/relationships/hyperlink" Target="http://peps.intranet.sante.gouv.fr/actu/actualites.html" TargetMode="External"/><Relationship Id="rId92" Type="http://schemas.openxmlformats.org/officeDocument/2006/relationships/hyperlink" Target="https://www.lequotidiendupharmacien.fr/exercice-pro/politique-de-sante/lavenant-ndeg-2-est-signe-que-faut-il-en-retenir" TargetMode="External"/><Relationship Id="rId162" Type="http://schemas.openxmlformats.org/officeDocument/2006/relationships/hyperlink" Target="https://ansm.sante.fr/actualites/febuxostat-80-mg-adenuric-et-generiques-recommandations-pour-lajustement-des-traitements" TargetMode="External"/><Relationship Id="rId183" Type="http://schemas.openxmlformats.org/officeDocument/2006/relationships/hyperlink" Target="https://ansm.sante.fr/disponibilites-des-produits-de-sante/medicaments/norfloxacine-eg-400-mg-comprime-pellicule-norfloxacine" TargetMode="External"/><Relationship Id="rId2" Type="http://schemas.openxmlformats.org/officeDocument/2006/relationships/styles" Target="styles.xml"/><Relationship Id="rId29" Type="http://schemas.openxmlformats.org/officeDocument/2006/relationships/hyperlink" Target="https://www.legifrance.gouv.fr/jorf/id/JORFTEXT000053749152" TargetMode="External"/><Relationship Id="rId24" Type="http://schemas.openxmlformats.org/officeDocument/2006/relationships/hyperlink" Target="https://peps.sante.gouv.fr/themes/subst_ven/subst.html" TargetMode="External"/><Relationship Id="rId40" Type="http://schemas.openxmlformats.org/officeDocument/2006/relationships/hyperlink" Target="https://ansm.sante.fr/uploads/2026/04/15/20260415-monographie-apre-pitant-formule-orablend-80-mg.pdf" TargetMode="External"/><Relationship Id="rId45" Type="http://schemas.openxmlformats.org/officeDocument/2006/relationships/hyperlink" Target="https://www.legifrance.gouv.fr/jorf/id/JORFTEXT000053910150" TargetMode="External"/><Relationship Id="rId66" Type="http://schemas.openxmlformats.org/officeDocument/2006/relationships/hyperlink" Target="https://www.lemoniteurdespharmacies.fr/nouvelles-missions/vaccination/vaccination-covid-cout-des-seringues-remuneration-insuffisante-la-campagne-vacille" TargetMode="External"/><Relationship Id="rId87" Type="http://schemas.openxmlformats.org/officeDocument/2006/relationships/hyperlink" Target="https://ansm.sante.fr/tableau-acces-derogatoire/ricimed" TargetMode="External"/><Relationship Id="rId110" Type="http://schemas.openxmlformats.org/officeDocument/2006/relationships/hyperlink" Target="https://ansm.sante.fr/actualites/mektovi-binimetinib-ne-confondez-pas-les-dosages-15-mg-et-45-mg" TargetMode="External"/><Relationship Id="rId115" Type="http://schemas.openxmlformats.org/officeDocument/2006/relationships/hyperlink" Target="https://www.ordre.pharmacien.fr/les-communications/focus-sur/les-actualites/soumission-chimique-mise-en-oeuvre-de-l-experimentation-supports-d-accompagnement" TargetMode="External"/><Relationship Id="rId131" Type="http://schemas.openxmlformats.org/officeDocument/2006/relationships/hyperlink" Target="https://peps.sante.gouv.fr/actu/2026/26_cofrac_newsletter-31_avril2026.pdf" TargetMode="External"/><Relationship Id="rId136" Type="http://schemas.openxmlformats.org/officeDocument/2006/relationships/hyperlink" Target="https://sante.gouv.fr/actualites-presse/presse/communiques-de-presse/article/semaine-europeenne-de-la-vaccination-2026" TargetMode="External"/><Relationship Id="rId157" Type="http://schemas.openxmlformats.org/officeDocument/2006/relationships/hyperlink" Target="https://ansm.sante.fr/disponibilites-des-produits-de-sante/medicaments" TargetMode="External"/><Relationship Id="rId178" Type="http://schemas.openxmlformats.org/officeDocument/2006/relationships/hyperlink" Target="https://ansm.sante.fr/disponibilites-des-produits-de-sante/medicaments/zypadhera-405-mg-poudre-et-solvant-pour-suspension-injectable-a-liberation-prolongee-olanzapine-pamoate-d-monohydrate" TargetMode="External"/><Relationship Id="rId61" Type="http://schemas.openxmlformats.org/officeDocument/2006/relationships/hyperlink" Target="https://sante.gouv.fr/IMG/pdf/misp_no2025_05_campagne_covid.pdf" TargetMode="External"/><Relationship Id="rId82" Type="http://schemas.openxmlformats.org/officeDocument/2006/relationships/hyperlink" Target="https://www.hcsp.fr/Explore.cgi/avisrapportsdomaine?clefr=1500" TargetMode="External"/><Relationship Id="rId152" Type="http://schemas.openxmlformats.org/officeDocument/2006/relationships/hyperlink" Target="https://theconversation.com/diagnostic-preimplantatoire-et-anomalies-chromosomiques-les-enjeux-scientifiques-et-ethiques-du-dpi-a-273039" TargetMode="External"/><Relationship Id="rId173" Type="http://schemas.openxmlformats.org/officeDocument/2006/relationships/hyperlink" Target="https://ansm.sante.fr/disponibilites-des-produits-de-sante/medicaments/risperidone-0-5-mg-comprime-orodispersible-risperidone" TargetMode="External"/><Relationship Id="rId194" Type="http://schemas.openxmlformats.org/officeDocument/2006/relationships/header" Target="header3.xml"/><Relationship Id="rId199" Type="http://schemas.openxmlformats.org/officeDocument/2006/relationships/customXml" Target="../customXml/item2.xm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bulletins-officiels.social.gouv.fr/note-dinformation-ndeg-dgosri2202637-du-7-avril-2026-relative-la-diffusion-du-guide-destination-des-services-des-agences-regionales-de-sante-ars-concernes-par-la-gestion-des-comites-de-protection-des-personnes-cpp" TargetMode="External"/><Relationship Id="rId35" Type="http://schemas.openxmlformats.org/officeDocument/2006/relationships/hyperlink" Target="https://www.legifrance.gouv.fr/jorf/id/JORFTEXT000053876584" TargetMode="External"/><Relationship Id="rId56" Type="http://schemas.openxmlformats.org/officeDocument/2006/relationships/hyperlink" Target="https://ansm.sante.fr/actualites/decision-du-20-04-2026-portant-modification-au-registre-des-groupes-hybrides-mentionne-a-larticle-l-5121-10-du-code-de-la-sante-publique" TargetMode="External"/><Relationship Id="rId77" Type="http://schemas.openxmlformats.org/officeDocument/2006/relationships/hyperlink" Target="https://www.pasteur.fr/fr/espace-presse/documents-presse/pesticides-cancer-etude-revele-mecanismes-risque-environnemental-sanitaire" TargetMode="External"/><Relationship Id="rId100" Type="http://schemas.openxmlformats.org/officeDocument/2006/relationships/hyperlink" Target="https://www.lemoniteurdespharmacies.fr/profession/socio-professionnel/fusion-has-ansm-ce-que-cela-pourrait-changer-pour-lacces-aux-medicaments" TargetMode="External"/><Relationship Id="rId105" Type="http://schemas.openxmlformats.org/officeDocument/2006/relationships/hyperlink" Target="https://www.lemoniteurdespharmacies.fr/profession/grille-des-salaires/remuneration-des-etudiants-3-500-euros-de-reste-a-charge-pour-les-officines" TargetMode="External"/><Relationship Id="rId126" Type="http://schemas.openxmlformats.org/officeDocument/2006/relationships/hyperlink" Target="https://info.agriculture.gouv.fr/boagri/instruction-2026-46/telechargement" TargetMode="External"/><Relationship Id="rId147" Type="http://schemas.openxmlformats.org/officeDocument/2006/relationships/hyperlink" Target="https://www.lemoniteurdespharmacies.fr/conseils/sante-naturelle/complements-alimentaires-un-succes-qui-inquiete-les-allergologues" TargetMode="External"/><Relationship Id="rId168" Type="http://schemas.openxmlformats.org/officeDocument/2006/relationships/hyperlink" Target="https://ansm.sante.fr/disponibilites-des-produits-de-sante/medicaments/clomipramine-viatris-25-mg-comprime-pellicule-clomipramine-chlorhydrate-de" TargetMode="External"/><Relationship Id="rId8" Type="http://schemas.openxmlformats.org/officeDocument/2006/relationships/image" Target="media/image2.png"/><Relationship Id="rId51" Type="http://schemas.openxmlformats.org/officeDocument/2006/relationships/hyperlink" Target="https://peps.sante.gouv.fr/actu/2026/26_minsante_2026-06_annexe1.pdf" TargetMode="External"/><Relationship Id="rId72" Type="http://schemas.openxmlformats.org/officeDocument/2006/relationships/hyperlink" Target="https://peps.sante.gouv.fr/actu/actualites.html" TargetMode="External"/><Relationship Id="rId93" Type="http://schemas.openxmlformats.org/officeDocument/2006/relationships/hyperlink" Target="https://www.lequotidiendupharmacien.fr/exercice-pro/des-mesures-pour-prevenir-les-risques-lies-aux-complements-alimentaires" TargetMode="External"/><Relationship Id="rId98" Type="http://schemas.openxmlformats.org/officeDocument/2006/relationships/hyperlink" Target="https://www.lequotidiendupharmacien.fr/exercice-pro/antiparkinsoniens-les-troubles-du-controle-des-impulsions-des-effets-secondaires-sous-estimes" TargetMode="External"/><Relationship Id="rId121" Type="http://schemas.openxmlformats.org/officeDocument/2006/relationships/hyperlink" Target="https://www.lemoniteurdespharmacies.fr/profession/socio-professionnel/etudes-de-sante-ci-git-pass-las-que-vive-la-licence-orientee-sante" TargetMode="External"/><Relationship Id="rId142" Type="http://schemas.openxmlformats.org/officeDocument/2006/relationships/hyperlink" Target="https://www.lemoniteurdespharmacies.fr/profession/socio-professionnel/une-vie-sauvee-toutes-les-huit-secondes-linstitut-pasteur-contre-attaque-face-a-la-defiance-vaccinale" TargetMode="External"/><Relationship Id="rId163" Type="http://schemas.openxmlformats.org/officeDocument/2006/relationships/hyperlink" Target="https://ansm.sante.fr/actualites/tensions-dapprovisionnement-en-etopophos-100-mg-phosphate-detoposide-contingentement-qualitatif-strict-a-partir-du-23-avril-2026" TargetMode="External"/><Relationship Id="rId184" Type="http://schemas.openxmlformats.org/officeDocument/2006/relationships/hyperlink" Target="https://ansm.sante.fr/disponibilites-des-produits-de-sante/medicaments/varivax-poudre-et-solvant-pour-suspension-injectable-en-seringue-preremplie-vaccin-varicelleux-vivant-virus-de-la-varicelle-souche-oka-vivant-attenue-mammiferes-humain-cellules-diploides-mrc-5" TargetMode="External"/><Relationship Id="rId189" Type="http://schemas.openxmlformats.org/officeDocument/2006/relationships/hyperlink" Target="https://ansm.sante.fr/disponibilites-des-produits-de-sante/medicaments/digidot-80mg-poudre-pour-solution-pour-perfusion-digifab-importation-fragment-fab-dimmunoglobuline-antidigitalique-ovin" TargetMode="External"/><Relationship Id="rId3" Type="http://schemas.openxmlformats.org/officeDocument/2006/relationships/settings" Target="settings.xml"/><Relationship Id="rId25" Type="http://schemas.openxmlformats.org/officeDocument/2006/relationships/hyperlink" Target="https://peps.sante.gouv.fr/themes/subst_ven/subst.html" TargetMode="External"/><Relationship Id="rId46" Type="http://schemas.openxmlformats.org/officeDocument/2006/relationships/hyperlink" Target="https://www.legifrance.gouv.fr/jorf/id/JORFTEXT000053916182" TargetMode="External"/><Relationship Id="rId67" Type="http://schemas.openxmlformats.org/officeDocument/2006/relationships/hyperlink" Target="https://www.lemoniteurdespharmacies.fr/therapeutique/medicaments/recherche-et-innovation/moderna-decroche-lamm-europeenne-pour-mcombriax-premier-vaccin-combine-grippe-covid-19" TargetMode="External"/><Relationship Id="rId116" Type="http://schemas.openxmlformats.org/officeDocument/2006/relationships/hyperlink" Target="https://www.has-sante.fr/jcms/p_3293652/fr/l-analyse-des-evenements-indesirables-associes-aux-soins-eias-mode-d-emploi" TargetMode="External"/><Relationship Id="rId137" Type="http://schemas.openxmlformats.org/officeDocument/2006/relationships/hyperlink" Target="https://sante.gouv.fr/prevention-en-sante/preserver-sa-sante/vaccination/calendrier-vaccinal" TargetMode="External"/><Relationship Id="rId158" Type="http://schemas.openxmlformats.org/officeDocument/2006/relationships/hyperlink" Target="https://ansm.sante.fr/actualites/plan-hivernal-2025-2026-une-annee-marquee-par-labsence-de-tensions-sur-les-produits-de-sante-suivis"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ansm.sante.fr/uploads/2026/04/15/20260415-aprepitant-note-information-80-mg.pdf" TargetMode="External"/><Relationship Id="rId62" Type="http://schemas.openxmlformats.org/officeDocument/2006/relationships/hyperlink" Target="https://www.dailymotion.com/video/xa3dlea" TargetMode="External"/><Relationship Id="rId83" Type="http://schemas.openxmlformats.org/officeDocument/2006/relationships/hyperlink" Target="https://www.lemoniteurdespharmacies.fr/nouvelles-missions/vaccination/les-infections-invasives-a-haemophilus-influenzae-progressent-encore" TargetMode="External"/><Relationship Id="rId88" Type="http://schemas.openxmlformats.org/officeDocument/2006/relationships/hyperlink" Target="https://www.lemonde.fr/societe/article/2026/04/07/cadmium-des-depistages-seront-bientot-rembourses-en-laboratoire-de-ville_6677930_3224.html" TargetMode="External"/><Relationship Id="rId111" Type="http://schemas.openxmlformats.org/officeDocument/2006/relationships/hyperlink" Target="https://ansm.sante.fr/actualites/finasteride-1-mg-une-attestation-dinformation-partagee-bientot-necessaire-pour-toute-dispensation" TargetMode="External"/><Relationship Id="rId132" Type="http://schemas.openxmlformats.org/officeDocument/2006/relationships/hyperlink" Target="https://www.ordre.pharmacien.fr/les-communications/focus-sur/les-actualites/sante-connectee-materiel-paramedical-soins-la-dgccrf-agit-aussi-dans-le-secteur-medical-et-medico-social" TargetMode="External"/><Relationship Id="rId153" Type="http://schemas.openxmlformats.org/officeDocument/2006/relationships/hyperlink" Target="https://www.ordre.pharmacien.fr/je-suis/pharmacien/pharmacien/mon-exercice-professionnel/les-fiches-professionnelles/l-activite-de-vente-en-ligne-de-medicaments-veterinaires" TargetMode="External"/><Relationship Id="rId174" Type="http://schemas.openxmlformats.org/officeDocument/2006/relationships/hyperlink" Target="https://ansm.sante.fr/disponibilites-des-produits-de-sante/medicaments/methylphenidate-eg-lp-18-mg-et-36-mg-comprime-a-liberation-prolongee-methylphenidate-chlorhydrate-de" TargetMode="External"/><Relationship Id="rId179" Type="http://schemas.openxmlformats.org/officeDocument/2006/relationships/hyperlink" Target="https://ansm.sante.fr/disponibilites-des-produits-de-sante/medicaments/teralithe-250-mg-comprime-secable-lithium-carbonate-de" TargetMode="External"/><Relationship Id="rId195" Type="http://schemas.openxmlformats.org/officeDocument/2006/relationships/footer" Target="footer3.xml"/><Relationship Id="rId190" Type="http://schemas.openxmlformats.org/officeDocument/2006/relationships/header" Target="header1.xm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53876614" TargetMode="External"/><Relationship Id="rId57" Type="http://schemas.openxmlformats.org/officeDocument/2006/relationships/hyperlink" Target="https://ansm.sante.fr/actualites/decision-du-22-04-2026-portant-modification-de-la-liste-de-reference-des-groupes-biologiques-similaires-mentionnee-a-larticle-r-5121-9-1-du-code-de-la-sante-publique" TargetMode="External"/><Relationship Id="rId106" Type="http://schemas.openxmlformats.org/officeDocument/2006/relationships/hyperlink" Target="https://www.lemonde.fr/societe/article/2026/04/14/pma-avec-pres-de-dix-huit-mois-d-attente-en-moyenne-en-2025-les-delais-restent-longs-malgre-la-hausse-des-dons_6679797_3224.html" TargetMode="External"/><Relationship Id="rId127" Type="http://schemas.openxmlformats.org/officeDocument/2006/relationships/hyperlink" Target="https://presse.inserm.fr/canal-detox/le-traitement-hormonal-de-la-menopause-augmente-le-risque-de-cancer-du-sein-vraiment/" TargetMode="External"/><Relationship Id="rId10" Type="http://schemas.openxmlformats.org/officeDocument/2006/relationships/hyperlink" Target="http://peps.intranet.sante.gouv.fr/themes/subst_ven/subst.html" TargetMode="External"/><Relationship Id="rId31" Type="http://schemas.openxmlformats.org/officeDocument/2006/relationships/hyperlink" Target="https://www.legifrance.gouv.fr/jorf/id/JORFTEXT000053773136" TargetMode="External"/><Relationship Id="rId52" Type="http://schemas.openxmlformats.org/officeDocument/2006/relationships/hyperlink" Target="https://peps.sante.gouv.fr/actu/2026/26_minsante_2026-06_annexe2.pdf" TargetMode="External"/><Relationship Id="rId73" Type="http://schemas.openxmlformats.org/officeDocument/2006/relationships/hyperlink" Target="https://www.lemoniteurdespharmacies.fr/business/transactions/acquisition/maillage-pharmaceutique-bientot-12-antennes-pour-sauver-le-reseau" TargetMode="External"/><Relationship Id="rId78" Type="http://schemas.openxmlformats.org/officeDocument/2006/relationships/hyperlink" Target="https://esante.gouv.fr/actualites/teleconsultation-liste-solutions-certifiees-en-cours-evaluation" TargetMode="External"/><Relationship Id="rId94" Type="http://schemas.openxmlformats.org/officeDocument/2006/relationships/hyperlink" Target="https://www.ordre.pharmacien.fr/les-communications/focus-sur/les-actualites/bilan-synthetique-des-actions-menees-en-sante-humaine-en-2025-dans-le-cadre-de-la-strategie-nationale-de-prevention-des-infections-et-de-l-antibior" TargetMode="External"/><Relationship Id="rId99" Type="http://schemas.openxmlformats.org/officeDocument/2006/relationships/hyperlink" Target="https://www.lemoniteurdespharmacies.fr/profession/socio-professionnel/ordre-des-pharmaciens-apres-le-rapport-de-ligf-les-syndicats-exigent-des-cotisations-en-baisse-et-defendent-lechelon-regional" TargetMode="External"/><Relationship Id="rId101" Type="http://schemas.openxmlformats.org/officeDocument/2006/relationships/hyperlink" Target="https://www.lemoniteurdespharmacies.fr/profession/socio-professionnel/dispositifs-medicaux-la-substitution-freinee-plusieurs-milliards-deuros-en-suspens" TargetMode="External"/><Relationship Id="rId122" Type="http://schemas.openxmlformats.org/officeDocument/2006/relationships/hyperlink" Target="https://www.ordre.pharmacien.fr/les-communications/focus-sur/les-actualites/la-reforme-de-la-premiere-annee-vers-une-simplification-de-l-acces-aux-etudes-de-sante" TargetMode="External"/><Relationship Id="rId143" Type="http://schemas.openxmlformats.org/officeDocument/2006/relationships/hyperlink" Target="https://www.inserm.fr/expertise-collective/dopage-et-pratiques-dopantes-en-milieu-sportif/" TargetMode="External"/><Relationship Id="rId148" Type="http://schemas.openxmlformats.org/officeDocument/2006/relationships/hyperlink" Target="https://www.ccomptes.fr/fr/publications/la-politique-damelioration-de-la-qualite-des-soins-dans-les-etablissements-de-sante" TargetMode="External"/><Relationship Id="rId164" Type="http://schemas.openxmlformats.org/officeDocument/2006/relationships/hyperlink" Target="https://ansm.sante.fr/disponibilites-des-produits-de-sante/medicaments/etopophos-100-mg-lyophilisat-pour-usage-parenteral-etoposide" TargetMode="External"/><Relationship Id="rId169" Type="http://schemas.openxmlformats.org/officeDocument/2006/relationships/hyperlink" Target="https://ansm.sante.fr/disponibilites-des-produits-de-sante/medicaments/risperidone-4-mg-comprime-orodispersible-risperidone" TargetMode="External"/><Relationship Id="rId185" Type="http://schemas.openxmlformats.org/officeDocument/2006/relationships/hyperlink" Target="https://ansm.sante.fr/disponibilites-des-produits-de-sante/medicaments/varilrix-poudre-et-solvant-pour-solution-injectable-en-seringue-preremplie-vaccin-varicelleux-vivant-virus-de-la-varicelle-souche-oka-vivant-attenue-mammiferes-humain-cellules-diploides-mrc-5"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risperidone-3-mg-comprime-orodispersible-risperidone" TargetMode="External"/><Relationship Id="rId26" Type="http://schemas.openxmlformats.org/officeDocument/2006/relationships/hyperlink" Target="https://peps.sante.gouv.fr/outils/guide_proced/guide.html" TargetMode="External"/><Relationship Id="rId47" Type="http://schemas.openxmlformats.org/officeDocument/2006/relationships/hyperlink" Target="https://www.legifrance.gouv.fr/jorf/id/JORFTEXT000053916215" TargetMode="External"/><Relationship Id="rId68" Type="http://schemas.openxmlformats.org/officeDocument/2006/relationships/hyperlink" Target="https://www.lemoniteurdespharmacies.fr/profession/socio-professionnel/vaccination-anti-covid-19-lurps-bourgogne-franche-comte-vole-au-secours-des-pharmacies-privees-de-seringues" TargetMode="External"/><Relationship Id="rId89" Type="http://schemas.openxmlformats.org/officeDocument/2006/relationships/hyperlink" Target="https://www.lemoniteurdespharmacies.fr/profession/socio-professionnel/indus-le-bras-de-fer-est-engage" TargetMode="External"/><Relationship Id="rId112" Type="http://schemas.openxmlformats.org/officeDocument/2006/relationships/hyperlink" Target="https://ansm.sante.fr/actualites/rupture-dapprovisionnement-demend-125-mg-aprepitant-buvable-quelles-solutions-pour-les-patients" TargetMode="External"/><Relationship Id="rId133" Type="http://schemas.openxmlformats.org/officeDocument/2006/relationships/hyperlink" Target="https://www.lemoniteurdespharmacies.fr/legislation/justice/vente-en-ligne-de-medicaments-du-nouveau-le-30-avril" TargetMode="External"/><Relationship Id="rId154" Type="http://schemas.openxmlformats.org/officeDocument/2006/relationships/hyperlink" Target="https://www.lemoniteurdespharmacies.fr/legislation/justice/cadeaux-de-lindustrie-pharmaceutique-es-pharmaciens-bretons-sanctionnes-par-lordre" TargetMode="External"/><Relationship Id="rId175" Type="http://schemas.openxmlformats.org/officeDocument/2006/relationships/hyperlink" Target="https://ansm.sante.fr/disponibilites-des-produits-de-sante/medicaments/tegretol-20-mg-ml-suspension-buvable-carbamazepine" TargetMode="External"/><Relationship Id="rId196" Type="http://schemas.openxmlformats.org/officeDocument/2006/relationships/fontTable" Target="fontTable.xml"/><Relationship Id="rId200" Type="http://schemas.openxmlformats.org/officeDocument/2006/relationships/customXml" Target="../customXml/item3.xm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3907247" TargetMode="External"/><Relationship Id="rId58" Type="http://schemas.openxmlformats.org/officeDocument/2006/relationships/hyperlink" Target="https://ansm.sante.fr/actualites/decision-ndeg-2026-30-du-27-03-2026-prorogation-de-la-duree-du-comite-scientifique-temporaire-suivi-de-lexperimentation-francaise-de-lusage-medical-du-cannabis-a-lansm" TargetMode="External"/><Relationship Id="rId79" Type="http://schemas.openxmlformats.org/officeDocument/2006/relationships/hyperlink" Target="https://www.lemoniteurdespharmacies.fr/profession/socio-professionnel/indus-une-asymetrie-persistante-entre-pharmaciens-et-prescripteurs" TargetMode="External"/><Relationship Id="rId102" Type="http://schemas.openxmlformats.org/officeDocument/2006/relationships/hyperlink" Target="https://www.lequotidiendupharmacien.fr/exercice-pro/politique-de-sante/substitution-des-dispositifs-medicaux-un-syndicat-interpelle-les-autorites-de-sante" TargetMode="External"/><Relationship Id="rId123" Type="http://schemas.openxmlformats.org/officeDocument/2006/relationships/hyperlink" Target="https://www.epi-phare.fr/rapports-detudes-et-publications/mesusage-fluoroquinolones-therapies/" TargetMode="External"/><Relationship Id="rId144" Type="http://schemas.openxmlformats.org/officeDocument/2006/relationships/hyperlink" Target="https://www.lequotidiendupharmacien.fr/medicament-parapharmacie/dietetique-et-nutrition/linserm-appelle-mieux-controler-la-composition-des-complements-alimentaires" TargetMode="External"/><Relationship Id="rId90" Type="http://schemas.openxmlformats.org/officeDocument/2006/relationships/hyperlink" Target="https://www.assurance-maladie.ameli.fr/presse/2026-04-08-cp-depenses-fin-fevrier-2026" TargetMode="External"/><Relationship Id="rId165" Type="http://schemas.openxmlformats.org/officeDocument/2006/relationships/hyperlink" Target="https://ansm.sante.fr/disponibilites-des-produits-de-sante/medicaments/alepsal-comprime-cafeine-phenobarbital" TargetMode="External"/><Relationship Id="rId186" Type="http://schemas.openxmlformats.org/officeDocument/2006/relationships/hyperlink" Target="https://ansm.sante.fr/disponibilites-des-produits-de-sante/medicaments/methylphenidate-viatris-lp-comprime-a-liberation-prolongee-methylphenidate-chlorhydrate-de" TargetMode="External"/><Relationship Id="rId27" Type="http://schemas.openxmlformats.org/officeDocument/2006/relationships/hyperlink" Target="https://peps.sante.gouv.fr/textes_projets/projets.html" TargetMode="External"/><Relationship Id="rId48" Type="http://schemas.openxmlformats.org/officeDocument/2006/relationships/hyperlink" Target="https://www.lemoniteurdespharmacies.fr/profession/socio-professionnel/dispositifs-medicaux-ce-que-les-deux-nouveaux-decrets-changent-concretement-pour-lofficine" TargetMode="External"/><Relationship Id="rId69" Type="http://schemas.openxmlformats.org/officeDocument/2006/relationships/hyperlink" Target="http://peps.intranet.sante.gouv.fr/actu/actualites.html" TargetMode="External"/><Relationship Id="rId113" Type="http://schemas.openxmlformats.org/officeDocument/2006/relationships/hyperlink" Target="https://www.santepubliquefrance.fr/maladies-et-traumatismes/maladies-a-prevention-vaccinale/rougeole/documents/bulletin-national/rougeole-en-france-du-1er-janvier-au-31-mars-2026" TargetMode="External"/><Relationship Id="rId134" Type="http://schemas.openxmlformats.org/officeDocument/2006/relationships/hyperlink" Target="https://www.lemoniteurdespharmacies.fr/profession/interpro/financiarisation-la-pieuvre-qui-etend-ses-tentacules-sur-tout-le-systeme-de-sante" TargetMode="External"/><Relationship Id="rId80" Type="http://schemas.openxmlformats.org/officeDocument/2006/relationships/hyperlink" Target="https://www.lemoniteurdespharmacies.fr/therapeutique/vigilances/cannabis-medical-apres-plusieurs-reports-un-calendrier-qui-se-precise" TargetMode="External"/><Relationship Id="rId155" Type="http://schemas.openxmlformats.org/officeDocument/2006/relationships/hyperlink" Target="https://ansm.sante.fr/actualites/dispositif-medical-fembloc-de-sterilisation-definitive-suspension-de-sa-mise-sur-le-marche-et-de-son-utilisation-en-france-excepte-dans-le-cadre-dun-essai-clinique" TargetMode="External"/><Relationship Id="rId176" Type="http://schemas.openxmlformats.org/officeDocument/2006/relationships/hyperlink" Target="https://ansm.sante.fr/disponibilites-des-produits-de-sante/medicaments/zypadhera-210-mg-poudre-et-solvant-pour-suspension-injectable-a-liberation-prolongee-olanzapine-pamoate-d-monohydrate" TargetMode="External"/><Relationship Id="rId197" Type="http://schemas.openxmlformats.org/officeDocument/2006/relationships/theme" Target="theme/theme1.xml"/><Relationship Id="rId17" Type="http://schemas.openxmlformats.org/officeDocument/2006/relationships/hyperlink" Target="https://peps.sante.gouv.fr/themes/subst_ven/subst.html" TargetMode="External"/><Relationship Id="rId38" Type="http://schemas.openxmlformats.org/officeDocument/2006/relationships/hyperlink" Target="https://ansm.sante.fr/actualites/rupture-dapprovisionnement-demend-125-mg-aprepitant-buvable-quelles-solutions-pour-les-patients" TargetMode="External"/><Relationship Id="rId59" Type="http://schemas.openxmlformats.org/officeDocument/2006/relationships/hyperlink" Target="http://peps.intranet.sante.gouv.fr/actu/actualites.html" TargetMode="External"/><Relationship Id="rId103" Type="http://schemas.openxmlformats.org/officeDocument/2006/relationships/hyperlink" Target="https://rese.intranet.sante.gouv.fr/santenv/patho/iim/arsbreta.htm" TargetMode="External"/><Relationship Id="rId124" Type="http://schemas.openxmlformats.org/officeDocument/2006/relationships/hyperlink" Target="https://www.lemoniteurdespharmacies.fr/conseils/premiers-soins/gestes-et-soins-durgence-est-il-oui-on-non-obligatoire-former-ses-equipes" TargetMode="External"/><Relationship Id="rId70" Type="http://schemas.openxmlformats.org/officeDocument/2006/relationships/hyperlink" Target="https://peps.sante.gouv.fr/actu/mpx/actus_mpx.html" TargetMode="External"/><Relationship Id="rId91" Type="http://schemas.openxmlformats.org/officeDocument/2006/relationships/hyperlink" Target="https://www.assurance-maladie.ameli.fr/presse/2026-04-08-cp-avenant-pharmaciens" TargetMode="External"/><Relationship Id="rId145" Type="http://schemas.openxmlformats.org/officeDocument/2006/relationships/hyperlink" Target="https://www.lemoniteurdespharmacies.fr/legislation/dispensation/click-collect-en-pharmacie-les-casiers-sont-ils-vraiment-autorises-par-lordre-des-pharmaciens" TargetMode="External"/><Relationship Id="rId166" Type="http://schemas.openxmlformats.org/officeDocument/2006/relationships/hyperlink" Target="https://ansm.sante.fr/disponibilites-des-produits-de-sante/medicaments/zinnat-125-mg-5-ml-enfants-et-nourrissons-granules-pour-suspension-buvable-en-flacon-cefuroxime-axetil" TargetMode="External"/><Relationship Id="rId187" Type="http://schemas.openxmlformats.org/officeDocument/2006/relationships/hyperlink" Target="https://ansm.sante.fr/disponibilites-des-produits-de-sante/medicaments/lyrica-20-mg-ml-solution-buvable-pregabaline" TargetMode="External"/><Relationship Id="rId1" Type="http://schemas.openxmlformats.org/officeDocument/2006/relationships/numbering" Target="numbering.xml"/><Relationship Id="rId28" Type="http://schemas.openxmlformats.org/officeDocument/2006/relationships/hyperlink" Target="https://peps.sante.gouv.fr/outils/docu/texto.xlsm" TargetMode="External"/><Relationship Id="rId49" Type="http://schemas.openxmlformats.org/officeDocument/2006/relationships/hyperlink" Target="https://www.legifrance.gouv.fr/jorf/id/JORFTEXT000053916276" TargetMode="External"/><Relationship Id="rId114" Type="http://schemas.openxmlformats.org/officeDocument/2006/relationships/hyperlink" Target="https://www.acadpharm.org/dos_public/AVIS_COLLECTE_PLASMA_2026_04_15_VF.PDF" TargetMode="External"/><Relationship Id="rId60" Type="http://schemas.openxmlformats.org/officeDocument/2006/relationships/hyperlink" Target="https://peps.sante.gouv.fr/actu/ncov/actus_2019-ncov.html" TargetMode="External"/><Relationship Id="rId81" Type="http://schemas.openxmlformats.org/officeDocument/2006/relationships/hyperlink" Target="https://ansm.sante.fr/dossiers-thematiques/surveillance-de-marche-des-implants-mammaires" TargetMode="External"/><Relationship Id="rId135" Type="http://schemas.openxmlformats.org/officeDocument/2006/relationships/hyperlink" Target="https://peps.sante.gouv.fr/actu/2026/26_min-sante_mission-amp_15042026.pdf" TargetMode="External"/><Relationship Id="rId156" Type="http://schemas.openxmlformats.org/officeDocument/2006/relationships/hyperlink" Target="https://www.acadpharm.org/dos_public/CP___R1C_VF.PDF" TargetMode="External"/><Relationship Id="rId177" Type="http://schemas.openxmlformats.org/officeDocument/2006/relationships/hyperlink" Target="https://ansm.sante.fr/disponibilites-des-produits-de-sante/medicaments/zypadhera-300-mg-poudre-et-solvant-pour-suspension-injectable-a-liberation-prolongee-olanzapine-pamoate-d-monohydrate" TargetMode="External"/><Relationship Id="rId198" Type="http://schemas.openxmlformats.org/officeDocument/2006/relationships/customXml" Target="../customXml/item1.xml"/><Relationship Id="rId18" Type="http://schemas.openxmlformats.org/officeDocument/2006/relationships/hyperlink" Target="https://peps.sante.gouv.fr/themes/subst_ven/subst.html" TargetMode="External"/><Relationship Id="rId39" Type="http://schemas.openxmlformats.org/officeDocument/2006/relationships/hyperlink" Target="https://ansm.sante.fr/uploads/2026/04/15/20260415-emend-reco-remplacement.pdf" TargetMode="External"/><Relationship Id="rId50" Type="http://schemas.openxmlformats.org/officeDocument/2006/relationships/hyperlink" Target="https://peps.sante.gouv.fr/actu/2026/26_minsante_2026-06.pdf" TargetMode="External"/><Relationship Id="rId104" Type="http://schemas.openxmlformats.org/officeDocument/2006/relationships/hyperlink" Target="https://www.sciencedirect.com/science/article/abs/pii/S0003450926000349" TargetMode="External"/><Relationship Id="rId125" Type="http://schemas.openxmlformats.org/officeDocument/2006/relationships/hyperlink" Target="https://peps.sante.gouv.fr/actu/2026/26_sgmcas_position-ars-programme-inspection-veterinaire_20042026.pdf" TargetMode="External"/><Relationship Id="rId146" Type="http://schemas.openxmlformats.org/officeDocument/2006/relationships/hyperlink" Target="https://www.lemoniteurdespharmacies.fr/profession/socio-professionnel/patients-captes-prescriptions-flechees-la-colere-des-pharmaciens-contre-certains-prestataires" TargetMode="External"/><Relationship Id="rId167" Type="http://schemas.openxmlformats.org/officeDocument/2006/relationships/hyperlink" Target="https://ansm.sante.fr/disponibilites-des-produits-de-sante/medicaments/quinimax-500-mg-comprime-pellicule-secable-inchonidine-monochlorhydrate-de-monohydrate-cinchonine-chlorhydrate-de-dihydrate-quinidine-chlorhydrate-de-monohydrate-quinine-chlorhydrate-de" TargetMode="External"/><Relationship Id="rId188" Type="http://schemas.openxmlformats.org/officeDocument/2006/relationships/hyperlink" Target="https://ansm.sante.fr/disponibilites-des-produits-de-sante/medicaments/imogam-rage-150-ui-ml-solution-injectable-immunoglobuline-humaine-rabiqu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88edfb6f293bce798d548688640c4462">
  <xsd:schema xmlns:xsd="http://www.w3.org/2001/XMLSchema" xmlns:xs="http://www.w3.org/2001/XMLSchema" xmlns:p="http://schemas.microsoft.com/office/2006/metadata/properties" xmlns:ns2="496a4be7-76b1-4a69-ac69-a3e185a6e6be" targetNamespace="http://schemas.microsoft.com/office/2006/metadata/properties" ma:root="true" ma:fieldsID="2fe936909a296b2d95021de96f8088cf"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FC75259-E2D7-49AA-9044-DC93CC1C4D8E}"/>
</file>

<file path=customXml/itemProps2.xml><?xml version="1.0" encoding="utf-8"?>
<ds:datastoreItem xmlns:ds="http://schemas.openxmlformats.org/officeDocument/2006/customXml" ds:itemID="{F6E9D5B4-70EC-4806-83F2-7F346D491B9A}"/>
</file>

<file path=customXml/itemProps3.xml><?xml version="1.0" encoding="utf-8"?>
<ds:datastoreItem xmlns:ds="http://schemas.openxmlformats.org/officeDocument/2006/customXml" ds:itemID="{AA541EA8-F160-42E5-BFAE-599D97A8B7E7}"/>
</file>

<file path=docProps/app.xml><?xml version="1.0" encoding="utf-8"?>
<Properties xmlns="http://schemas.openxmlformats.org/officeDocument/2006/extended-properties" xmlns:vt="http://schemas.openxmlformats.org/officeDocument/2006/docPropsVTypes">
  <Template>mois-xx.dotx</Template>
  <TotalTime>9225</TotalTime>
  <Pages>27</Pages>
  <Words>11734</Words>
  <Characters>112072</Characters>
  <Application>Microsoft Office Word</Application>
  <DocSecurity>0</DocSecurity>
  <Lines>933</Lines>
  <Paragraphs>247</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123559</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48</cp:revision>
  <cp:lastPrinted>2018-11-02T10:29:00Z</cp:lastPrinted>
  <dcterms:created xsi:type="dcterms:W3CDTF">2026-03-31T15:42:00Z</dcterms:created>
  <dcterms:modified xsi:type="dcterms:W3CDTF">2026-04-30T12:41:00Z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2026-01-30T08:43:42Z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666007f5-c79b-4f36-90c8-deb251ecf105</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