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8DFFB" w14:textId="77777777" w:rsidR="00C30F6C" w:rsidRDefault="00072D49">
      <w:r>
        <w:rPr>
          <w:noProof/>
        </w:rPr>
        <w:drawing>
          <wp:anchor distT="0" distB="0" distL="114300" distR="114300" simplePos="0" relativeHeight="251657728" behindDoc="1" locked="0" layoutInCell="1" allowOverlap="1" wp14:anchorId="4BCFDE54" wp14:editId="0091299E">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558E1B" w14:textId="77777777" w:rsidR="00C30F6C" w:rsidRDefault="00C30F6C"/>
    <w:p w14:paraId="1B396732" w14:textId="77777777" w:rsidR="00C30F6C" w:rsidRDefault="00C30F6C"/>
    <w:p w14:paraId="0438A449" w14:textId="77777777" w:rsidR="00C30F6C" w:rsidRDefault="00C30F6C">
      <w:pPr>
        <w:rPr>
          <w:noProof/>
        </w:rPr>
      </w:pPr>
    </w:p>
    <w:p w14:paraId="0C034410" w14:textId="77777777" w:rsidR="00AC1EE8" w:rsidRDefault="00AC1EE8"/>
    <w:p w14:paraId="7456CE7C" w14:textId="77777777" w:rsidR="00C30F6C" w:rsidRDefault="00C30F6C"/>
    <w:p w14:paraId="413C5F7C" w14:textId="77777777" w:rsidR="00C30F6C" w:rsidRDefault="00C30F6C"/>
    <w:p w14:paraId="4427FC60" w14:textId="77777777" w:rsidR="00C30F6C" w:rsidRDefault="00C30F6C"/>
    <w:p w14:paraId="4D09D108" w14:textId="77777777" w:rsidR="00C30F6C" w:rsidRDefault="00C30F6C"/>
    <w:p w14:paraId="0CA4F7CD" w14:textId="77777777" w:rsidR="00C30F6C" w:rsidRDefault="00C30F6C"/>
    <w:p w14:paraId="2FC3296C" w14:textId="77777777" w:rsidR="00C30F6C" w:rsidRDefault="00C30F6C"/>
    <w:p w14:paraId="6D18E5AE" w14:textId="77777777" w:rsidR="00C30F6C" w:rsidRDefault="00C30F6C"/>
    <w:p w14:paraId="6F302F0E" w14:textId="77777777" w:rsidR="00AC1EE8" w:rsidRDefault="00072D49">
      <w:r>
        <w:rPr>
          <w:noProof/>
        </w:rPr>
        <mc:AlternateContent>
          <mc:Choice Requires="wps">
            <w:drawing>
              <wp:anchor distT="0" distB="0" distL="114300" distR="114300" simplePos="0" relativeHeight="251656704" behindDoc="0" locked="0" layoutInCell="0" allowOverlap="1" wp14:anchorId="5BF6317E" wp14:editId="0ED5973A">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1B82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2D32927" w14:textId="4BAA577D" w:rsidR="004568FE" w:rsidRPr="00624158" w:rsidRDefault="00297F61"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Décembre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09DEADB7"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F6317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5011B82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2D32927" w14:textId="4BAA577D" w:rsidR="004568FE" w:rsidRPr="00624158" w:rsidRDefault="00297F61"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Décembre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09DEADB7"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268A2D30" w14:textId="77777777" w:rsidR="00665ACB" w:rsidRDefault="00665ACB" w:rsidP="00AC1EE8">
      <w:pPr>
        <w:pStyle w:val="Default"/>
        <w:jc w:val="both"/>
        <w:rPr>
          <w:color w:val="FF0000"/>
        </w:rPr>
      </w:pPr>
    </w:p>
    <w:p w14:paraId="1DF46314" w14:textId="77777777" w:rsidR="00665ACB" w:rsidRDefault="00665ACB" w:rsidP="00AC1EE8">
      <w:pPr>
        <w:pStyle w:val="Default"/>
        <w:jc w:val="both"/>
        <w:rPr>
          <w:color w:val="FF0000"/>
        </w:rPr>
      </w:pPr>
    </w:p>
    <w:p w14:paraId="4389CB89" w14:textId="77777777" w:rsidR="00665ACB" w:rsidRDefault="00665ACB" w:rsidP="00AC1EE8">
      <w:pPr>
        <w:pStyle w:val="Default"/>
        <w:jc w:val="both"/>
        <w:rPr>
          <w:color w:val="FF0000"/>
        </w:rPr>
      </w:pPr>
    </w:p>
    <w:p w14:paraId="1852155F" w14:textId="77777777" w:rsidR="00DD6865" w:rsidRDefault="00DD6865" w:rsidP="00AC1EE8">
      <w:pPr>
        <w:pStyle w:val="Default"/>
        <w:jc w:val="both"/>
        <w:rPr>
          <w:color w:val="FF0000"/>
        </w:rPr>
      </w:pPr>
    </w:p>
    <w:p w14:paraId="200AA5BF" w14:textId="77777777" w:rsidR="00DD6865" w:rsidRDefault="00DD6865" w:rsidP="00AC1EE8">
      <w:pPr>
        <w:pStyle w:val="Default"/>
        <w:jc w:val="both"/>
        <w:rPr>
          <w:color w:val="FF0000"/>
        </w:rPr>
      </w:pPr>
    </w:p>
    <w:p w14:paraId="538547C2"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331752F4" wp14:editId="20D62E0A">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1EC03C"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25C180B6" w14:textId="77777777" w:rsidR="00EC7CB4" w:rsidRDefault="00EC7CB4" w:rsidP="004568FE">
      <w:pPr>
        <w:pStyle w:val="Default"/>
        <w:jc w:val="both"/>
        <w:rPr>
          <w:color w:val="FF0000"/>
        </w:rPr>
      </w:pPr>
    </w:p>
    <w:p w14:paraId="74F30E42" w14:textId="77777777" w:rsidR="00BB0F1B" w:rsidRPr="00F24AA7" w:rsidRDefault="00BB0F1B" w:rsidP="00BB0F1B">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Dopage</w:t>
      </w:r>
    </w:p>
    <w:p w14:paraId="2B76FA1B" w14:textId="77777777" w:rsidR="00BB0F1B" w:rsidRDefault="00BB0F1B" w:rsidP="00BB0F1B">
      <w:pPr>
        <w:pStyle w:val="Default"/>
        <w:jc w:val="both"/>
        <w:rPr>
          <w:color w:val="538135"/>
          <w:sz w:val="20"/>
        </w:rPr>
      </w:pPr>
      <w:r>
        <w:rPr>
          <w:rStyle w:val="Lienhypertexte"/>
        </w:rPr>
        <w:fldChar w:fldCharType="end"/>
      </w:r>
      <w:r>
        <w:rPr>
          <w:color w:val="538135"/>
          <w:sz w:val="20"/>
        </w:rPr>
        <w:t xml:space="preserve">- </w:t>
      </w:r>
      <w:r w:rsidRPr="004C47BE">
        <w:rPr>
          <w:color w:val="538135"/>
          <w:sz w:val="20"/>
        </w:rPr>
        <w:t>Décret n° 2024-1261 du 30 décembre 2024 portant publication de l'amendement à l'annexe I de la convention internationale contre le dopage dans le sport, adopté à Paris le 15 novembre 2024 (Liste des interdictions 2025)</w:t>
      </w:r>
      <w:r>
        <w:rPr>
          <w:color w:val="538135"/>
          <w:sz w:val="20"/>
        </w:rPr>
        <w:t>.</w:t>
      </w:r>
    </w:p>
    <w:p w14:paraId="0E65A8AA" w14:textId="77777777" w:rsidR="00BB0F1B" w:rsidRDefault="00BB0F1B" w:rsidP="00BB0F1B">
      <w:pPr>
        <w:pStyle w:val="Default"/>
        <w:jc w:val="both"/>
        <w:rPr>
          <w:color w:val="FF0000"/>
        </w:rPr>
      </w:pPr>
    </w:p>
    <w:p w14:paraId="65C91566" w14:textId="3A7DD925" w:rsidR="00BB0F1B" w:rsidRPr="00BB0F1B" w:rsidRDefault="00BB0F1B" w:rsidP="00BB0F1B">
      <w:pPr>
        <w:pStyle w:val="Default"/>
        <w:jc w:val="both"/>
        <w:rPr>
          <w:rStyle w:val="Lienhypertexte"/>
        </w:rPr>
      </w:pPr>
      <w:r w:rsidRPr="00BB0F1B">
        <w:rPr>
          <w:rStyle w:val="Lienhypertexte"/>
        </w:rPr>
        <w:fldChar w:fldCharType="begin"/>
      </w:r>
      <w:r w:rsidRPr="00BB0F1B">
        <w:rPr>
          <w:rStyle w:val="Lienhypertexte"/>
        </w:rPr>
        <w:instrText>HYPERLINK "https://peps.sante.gouv.fr/themes/odonto/odonto.html"</w:instrText>
      </w:r>
      <w:r w:rsidRPr="00BB0F1B">
        <w:rPr>
          <w:rStyle w:val="Lienhypertexte"/>
        </w:rPr>
      </w:r>
      <w:r w:rsidRPr="00BB0F1B">
        <w:rPr>
          <w:rStyle w:val="Lienhypertexte"/>
        </w:rPr>
        <w:fldChar w:fldCharType="separate"/>
      </w:r>
      <w:r w:rsidRPr="00BB0F1B">
        <w:rPr>
          <w:rStyle w:val="Lienhypertexte"/>
        </w:rPr>
        <w:t>Odontologie (risque infectieux)</w:t>
      </w:r>
    </w:p>
    <w:p w14:paraId="6930292C" w14:textId="1B24A51D" w:rsidR="00BB0F1B" w:rsidRPr="00BB0F1B" w:rsidRDefault="00BB0F1B" w:rsidP="00BB0F1B">
      <w:pPr>
        <w:pStyle w:val="Default"/>
        <w:jc w:val="both"/>
        <w:rPr>
          <w:color w:val="538135"/>
          <w:sz w:val="20"/>
        </w:rPr>
      </w:pPr>
      <w:r w:rsidRPr="00BB0F1B">
        <w:rPr>
          <w:rStyle w:val="Lienhypertexte"/>
        </w:rPr>
        <w:fldChar w:fldCharType="end"/>
      </w:r>
      <w:r w:rsidRPr="00BB0F1B">
        <w:rPr>
          <w:color w:val="538135"/>
          <w:sz w:val="20"/>
        </w:rPr>
        <w:t xml:space="preserve">Ce thème </w:t>
      </w:r>
      <w:r>
        <w:rPr>
          <w:color w:val="538135"/>
          <w:sz w:val="20"/>
        </w:rPr>
        <w:t xml:space="preserve">vient tout juste d’être repris par Marc </w:t>
      </w:r>
      <w:proofErr w:type="spellStart"/>
      <w:r>
        <w:rPr>
          <w:color w:val="538135"/>
          <w:sz w:val="20"/>
        </w:rPr>
        <w:t>Voyron</w:t>
      </w:r>
      <w:proofErr w:type="spellEnd"/>
      <w:r>
        <w:rPr>
          <w:color w:val="538135"/>
          <w:sz w:val="20"/>
        </w:rPr>
        <w:t xml:space="preserve"> et actualisé dans sa partie juridique</w:t>
      </w:r>
    </w:p>
    <w:p w14:paraId="6E46EA2E" w14:textId="607C909D" w:rsidR="00BB0F1B" w:rsidRDefault="00BB0F1B" w:rsidP="00BB0F1B">
      <w:pPr>
        <w:pStyle w:val="Default"/>
        <w:jc w:val="both"/>
        <w:rPr>
          <w:color w:val="538135"/>
          <w:sz w:val="20"/>
        </w:rPr>
      </w:pPr>
      <w:r>
        <w:rPr>
          <w:color w:val="538135"/>
          <w:sz w:val="20"/>
        </w:rPr>
        <w:t xml:space="preserve">- </w:t>
      </w:r>
      <w:r w:rsidRPr="00BB0F1B">
        <w:rPr>
          <w:color w:val="538135"/>
          <w:sz w:val="20"/>
        </w:rPr>
        <w:t>Enregistrement dans le Répertoire Partagé des Professionnels intervenant dans le système de Santé (RPPS) des assistants dentaires par l'ARS (Article L4393-17 et article D4393-17).</w:t>
      </w:r>
    </w:p>
    <w:p w14:paraId="069FA918" w14:textId="095ED2DD" w:rsidR="00BB0F1B" w:rsidRDefault="00BB0F1B" w:rsidP="00BB0F1B">
      <w:pPr>
        <w:pStyle w:val="Default"/>
        <w:jc w:val="both"/>
        <w:rPr>
          <w:color w:val="538135"/>
          <w:sz w:val="20"/>
        </w:rPr>
      </w:pPr>
      <w:r>
        <w:rPr>
          <w:color w:val="538135"/>
          <w:sz w:val="20"/>
        </w:rPr>
        <w:t xml:space="preserve">- </w:t>
      </w:r>
      <w:r w:rsidRPr="00BB0F1B">
        <w:rPr>
          <w:color w:val="538135"/>
          <w:sz w:val="20"/>
        </w:rPr>
        <w:t>LOI n° 2023-379 du 19 mai 2023 portant amélioration de l'accès aux soins par la confiance aux professionnels de santé - Légifrance : Création de l’assistant dentaire dits « de niveau 2 » qui pourra contribuer aux actes d’imagerie à visée diagnostique, aux actes prophylactiques, aux actes orthodontiques et à des soins post-chirurgicaux.</w:t>
      </w:r>
    </w:p>
    <w:p w14:paraId="52EA32A8" w14:textId="3891286C" w:rsidR="00BB0F1B" w:rsidRDefault="00BB0F1B" w:rsidP="00BB0F1B">
      <w:pPr>
        <w:pStyle w:val="Default"/>
        <w:jc w:val="both"/>
        <w:rPr>
          <w:color w:val="538135"/>
          <w:sz w:val="20"/>
        </w:rPr>
      </w:pPr>
      <w:r>
        <w:rPr>
          <w:color w:val="538135"/>
          <w:sz w:val="20"/>
        </w:rPr>
        <w:t xml:space="preserve">- </w:t>
      </w:r>
      <w:r w:rsidRPr="00BB0F1B">
        <w:rPr>
          <w:color w:val="538135"/>
          <w:sz w:val="20"/>
        </w:rPr>
        <w:t>Projet de décret en Conseil d'Etat fixant la liste des actes des assistants dentaires dits « de niveau II » est en cours de finalisation et modifications législatives envisagées concernant la formation des assistants dentaires « de niveau II ». Formation des futurs assistants dentaires de niveau 2 (Sénat, 17/10/2024).</w:t>
      </w:r>
    </w:p>
    <w:p w14:paraId="2D6D1A5D" w14:textId="5C9391C2" w:rsidR="00BB0F1B" w:rsidRDefault="00BB0F1B" w:rsidP="00BB0F1B">
      <w:pPr>
        <w:pStyle w:val="Default"/>
        <w:jc w:val="both"/>
        <w:rPr>
          <w:color w:val="538135"/>
          <w:sz w:val="20"/>
        </w:rPr>
      </w:pPr>
      <w:r>
        <w:rPr>
          <w:color w:val="538135"/>
          <w:sz w:val="20"/>
        </w:rPr>
        <w:t xml:space="preserve">- </w:t>
      </w:r>
      <w:r w:rsidRPr="00BB0F1B">
        <w:rPr>
          <w:color w:val="538135"/>
          <w:sz w:val="20"/>
        </w:rPr>
        <w:t>Définition, activités, création, fonctionnement (articles L.6323-1 et suivants du CSP, résultant de l'ordonnance 2018-17 du 12 janvier 2018), modifié par la loi n° 2023-378 du 19 mai 2023 visant à améliorer l'encadrement des centres de santé).</w:t>
      </w:r>
    </w:p>
    <w:p w14:paraId="02EF4DFB" w14:textId="3E8DB1CB" w:rsidR="00BB0F1B" w:rsidRDefault="00BB0F1B" w:rsidP="00BB0F1B">
      <w:pPr>
        <w:pStyle w:val="Default"/>
        <w:jc w:val="both"/>
        <w:rPr>
          <w:color w:val="538135"/>
          <w:sz w:val="20"/>
        </w:rPr>
      </w:pPr>
      <w:r>
        <w:rPr>
          <w:color w:val="538135"/>
          <w:sz w:val="20"/>
        </w:rPr>
        <w:t xml:space="preserve">- </w:t>
      </w:r>
      <w:r w:rsidRPr="00BB0F1B">
        <w:rPr>
          <w:color w:val="538135"/>
          <w:sz w:val="20"/>
        </w:rPr>
        <w:t xml:space="preserve">LOI n° 2023-378 du 19 mai 2023 visant à améliorer l'encadrement des centres de santé dite Loi « </w:t>
      </w:r>
      <w:proofErr w:type="spellStart"/>
      <w:r w:rsidRPr="00BB0F1B">
        <w:rPr>
          <w:color w:val="538135"/>
          <w:sz w:val="20"/>
        </w:rPr>
        <w:t>Khabatti</w:t>
      </w:r>
      <w:proofErr w:type="spellEnd"/>
      <w:r w:rsidRPr="00BB0F1B">
        <w:rPr>
          <w:color w:val="538135"/>
          <w:sz w:val="20"/>
        </w:rPr>
        <w:t xml:space="preserve"> ».</w:t>
      </w:r>
      <w:r>
        <w:rPr>
          <w:color w:val="538135"/>
          <w:sz w:val="20"/>
        </w:rPr>
        <w:t xml:space="preserve"> </w:t>
      </w:r>
      <w:r w:rsidRPr="00BB0F1B">
        <w:rPr>
          <w:color w:val="538135"/>
          <w:sz w:val="20"/>
        </w:rPr>
        <w:t>Cette loi rétablit le principe d’un agrément valant autorisation de dispense des soins délivré par l’ARS aux centres de santé ou à leurs antennes pour leurs seules activités dentaires, ophtalmologiques et orthoptiques.</w:t>
      </w:r>
    </w:p>
    <w:p w14:paraId="6A62EF80" w14:textId="38040A91" w:rsidR="00BB0F1B" w:rsidRPr="00BB0F1B" w:rsidRDefault="00BB0F1B" w:rsidP="00BB0F1B">
      <w:pPr>
        <w:pStyle w:val="Default"/>
        <w:jc w:val="both"/>
        <w:rPr>
          <w:color w:val="538135"/>
          <w:sz w:val="20"/>
        </w:rPr>
      </w:pPr>
      <w:r>
        <w:rPr>
          <w:color w:val="538135"/>
          <w:sz w:val="20"/>
        </w:rPr>
        <w:t xml:space="preserve">- </w:t>
      </w:r>
      <w:r w:rsidRPr="00BB0F1B">
        <w:rPr>
          <w:color w:val="538135"/>
          <w:sz w:val="20"/>
        </w:rPr>
        <w:t xml:space="preserve">Conditions de création et de fonctionnement (articles D.6323-1 et suivants du CSP, résultant du décret 2018-143 du 27 février 2018 et modifié par </w:t>
      </w:r>
      <w:r>
        <w:rPr>
          <w:color w:val="538135"/>
          <w:sz w:val="20"/>
        </w:rPr>
        <w:t xml:space="preserve">le </w:t>
      </w:r>
      <w:r w:rsidRPr="00BB0F1B">
        <w:rPr>
          <w:color w:val="538135"/>
          <w:sz w:val="20"/>
        </w:rPr>
        <w:t>Décret n° 2024-568 du 20 juin 2024).</w:t>
      </w:r>
    </w:p>
    <w:p w14:paraId="052B8F3F" w14:textId="708AE347" w:rsidR="00BB0F1B" w:rsidRDefault="00BB0F1B" w:rsidP="00BB0F1B">
      <w:pPr>
        <w:pStyle w:val="Default"/>
        <w:jc w:val="both"/>
        <w:rPr>
          <w:color w:val="538135"/>
          <w:sz w:val="20"/>
        </w:rPr>
      </w:pPr>
      <w:r w:rsidRPr="00BB0F1B">
        <w:rPr>
          <w:color w:val="538135"/>
          <w:sz w:val="20"/>
        </w:rPr>
        <w:t>Ce décret modifie les règles relatives aux conditions de création et de fonctionnement des centres de santé. Il précise que chaque antenne rattachée à un centre de santé est soumise à l'ensemble des règles applicables au centre. Il fixe les conditions de notification de suspension totale ou partielle des activités du centre ou, le cas échéant, de sa fermeture. Il prévoit qu'en cas de modifications substantielles du projet de santé le gestionnaire du centre en informe le directeur général de l'agence régionale de santé. Il précise les informations participant à la traçabilité de la prise en charge du patient par le centre de santé, ainsi que la date limite de transmission au directeur de l'agence régionale de santé des informations relatives aux activités et caractéristiques de fonctionnement et de gestion des centres de santé.</w:t>
      </w:r>
    </w:p>
    <w:p w14:paraId="62234CF5" w14:textId="77777777" w:rsidR="00BB0F1B" w:rsidRPr="00BB0F1B" w:rsidRDefault="00BB0F1B" w:rsidP="00BB0F1B">
      <w:pPr>
        <w:pStyle w:val="Default"/>
        <w:jc w:val="both"/>
        <w:rPr>
          <w:color w:val="538135"/>
          <w:sz w:val="20"/>
        </w:rPr>
      </w:pPr>
      <w:r>
        <w:rPr>
          <w:color w:val="538135"/>
          <w:sz w:val="20"/>
        </w:rPr>
        <w:t xml:space="preserve">- </w:t>
      </w:r>
      <w:r w:rsidRPr="00BB0F1B">
        <w:rPr>
          <w:color w:val="538135"/>
          <w:sz w:val="20"/>
        </w:rPr>
        <w:t>Suspension immédiate par le DGARS en cas d'urgence tenant à la sécurité des patients (articles L6323-1-12 et D6323-11 du CSP).</w:t>
      </w:r>
    </w:p>
    <w:p w14:paraId="38DAD798" w14:textId="28D90B0E" w:rsidR="00BB0F1B" w:rsidRDefault="00BB0F1B" w:rsidP="00BB0F1B">
      <w:pPr>
        <w:pStyle w:val="Default"/>
        <w:jc w:val="both"/>
        <w:rPr>
          <w:color w:val="538135"/>
          <w:sz w:val="20"/>
        </w:rPr>
      </w:pPr>
      <w:r w:rsidRPr="00BB0F1B">
        <w:rPr>
          <w:color w:val="538135"/>
          <w:sz w:val="20"/>
        </w:rPr>
        <w:t>Logigrammes en cas de manquements basés sur l'article L6323-1-12 du CSP, établis par la DGOS</w:t>
      </w:r>
      <w:r>
        <w:rPr>
          <w:color w:val="538135"/>
          <w:sz w:val="20"/>
        </w:rPr>
        <w:t>.</w:t>
      </w:r>
    </w:p>
    <w:p w14:paraId="2C0D2308" w14:textId="74445741" w:rsidR="00BB0F1B" w:rsidRDefault="00BB0F1B" w:rsidP="00BB0F1B">
      <w:pPr>
        <w:pStyle w:val="Default"/>
        <w:jc w:val="both"/>
        <w:rPr>
          <w:color w:val="538135"/>
          <w:sz w:val="20"/>
        </w:rPr>
      </w:pPr>
      <w:r>
        <w:rPr>
          <w:color w:val="538135"/>
          <w:sz w:val="20"/>
        </w:rPr>
        <w:t xml:space="preserve">- </w:t>
      </w:r>
      <w:r w:rsidRPr="00BB0F1B">
        <w:rPr>
          <w:color w:val="538135"/>
          <w:sz w:val="20"/>
        </w:rPr>
        <w:t>INSTRUCTION N° DGOS/PF3/2023/124 du 28 juillet 2023 relative à l'application de la loi n° 2023-378 du 19 mai 2023 visant à améliorer l'encadrement des centres de santé.</w:t>
      </w:r>
    </w:p>
    <w:p w14:paraId="079D9769" w14:textId="77777777" w:rsidR="00BB0F1B" w:rsidRDefault="00BB0F1B" w:rsidP="00BB0F1B">
      <w:pPr>
        <w:pStyle w:val="Default"/>
        <w:jc w:val="both"/>
        <w:rPr>
          <w:color w:val="538135"/>
          <w:sz w:val="20"/>
        </w:rPr>
      </w:pPr>
    </w:p>
    <w:p w14:paraId="3192D7C7" w14:textId="77777777" w:rsidR="00BB0F1B" w:rsidRDefault="00BB0F1B" w:rsidP="00BB0F1B">
      <w:pPr>
        <w:pStyle w:val="Default"/>
        <w:jc w:val="both"/>
        <w:rPr>
          <w:color w:val="FF0000"/>
        </w:rPr>
      </w:pPr>
    </w:p>
    <w:p w14:paraId="40853A5F" w14:textId="17F735DF" w:rsidR="0030725F" w:rsidRPr="00F24AA7" w:rsidRDefault="0030725F" w:rsidP="0030725F">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521D250E" w14:textId="13D0DA92" w:rsidR="0030725F" w:rsidRDefault="0030725F" w:rsidP="0030725F">
      <w:pPr>
        <w:pStyle w:val="Default"/>
        <w:jc w:val="both"/>
        <w:rPr>
          <w:color w:val="538135"/>
          <w:sz w:val="20"/>
        </w:rPr>
      </w:pPr>
      <w:r>
        <w:rPr>
          <w:rStyle w:val="Lienhypertexte"/>
        </w:rPr>
        <w:fldChar w:fldCharType="end"/>
      </w:r>
      <w:r>
        <w:rPr>
          <w:color w:val="538135"/>
          <w:sz w:val="20"/>
        </w:rPr>
        <w:t xml:space="preserve">- </w:t>
      </w:r>
      <w:r w:rsidRPr="0030725F">
        <w:rPr>
          <w:color w:val="538135"/>
          <w:sz w:val="20"/>
        </w:rPr>
        <w:t>Haltes soins addictions : les inspections ministérielles confirment qu’il s’agit d’un outil essentiel pour la santé publique et la tranquillité urbaine. Il est temps de les pérenniser (Fédération addictions, 16/12/2024)</w:t>
      </w:r>
      <w:r>
        <w:rPr>
          <w:color w:val="538135"/>
          <w:sz w:val="20"/>
        </w:rPr>
        <w:t>.</w:t>
      </w:r>
    </w:p>
    <w:p w14:paraId="43235C0F" w14:textId="77777777" w:rsidR="0030725F" w:rsidRDefault="0030725F" w:rsidP="0030725F">
      <w:pPr>
        <w:pStyle w:val="Default"/>
        <w:jc w:val="both"/>
        <w:rPr>
          <w:color w:val="FF0000"/>
        </w:rPr>
      </w:pPr>
    </w:p>
    <w:p w14:paraId="790240DB" w14:textId="77777777" w:rsidR="004568FE" w:rsidRPr="00ED2E7C" w:rsidRDefault="00BB0F1B" w:rsidP="004568FE">
      <w:pPr>
        <w:pStyle w:val="Default"/>
        <w:jc w:val="both"/>
        <w:rPr>
          <w:color w:val="FF0000"/>
        </w:rPr>
      </w:pPr>
      <w:hyperlink r:id="rId9" w:history="1">
        <w:r w:rsidR="00F27632" w:rsidRPr="00117BB3">
          <w:rPr>
            <w:rStyle w:val="Lienhypertexte"/>
          </w:rPr>
          <w:t>Substances vénéneuses</w:t>
        </w:r>
      </w:hyperlink>
    </w:p>
    <w:p w14:paraId="313877B2" w14:textId="1DEC79C8" w:rsidR="0030053E" w:rsidRPr="0030053E" w:rsidRDefault="0030053E" w:rsidP="0030053E">
      <w:pPr>
        <w:pStyle w:val="Default"/>
        <w:jc w:val="both"/>
        <w:rPr>
          <w:color w:val="538135"/>
          <w:sz w:val="20"/>
        </w:rPr>
      </w:pPr>
      <w:r>
        <w:rPr>
          <w:color w:val="538135"/>
          <w:sz w:val="20"/>
        </w:rPr>
        <w:t xml:space="preserve">- </w:t>
      </w:r>
      <w:hyperlink r:id="rId10" w:anchor="precurseurs1" w:history="1">
        <w:r w:rsidRPr="0030053E">
          <w:rPr>
            <w:color w:val="538135"/>
            <w:sz w:val="20"/>
          </w:rPr>
          <w:t>Liste des précurseurs et des substances chimiques fréquemment utilisés dans la fabrication illicite de stupéfiants et de substances psychotropes placés sous contrôle international, publiée par l'OICS (liste rouge, 22ème édition, décembre 2024)</w:t>
        </w:r>
      </w:hyperlink>
      <w:r w:rsidRPr="0030053E">
        <w:rPr>
          <w:color w:val="538135"/>
          <w:sz w:val="20"/>
        </w:rPr>
        <w:t>.</w:t>
      </w:r>
    </w:p>
    <w:p w14:paraId="5E54AFD2" w14:textId="4F026853" w:rsidR="0030053E" w:rsidRPr="0030053E" w:rsidRDefault="0030053E" w:rsidP="0030053E">
      <w:pPr>
        <w:pStyle w:val="Default"/>
        <w:jc w:val="both"/>
        <w:rPr>
          <w:color w:val="538135"/>
          <w:sz w:val="20"/>
        </w:rPr>
      </w:pPr>
      <w:r>
        <w:rPr>
          <w:color w:val="538135"/>
          <w:sz w:val="20"/>
        </w:rPr>
        <w:t xml:space="preserve">- </w:t>
      </w:r>
      <w:hyperlink r:id="rId11" w:anchor="svclassement" w:history="1">
        <w:r w:rsidRPr="0030053E">
          <w:rPr>
            <w:color w:val="538135"/>
            <w:sz w:val="20"/>
          </w:rPr>
          <w:t xml:space="preserve">Décision ANSM du 09/12/2024 </w:t>
        </w:r>
        <w:r w:rsidRPr="0030053E">
          <w:rPr>
            <w:i/>
            <w:iCs/>
            <w:color w:val="538135"/>
            <w:sz w:val="20"/>
          </w:rPr>
          <w:t>portant radiation et inscription sur les listes I et II des substances vénéneuses définies à l’article L.5132-6 du code de la santé publique</w:t>
        </w:r>
        <w:r w:rsidRPr="0030053E">
          <w:rPr>
            <w:color w:val="538135"/>
            <w:sz w:val="20"/>
          </w:rPr>
          <w:t xml:space="preserve"> (passage de la pseudoéphédrine de la liste II en tant que principe actif non associé à la liste I des substances vénéneuses, sous toutes ses formes)</w:t>
        </w:r>
      </w:hyperlink>
      <w:r w:rsidRPr="0030053E">
        <w:rPr>
          <w:color w:val="538135"/>
          <w:sz w:val="20"/>
        </w:rPr>
        <w:t>.</w:t>
      </w:r>
    </w:p>
    <w:p w14:paraId="71E9E20E" w14:textId="1E485367" w:rsidR="0030053E" w:rsidRPr="0030053E" w:rsidRDefault="0030053E" w:rsidP="0030053E">
      <w:pPr>
        <w:pStyle w:val="Default"/>
        <w:jc w:val="both"/>
        <w:rPr>
          <w:color w:val="538135"/>
          <w:sz w:val="20"/>
        </w:rPr>
      </w:pPr>
      <w:r>
        <w:rPr>
          <w:color w:val="538135"/>
          <w:sz w:val="20"/>
        </w:rPr>
        <w:t xml:space="preserve">- </w:t>
      </w:r>
      <w:hyperlink r:id="rId12" w:anchor="svclassement" w:history="1">
        <w:r w:rsidRPr="0030053E">
          <w:rPr>
            <w:color w:val="538135"/>
            <w:sz w:val="20"/>
          </w:rPr>
          <w:t xml:space="preserve">Décision ANSM du 18/12/2024 </w:t>
        </w:r>
        <w:r w:rsidRPr="0030053E">
          <w:rPr>
            <w:i/>
            <w:iCs/>
            <w:color w:val="538135"/>
            <w:sz w:val="20"/>
          </w:rPr>
          <w:t>portant exonération à la réglementation des substances vénéneuses destinées à la médecine humaine</w:t>
        </w:r>
        <w:r w:rsidRPr="0030053E">
          <w:rPr>
            <w:color w:val="538135"/>
            <w:sz w:val="20"/>
          </w:rPr>
          <w:t xml:space="preserve"> (élargissement de l'exonération de la </w:t>
        </w:r>
        <w:proofErr w:type="spellStart"/>
        <w:r w:rsidRPr="0030053E">
          <w:rPr>
            <w:color w:val="538135"/>
            <w:sz w:val="20"/>
          </w:rPr>
          <w:t>féxofénadine</w:t>
        </w:r>
        <w:proofErr w:type="spellEnd"/>
        <w:r w:rsidRPr="0030053E">
          <w:rPr>
            <w:color w:val="538135"/>
            <w:sz w:val="20"/>
          </w:rPr>
          <w:t xml:space="preserve"> au traitement symptomatique de la rhinite allergique chez l’adulte et l’adolescent de plus de 12 ans et non plus seulement de la rhinite allergique </w:t>
        </w:r>
        <w:r w:rsidRPr="0030053E">
          <w:rPr>
            <w:b/>
            <w:bCs/>
            <w:color w:val="538135"/>
            <w:sz w:val="20"/>
          </w:rPr>
          <w:t>saisonnière</w:t>
        </w:r>
        <w:r w:rsidRPr="0030053E">
          <w:rPr>
            <w:color w:val="538135"/>
            <w:sz w:val="20"/>
          </w:rPr>
          <w:t>)</w:t>
        </w:r>
      </w:hyperlink>
      <w:r w:rsidRPr="0030053E">
        <w:rPr>
          <w:color w:val="538135"/>
          <w:sz w:val="20"/>
        </w:rPr>
        <w:t>.</w:t>
      </w:r>
    </w:p>
    <w:p w14:paraId="349219F7" w14:textId="3B21C0C0" w:rsidR="0030053E" w:rsidRPr="0030053E" w:rsidRDefault="0030053E" w:rsidP="0030053E">
      <w:pPr>
        <w:pStyle w:val="Default"/>
        <w:jc w:val="both"/>
        <w:rPr>
          <w:color w:val="538135"/>
          <w:sz w:val="20"/>
        </w:rPr>
      </w:pPr>
      <w:r>
        <w:rPr>
          <w:color w:val="538135"/>
          <w:sz w:val="20"/>
        </w:rPr>
        <w:t xml:space="preserve">- </w:t>
      </w:r>
      <w:hyperlink r:id="rId13" w:anchor="svdelivrance" w:history="1">
        <w:r w:rsidRPr="0030053E">
          <w:rPr>
            <w:color w:val="538135"/>
            <w:sz w:val="20"/>
          </w:rPr>
          <w:t>Dispensation supplémentaire exceptionnelle de médicaments et de DM par le pharmacien d’officine dans la limite de 3 mois : décret publié (CNOP, 02/12/2024)</w:t>
        </w:r>
      </w:hyperlink>
      <w:r w:rsidRPr="0030053E">
        <w:rPr>
          <w:color w:val="538135"/>
          <w:sz w:val="20"/>
        </w:rPr>
        <w:t>.</w:t>
      </w:r>
    </w:p>
    <w:p w14:paraId="63FADB57" w14:textId="3F91D03A" w:rsidR="0030053E" w:rsidRPr="0030053E" w:rsidRDefault="0030053E" w:rsidP="0030053E">
      <w:pPr>
        <w:pStyle w:val="Default"/>
        <w:jc w:val="both"/>
        <w:rPr>
          <w:color w:val="538135"/>
          <w:sz w:val="20"/>
        </w:rPr>
      </w:pPr>
      <w:r>
        <w:rPr>
          <w:color w:val="538135"/>
          <w:sz w:val="20"/>
        </w:rPr>
        <w:t xml:space="preserve">- </w:t>
      </w:r>
      <w:hyperlink r:id="rId14" w:anchor="dispensation-conditionnelle" w:history="1">
        <w:r w:rsidRPr="0030053E">
          <w:rPr>
            <w:color w:val="538135"/>
            <w:sz w:val="20"/>
          </w:rPr>
          <w:t>Arrêté du 11 décembre 2024 modifiant l'arrêté du 17 juin 2024 fixant les modalités de délivrance de médicaments sans ordonnance après la réalisation d'un test rapide d'orientation diagnostique, les modalités de formation spécifique des pharmaciens d'officine en la matière et précisant les conditions de recours à une ordonnance de dispensation conditionnelle</w:t>
        </w:r>
      </w:hyperlink>
      <w:r w:rsidRPr="0030053E">
        <w:rPr>
          <w:color w:val="538135"/>
          <w:sz w:val="20"/>
        </w:rPr>
        <w:t>.</w:t>
      </w:r>
    </w:p>
    <w:p w14:paraId="29BD84CE" w14:textId="6226E9DC" w:rsidR="0030053E" w:rsidRPr="0030053E" w:rsidRDefault="0030053E" w:rsidP="0030053E">
      <w:pPr>
        <w:pStyle w:val="Default"/>
        <w:jc w:val="both"/>
        <w:rPr>
          <w:color w:val="538135"/>
          <w:sz w:val="20"/>
        </w:rPr>
      </w:pPr>
      <w:r>
        <w:rPr>
          <w:color w:val="538135"/>
          <w:sz w:val="20"/>
        </w:rPr>
        <w:t xml:space="preserve">- </w:t>
      </w:r>
      <w:hyperlink r:id="rId15" w:anchor="experiences" w:history="1">
        <w:r w:rsidRPr="0030053E">
          <w:rPr>
            <w:color w:val="538135"/>
            <w:sz w:val="20"/>
          </w:rPr>
          <w:t>Mail du 11/12/2024 de la CPAM 89 détaillant les modalités de prise en charge des médicaments pour un patient en garde à vue, en vigueur depuis le 01/01/2024</w:t>
        </w:r>
      </w:hyperlink>
      <w:r w:rsidRPr="0030053E">
        <w:rPr>
          <w:color w:val="538135"/>
          <w:sz w:val="20"/>
        </w:rPr>
        <w:t>.</w:t>
      </w:r>
    </w:p>
    <w:p w14:paraId="669C9166" w14:textId="6E660EF6" w:rsidR="0030053E" w:rsidRPr="0030053E" w:rsidRDefault="0030053E" w:rsidP="0030053E">
      <w:pPr>
        <w:pStyle w:val="Default"/>
        <w:jc w:val="both"/>
        <w:rPr>
          <w:color w:val="538135"/>
          <w:sz w:val="20"/>
        </w:rPr>
      </w:pPr>
      <w:r>
        <w:rPr>
          <w:color w:val="538135"/>
          <w:sz w:val="20"/>
        </w:rPr>
        <w:t xml:space="preserve">- </w:t>
      </w:r>
      <w:hyperlink r:id="rId16" w:anchor="cannabis-therapeutique" w:history="1">
        <w:r w:rsidRPr="0030053E">
          <w:rPr>
            <w:color w:val="538135"/>
            <w:sz w:val="20"/>
          </w:rPr>
          <w:t>Comité Suivi de l’expérimentation française de l’usage médical du cannabis – Compte rendu de la séance du 18/09/2024 (ANSM, 19/12/2024).</w:t>
        </w:r>
        <w:r w:rsidRPr="0030053E">
          <w:rPr>
            <w:color w:val="538135"/>
            <w:sz w:val="20"/>
          </w:rPr>
          <w:br/>
        </w:r>
        <w:r w:rsidRPr="0030053E">
          <w:rPr>
            <w:color w:val="538135"/>
            <w:sz w:val="20"/>
          </w:rPr>
          <w:t>Les textes réglementaires prévus pour être pris avant le 31/12/2024 ayant été retardés par le changement de gouvernement, ne permettent pas à l’ANSM d’instruire et délivrer les autorisations d’utilisation temporaires de futurs médicaments à base de cannabis qui devait intervenir selon les termes de la loi au plus tard le 31 décembre 2024. Il est envisagé une prolongation de l’expérimentation pour une année supplémentaire.</w:t>
        </w:r>
        <w:r w:rsidRPr="0030053E">
          <w:rPr>
            <w:color w:val="538135"/>
            <w:sz w:val="20"/>
          </w:rPr>
          <w:br/>
          <w:t xml:space="preserve">Il a été proposé de réintroduire dans le projet de texte, les sommités fleuries à condition qu’elles soient présentées dans un conditionnement primaire sécurisée et </w:t>
        </w:r>
        <w:proofErr w:type="spellStart"/>
        <w:r w:rsidRPr="0030053E">
          <w:rPr>
            <w:color w:val="538135"/>
            <w:sz w:val="20"/>
          </w:rPr>
          <w:t>antidétournement</w:t>
        </w:r>
        <w:proofErr w:type="spellEnd"/>
        <w:r w:rsidRPr="0030053E">
          <w:rPr>
            <w:color w:val="538135"/>
            <w:sz w:val="20"/>
          </w:rPr>
          <w:t>. Les textes pouvant encore être modifiés, l’ANSM ne peut pas affirmer, à ce stade, que les sommités fleuries seront maintenues</w:t>
        </w:r>
      </w:hyperlink>
      <w:r w:rsidRPr="0030053E">
        <w:rPr>
          <w:color w:val="538135"/>
          <w:sz w:val="20"/>
        </w:rPr>
        <w:t>.</w:t>
      </w:r>
    </w:p>
    <w:p w14:paraId="1F82E999" w14:textId="74CCB680" w:rsidR="0030053E" w:rsidRPr="0030053E" w:rsidRDefault="0030053E" w:rsidP="0030053E">
      <w:pPr>
        <w:pStyle w:val="Default"/>
        <w:jc w:val="both"/>
        <w:rPr>
          <w:color w:val="538135"/>
          <w:sz w:val="20"/>
        </w:rPr>
      </w:pPr>
      <w:r>
        <w:rPr>
          <w:color w:val="538135"/>
          <w:sz w:val="20"/>
        </w:rPr>
        <w:t xml:space="preserve">- </w:t>
      </w:r>
      <w:hyperlink r:id="rId17" w:anchor="biblio-international" w:history="1">
        <w:r w:rsidRPr="0030053E">
          <w:rPr>
            <w:color w:val="538135"/>
            <w:sz w:val="20"/>
          </w:rPr>
          <w:t xml:space="preserve">Le </w:t>
        </w:r>
        <w:proofErr w:type="spellStart"/>
        <w:r w:rsidRPr="0030053E">
          <w:rPr>
            <w:color w:val="538135"/>
            <w:sz w:val="20"/>
          </w:rPr>
          <w:t>captagon</w:t>
        </w:r>
        <w:proofErr w:type="spellEnd"/>
        <w:r w:rsidRPr="0030053E">
          <w:rPr>
            <w:color w:val="538135"/>
            <w:sz w:val="20"/>
          </w:rPr>
          <w:t xml:space="preserve">, cette drogue illicite qui a transformé la Syrie en narco-État (article de Marc </w:t>
        </w:r>
        <w:proofErr w:type="spellStart"/>
        <w:r w:rsidRPr="0030053E">
          <w:rPr>
            <w:color w:val="538135"/>
            <w:sz w:val="20"/>
          </w:rPr>
          <w:t>Gozlan</w:t>
        </w:r>
        <w:proofErr w:type="spellEnd"/>
        <w:r w:rsidRPr="0030053E">
          <w:rPr>
            <w:color w:val="538135"/>
            <w:sz w:val="20"/>
          </w:rPr>
          <w:t xml:space="preserve"> sur le blog santé du Monde, 16/12/2024)</w:t>
        </w:r>
      </w:hyperlink>
      <w:r w:rsidRPr="0030053E">
        <w:rPr>
          <w:color w:val="538135"/>
          <w:sz w:val="20"/>
        </w:rPr>
        <w:t>.</w:t>
      </w:r>
    </w:p>
    <w:p w14:paraId="7C484980" w14:textId="5B8960CC" w:rsidR="0030053E" w:rsidRPr="0030053E" w:rsidRDefault="0030053E" w:rsidP="0030053E">
      <w:pPr>
        <w:pStyle w:val="Default"/>
        <w:jc w:val="both"/>
        <w:rPr>
          <w:color w:val="538135"/>
          <w:sz w:val="20"/>
        </w:rPr>
      </w:pPr>
      <w:r>
        <w:rPr>
          <w:color w:val="538135"/>
          <w:sz w:val="20"/>
        </w:rPr>
        <w:t xml:space="preserve">- </w:t>
      </w:r>
      <w:hyperlink r:id="rId18" w:anchor="biblio-france" w:history="1">
        <w:r w:rsidRPr="0030053E">
          <w:rPr>
            <w:color w:val="538135"/>
            <w:sz w:val="20"/>
          </w:rPr>
          <w:t>Rhume : ordonnance obligatoire pour toute dispensation de médicament à base de pseudoéphédrine (ANSM, 10/12/2024)</w:t>
        </w:r>
      </w:hyperlink>
      <w:r w:rsidRPr="0030053E">
        <w:rPr>
          <w:color w:val="538135"/>
          <w:sz w:val="20"/>
        </w:rPr>
        <w:t>.</w:t>
      </w:r>
    </w:p>
    <w:p w14:paraId="7C38B92B" w14:textId="58B1E2A2" w:rsidR="0030053E" w:rsidRPr="0030053E" w:rsidRDefault="0030053E" w:rsidP="0030053E">
      <w:pPr>
        <w:pStyle w:val="Default"/>
        <w:jc w:val="both"/>
        <w:rPr>
          <w:color w:val="538135"/>
          <w:sz w:val="20"/>
        </w:rPr>
      </w:pPr>
      <w:r>
        <w:rPr>
          <w:color w:val="538135"/>
          <w:sz w:val="20"/>
        </w:rPr>
        <w:t xml:space="preserve">- </w:t>
      </w:r>
      <w:hyperlink r:id="rId19" w:anchor="biblio-france" w:history="1">
        <w:r w:rsidRPr="0030053E">
          <w:rPr>
            <w:color w:val="538135"/>
            <w:sz w:val="20"/>
          </w:rPr>
          <w:t>Point SINTES (Système d’identification national des toxiques et des substances) n° 10 (OFDT, 18/12/2024)</w:t>
        </w:r>
      </w:hyperlink>
      <w:r w:rsidRPr="0030053E">
        <w:rPr>
          <w:color w:val="538135"/>
          <w:sz w:val="20"/>
        </w:rPr>
        <w:t>.</w:t>
      </w:r>
    </w:p>
    <w:p w14:paraId="2724A8A0" w14:textId="14777578" w:rsidR="0030053E" w:rsidRPr="0030053E" w:rsidRDefault="0030053E" w:rsidP="0030053E">
      <w:pPr>
        <w:pStyle w:val="Default"/>
        <w:jc w:val="both"/>
        <w:rPr>
          <w:color w:val="538135"/>
          <w:sz w:val="20"/>
        </w:rPr>
      </w:pPr>
      <w:r>
        <w:rPr>
          <w:color w:val="538135"/>
          <w:sz w:val="20"/>
        </w:rPr>
        <w:t xml:space="preserve">- </w:t>
      </w:r>
      <w:hyperlink r:id="rId20" w:anchor="biblio-france" w:history="1">
        <w:r w:rsidRPr="0030053E">
          <w:rPr>
            <w:color w:val="538135"/>
            <w:sz w:val="20"/>
          </w:rPr>
          <w:t>Prévention de la soumission chimique : l’ANSM engage de nouvelles mesures afin de réduire le risque du détournement d’usage des médicaments (ANSM, 20/12/2024)</w:t>
        </w:r>
      </w:hyperlink>
      <w:r w:rsidRPr="0030053E">
        <w:rPr>
          <w:color w:val="538135"/>
          <w:sz w:val="20"/>
        </w:rPr>
        <w:t>.</w:t>
      </w:r>
    </w:p>
    <w:p w14:paraId="4465BB4C" w14:textId="593862E2" w:rsidR="0030053E" w:rsidRPr="0030053E" w:rsidRDefault="0030053E" w:rsidP="0030053E">
      <w:pPr>
        <w:pStyle w:val="Default"/>
        <w:jc w:val="both"/>
        <w:rPr>
          <w:color w:val="538135"/>
          <w:sz w:val="20"/>
        </w:rPr>
      </w:pPr>
      <w:r>
        <w:rPr>
          <w:color w:val="538135"/>
          <w:sz w:val="20"/>
        </w:rPr>
        <w:t xml:space="preserve">- </w:t>
      </w:r>
      <w:hyperlink r:id="rId21" w:anchor="biblio-france" w:history="1">
        <w:r w:rsidRPr="0030053E">
          <w:rPr>
            <w:color w:val="538135"/>
            <w:sz w:val="20"/>
          </w:rPr>
          <w:t>Comité Psychotropes, stupéfiants et addictions - Formation restreinte Expertise, compte rendu de la séance du 30/09/2024 (ANSM, 23/12/2024).</w:t>
        </w:r>
        <w:r w:rsidRPr="0030053E">
          <w:rPr>
            <w:color w:val="538135"/>
            <w:sz w:val="20"/>
          </w:rPr>
          <w:br/>
        </w:r>
        <w:r>
          <w:rPr>
            <w:color w:val="538135"/>
            <w:sz w:val="20"/>
          </w:rPr>
          <w:t xml:space="preserve">- </w:t>
        </w:r>
        <w:r w:rsidRPr="0030053E">
          <w:rPr>
            <w:color w:val="538135"/>
            <w:sz w:val="20"/>
          </w:rPr>
          <w:t xml:space="preserve">Données d’addictovigilance concernant l’oxycodone (tendant à confirmer un potentiel d’abus équivalent à celui de l’héroïne et supérieur à la morphine), les </w:t>
        </w:r>
        <w:r w:rsidRPr="0030053E">
          <w:rPr>
            <w:i/>
            <w:iCs/>
            <w:color w:val="538135"/>
            <w:sz w:val="20"/>
          </w:rPr>
          <w:t>designer</w:t>
        </w:r>
        <w:r w:rsidRPr="0030053E">
          <w:rPr>
            <w:color w:val="538135"/>
            <w:sz w:val="20"/>
          </w:rPr>
          <w:t xml:space="preserve"> benzodiazépines (D-BZD) et le muscimole (avis favorable pour une inscription sur une liste, partagé entre celle des stupéfiants, majoritaire, et celle des psychotropes)</w:t>
        </w:r>
      </w:hyperlink>
      <w:r w:rsidRPr="0030053E">
        <w:rPr>
          <w:color w:val="538135"/>
          <w:sz w:val="20"/>
        </w:rPr>
        <w:t>.</w:t>
      </w:r>
    </w:p>
    <w:p w14:paraId="0DCF1CCB" w14:textId="35FDDBB5" w:rsidR="0030053E" w:rsidRPr="0030053E" w:rsidRDefault="0030053E" w:rsidP="0030053E">
      <w:pPr>
        <w:pStyle w:val="Default"/>
        <w:jc w:val="both"/>
        <w:rPr>
          <w:color w:val="538135"/>
          <w:sz w:val="20"/>
        </w:rPr>
      </w:pPr>
      <w:r>
        <w:rPr>
          <w:color w:val="538135"/>
          <w:sz w:val="20"/>
        </w:rPr>
        <w:t xml:space="preserve">- </w:t>
      </w:r>
      <w:hyperlink r:id="rId22" w:anchor="biblio-canna" w:history="1">
        <w:r w:rsidRPr="0030053E">
          <w:rPr>
            <w:color w:val="538135"/>
            <w:sz w:val="20"/>
          </w:rPr>
          <w:t>Le cannabis au quotidien : pratiques, profils et parcours (Tendances n° 165, OFDT, 04/12/2024)</w:t>
        </w:r>
      </w:hyperlink>
      <w:r w:rsidRPr="0030053E">
        <w:rPr>
          <w:color w:val="538135"/>
          <w:sz w:val="20"/>
        </w:rPr>
        <w:t>.</w:t>
      </w:r>
    </w:p>
    <w:p w14:paraId="62BFF171" w14:textId="77777777" w:rsidR="004A18A5" w:rsidRDefault="004A18A5" w:rsidP="004B1C7D">
      <w:pPr>
        <w:pStyle w:val="Default"/>
      </w:pPr>
    </w:p>
    <w:p w14:paraId="789E68B2" w14:textId="6B34E61A" w:rsidR="004A18A5" w:rsidRPr="00F24AA7" w:rsidRDefault="004A18A5" w:rsidP="004A18A5">
      <w:pPr>
        <w:pStyle w:val="Default"/>
        <w:jc w:val="both"/>
        <w:rPr>
          <w:rStyle w:val="Lienhypertexte"/>
        </w:rPr>
      </w:pPr>
      <w:r>
        <w:rPr>
          <w:rStyle w:val="Lienhypertexte"/>
        </w:rPr>
        <w:fldChar w:fldCharType="begin"/>
      </w:r>
      <w:r>
        <w:rPr>
          <w:rStyle w:val="Lienhypertexte"/>
        </w:rPr>
        <w:instrText>HYPERLINK "https://peps.sante.gouv.fr/themes/tatouage/tatouage.html"</w:instrText>
      </w:r>
      <w:r>
        <w:rPr>
          <w:rStyle w:val="Lienhypertexte"/>
        </w:rPr>
      </w:r>
      <w:r>
        <w:rPr>
          <w:rStyle w:val="Lienhypertexte"/>
        </w:rPr>
        <w:fldChar w:fldCharType="separate"/>
      </w:r>
      <w:r>
        <w:rPr>
          <w:rStyle w:val="Lienhypertexte"/>
        </w:rPr>
        <w:t>Tatouage et perçage corporel</w:t>
      </w:r>
    </w:p>
    <w:p w14:paraId="70235D09" w14:textId="582ED2ED" w:rsidR="004A18A5" w:rsidRDefault="004A18A5" w:rsidP="004A18A5">
      <w:pPr>
        <w:pStyle w:val="Default"/>
        <w:jc w:val="both"/>
        <w:rPr>
          <w:color w:val="538135"/>
          <w:sz w:val="20"/>
        </w:rPr>
      </w:pPr>
      <w:r>
        <w:rPr>
          <w:rStyle w:val="Lienhypertexte"/>
        </w:rPr>
        <w:fldChar w:fldCharType="end"/>
      </w:r>
      <w:r>
        <w:rPr>
          <w:color w:val="538135"/>
          <w:sz w:val="20"/>
        </w:rPr>
        <w:t xml:space="preserve">- </w:t>
      </w:r>
      <w:r w:rsidRPr="004A18A5">
        <w:rPr>
          <w:color w:val="538135"/>
          <w:sz w:val="20"/>
        </w:rPr>
        <w:t xml:space="preserve">Instruction n° DGS/PP1/2024/158 du 3 décembre 2024 relative à la validation et à la mise en </w:t>
      </w:r>
      <w:r w:rsidR="0030725F">
        <w:rPr>
          <w:color w:val="538135"/>
          <w:sz w:val="20"/>
        </w:rPr>
        <w:t xml:space="preserve">œuvre </w:t>
      </w:r>
      <w:r w:rsidRPr="004A18A5">
        <w:rPr>
          <w:color w:val="538135"/>
          <w:sz w:val="20"/>
        </w:rPr>
        <w:t>de la certification « hygiène et salubrité » pour le tatouage et le perçage corporel</w:t>
      </w:r>
      <w:r>
        <w:rPr>
          <w:color w:val="538135"/>
          <w:sz w:val="20"/>
        </w:rPr>
        <w:t>.</w:t>
      </w:r>
    </w:p>
    <w:p w14:paraId="17B52386" w14:textId="77777777" w:rsidR="004A18A5" w:rsidRDefault="004A18A5" w:rsidP="004A18A5">
      <w:pPr>
        <w:pStyle w:val="Default"/>
        <w:jc w:val="both"/>
        <w:rPr>
          <w:color w:val="FF0000"/>
        </w:rPr>
      </w:pPr>
    </w:p>
    <w:p w14:paraId="33D377D9" w14:textId="300EA54E" w:rsidR="00D82BEE" w:rsidRDefault="004B1C7D" w:rsidP="004A18A5">
      <w:pPr>
        <w:pStyle w:val="Default"/>
      </w:pPr>
      <w:r w:rsidRPr="004B1C7D">
        <w:rPr>
          <w:color w:val="538135"/>
          <w:sz w:val="20"/>
        </w:rPr>
        <w:br/>
      </w:r>
    </w:p>
    <w:p w14:paraId="52A98211" w14:textId="77777777" w:rsidR="00CC56E9" w:rsidRPr="00672CE5" w:rsidRDefault="00CC56E9" w:rsidP="00672CE5">
      <w:pPr>
        <w:pStyle w:val="PEPS"/>
      </w:pPr>
      <w:r w:rsidRPr="00672CE5">
        <w:t>Manuel des formalités administratives :</w:t>
      </w:r>
    </w:p>
    <w:p w14:paraId="4BEFB5E5" w14:textId="77777777" w:rsidR="00523F15" w:rsidRPr="00126647" w:rsidRDefault="00BB0F1B" w:rsidP="00672CE5">
      <w:pPr>
        <w:pStyle w:val="PEPS"/>
        <w:rPr>
          <w:rFonts w:ascii="Calibri" w:eastAsia="Calibri" w:hAnsi="Calibri" w:cs="Times New Roman"/>
          <w:b w:val="0"/>
          <w:color w:val="auto"/>
          <w:sz w:val="22"/>
          <w:szCs w:val="21"/>
          <w:lang w:eastAsia="en-US"/>
        </w:rPr>
      </w:pPr>
      <w:hyperlink r:id="rId23"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1D68EC17" w14:textId="77777777" w:rsidR="005142E8" w:rsidRDefault="005142E8" w:rsidP="00672CE5">
      <w:pPr>
        <w:pStyle w:val="Textebrut"/>
      </w:pPr>
    </w:p>
    <w:p w14:paraId="01AADAE3" w14:textId="77777777" w:rsidR="00BB0F1B" w:rsidRDefault="00BB0F1B" w:rsidP="00672CE5">
      <w:pPr>
        <w:pStyle w:val="Textebrut"/>
      </w:pPr>
    </w:p>
    <w:p w14:paraId="02F48E05" w14:textId="77777777" w:rsidR="00BB0F1B" w:rsidRPr="00672CE5" w:rsidRDefault="00BB0F1B" w:rsidP="00672CE5">
      <w:pPr>
        <w:pStyle w:val="Textebrut"/>
      </w:pPr>
    </w:p>
    <w:p w14:paraId="5D35F6E2" w14:textId="77777777" w:rsidR="00AD13E8" w:rsidRDefault="00AD13E8" w:rsidP="00672CE5">
      <w:pPr>
        <w:pStyle w:val="PEPS"/>
      </w:pPr>
      <w:r w:rsidRPr="00947196">
        <w:lastRenderedPageBreak/>
        <w:t>Textes en projet :</w:t>
      </w:r>
    </w:p>
    <w:p w14:paraId="7A4D35B5" w14:textId="77777777" w:rsidR="00EA7ACB" w:rsidRDefault="00BB0F1B" w:rsidP="00EA7ACB">
      <w:pPr>
        <w:pStyle w:val="PEPS"/>
        <w:rPr>
          <w:rFonts w:ascii="Calibri" w:eastAsia="Calibri" w:hAnsi="Calibri" w:cs="Times New Roman"/>
          <w:b w:val="0"/>
          <w:color w:val="auto"/>
          <w:sz w:val="22"/>
          <w:szCs w:val="21"/>
          <w:lang w:eastAsia="en-US"/>
        </w:rPr>
      </w:pPr>
      <w:hyperlink r:id="rId24" w:history="1">
        <w:r w:rsidR="00EA7ACB">
          <w:rPr>
            <w:rStyle w:val="Lienhypertexte"/>
            <w:rFonts w:ascii="Calibri" w:eastAsia="Calibri" w:hAnsi="Calibri" w:cs="Times New Roman"/>
            <w:b w:val="0"/>
            <w:sz w:val="22"/>
            <w:szCs w:val="21"/>
            <w:lang w:eastAsia="en-US"/>
          </w:rPr>
          <w:t>https://peps.sante.gouv.fr/textes_projets/projets.html</w:t>
        </w:r>
      </w:hyperlink>
    </w:p>
    <w:p w14:paraId="7F125963"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4AE08719" w14:textId="77777777" w:rsidR="00402BA6" w:rsidRDefault="00402BA6" w:rsidP="00126647">
      <w:pPr>
        <w:pStyle w:val="PEPS"/>
        <w:rPr>
          <w:rFonts w:ascii="Calibri" w:eastAsia="Calibri" w:hAnsi="Calibri" w:cs="Times New Roman"/>
          <w:b w:val="0"/>
          <w:color w:val="auto"/>
          <w:sz w:val="22"/>
          <w:szCs w:val="21"/>
          <w:lang w:eastAsia="en-US"/>
        </w:rPr>
      </w:pPr>
    </w:p>
    <w:p w14:paraId="41619757" w14:textId="77777777" w:rsidR="00BB0F1B" w:rsidRPr="00126647" w:rsidRDefault="00BB0F1B" w:rsidP="00126647">
      <w:pPr>
        <w:pStyle w:val="PEPS"/>
        <w:rPr>
          <w:rFonts w:ascii="Calibri" w:eastAsia="Calibri" w:hAnsi="Calibri" w:cs="Times New Roman"/>
          <w:b w:val="0"/>
          <w:color w:val="auto"/>
          <w:sz w:val="22"/>
          <w:szCs w:val="21"/>
          <w:lang w:eastAsia="en-US"/>
        </w:rPr>
      </w:pPr>
    </w:p>
    <w:p w14:paraId="22AB97A3"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2BE4FB9E" w14:textId="77777777" w:rsidR="00930CE0" w:rsidRDefault="00930CE0" w:rsidP="00672CE5">
      <w:pPr>
        <w:pStyle w:val="PEPS"/>
      </w:pPr>
      <w:r>
        <w:t>Actualité réglementaire</w:t>
      </w:r>
      <w:r w:rsidRPr="00947196">
        <w:t> :</w:t>
      </w:r>
    </w:p>
    <w:p w14:paraId="0A95A71B" w14:textId="77777777" w:rsidR="00AC503D" w:rsidRDefault="00BB0F1B" w:rsidP="00AC503D">
      <w:pPr>
        <w:pStyle w:val="PEPS"/>
        <w:rPr>
          <w:rFonts w:ascii="Calibri" w:eastAsia="Calibri" w:hAnsi="Calibri" w:cs="Times New Roman"/>
          <w:b w:val="0"/>
          <w:color w:val="auto"/>
          <w:sz w:val="22"/>
          <w:szCs w:val="21"/>
          <w:lang w:eastAsia="en-US"/>
        </w:rPr>
      </w:pPr>
      <w:hyperlink r:id="rId25"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2A386DF5"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52BC7CA0" w14:textId="77777777" w:rsidR="00BF2844" w:rsidRDefault="00BF2844" w:rsidP="00BF2844">
      <w:pPr>
        <w:pStyle w:val="Textebrut"/>
      </w:pPr>
      <w:r>
        <w:t>Décret n° 2024-1117 du 4 décembre 2024 modifiant les conditions d'accès aux concours sur titres des pharmaciens de sapeurs-pompiers professionnels.</w:t>
      </w:r>
    </w:p>
    <w:p w14:paraId="2405EE6D" w14:textId="77777777" w:rsidR="00BF2844" w:rsidRDefault="00BF2844" w:rsidP="00BF2844">
      <w:pPr>
        <w:pStyle w:val="Textebrut"/>
      </w:pPr>
      <w:r>
        <w:t>Notice : le décret modifie les conditions d'accès aux concours sur titres des pharmaciens de sapeurs-pompiers professionnels afin de permettre aux pharmaciens autorisés à exercer au sein d'une pharmacie à usage intérieur en application de l'article R. 5126-3 du code de la santé publique d'y concourir</w:t>
      </w:r>
    </w:p>
    <w:p w14:paraId="4A5E557F" w14:textId="4A639973" w:rsidR="00694ADC" w:rsidRDefault="00BB0F1B" w:rsidP="00BF2844">
      <w:pPr>
        <w:pStyle w:val="Textebrut"/>
      </w:pPr>
      <w:hyperlink r:id="rId26" w:history="1">
        <w:r w:rsidR="00BF2844" w:rsidRPr="002813FC">
          <w:rPr>
            <w:rStyle w:val="Lienhypertexte"/>
          </w:rPr>
          <w:t>https://www.legifrance.gouv.fr/jorf/id/JORFTEXT000050730050</w:t>
        </w:r>
      </w:hyperlink>
    </w:p>
    <w:p w14:paraId="07DEE692" w14:textId="77777777" w:rsidR="00BF2844" w:rsidRDefault="00BF2844" w:rsidP="00BF2844">
      <w:pPr>
        <w:pStyle w:val="Textebrut"/>
      </w:pPr>
    </w:p>
    <w:p w14:paraId="3C0DF222" w14:textId="77777777" w:rsidR="004613C0" w:rsidRDefault="004613C0" w:rsidP="004613C0">
      <w:pPr>
        <w:pStyle w:val="Textebrut"/>
      </w:pPr>
      <w:bookmarkStart w:id="0" w:name="_Hlk184634032"/>
      <w:r>
        <w:t>Décret n° 2024-1132 du 4 décembre 2024 relatif aux obligations de formation de certains professionnels de santé pour la vaccination contre la covid 19 et la grippe saisonnière.</w:t>
      </w:r>
    </w:p>
    <w:p w14:paraId="7E0EC57C" w14:textId="77777777" w:rsidR="004613C0" w:rsidRDefault="004613C0" w:rsidP="004613C0">
      <w:pPr>
        <w:pStyle w:val="Textebrut"/>
      </w:pPr>
      <w:r>
        <w:t>Notice : le décret modifie les conditions dans lesquelles les infirmiers, pharmaciens d'officine, pharmacies à usage intérieur et laboratoires de biologie médicale peuvent administrer et prescrire les vaccins contre la grippe saisonnière et la covid-19</w:t>
      </w:r>
    </w:p>
    <w:p w14:paraId="0047478E" w14:textId="52F1A2B8" w:rsidR="004613C0" w:rsidRDefault="00BB0F1B" w:rsidP="004613C0">
      <w:pPr>
        <w:pStyle w:val="Textebrut"/>
      </w:pPr>
      <w:hyperlink r:id="rId27" w:history="1">
        <w:r w:rsidR="004613C0" w:rsidRPr="002813FC">
          <w:rPr>
            <w:rStyle w:val="Lienhypertexte"/>
          </w:rPr>
          <w:t>https://www.legifrance.gouv.fr/jorf/id/JORFTEXT000050731158</w:t>
        </w:r>
      </w:hyperlink>
    </w:p>
    <w:p w14:paraId="04FA26F8" w14:textId="77777777" w:rsidR="004613C0" w:rsidRDefault="004613C0" w:rsidP="004613C0">
      <w:pPr>
        <w:pStyle w:val="Textebrut"/>
      </w:pPr>
    </w:p>
    <w:p w14:paraId="0D24FCFD" w14:textId="77777777" w:rsidR="005C010E" w:rsidRDefault="005C010E" w:rsidP="005C010E">
      <w:pPr>
        <w:pStyle w:val="Textebrut"/>
      </w:pPr>
      <w:r>
        <w:t>Arrêté du 4 décembre 2024 modifiant l'arrêté du 8 août 2023 fixant le cahier des charges relatif aux conditions techniques à respecter pour exercer l'activité de vaccination et les objectifs pédagogiques de la formation à suivre par certains professionnels de santé en application des articles R. 4311-5-1, R. 5125-33-8, R. 5126-9-1 et R. 6212-2 du code de la santé publique (autorise l’administration de vaccins par le préparateur en pharmacie, formé, sous la supervision d’un pharmacien lui-même formé)</w:t>
      </w:r>
    </w:p>
    <w:p w14:paraId="460E4BD2" w14:textId="2DFE255B" w:rsidR="005C010E" w:rsidRDefault="00BB0F1B" w:rsidP="005C010E">
      <w:pPr>
        <w:pStyle w:val="Textebrut"/>
      </w:pPr>
      <w:hyperlink r:id="rId28" w:history="1">
        <w:r w:rsidR="005C010E" w:rsidRPr="002813FC">
          <w:rPr>
            <w:rStyle w:val="Lienhypertexte"/>
          </w:rPr>
          <w:t>https://www.legifrance.gouv.fr/jorf/id/JORFTEXT000050731441</w:t>
        </w:r>
      </w:hyperlink>
    </w:p>
    <w:p w14:paraId="2649B0F6" w14:textId="2082694C" w:rsidR="005C010E" w:rsidRDefault="005C010E" w:rsidP="005C010E">
      <w:pPr>
        <w:pStyle w:val="Textebrut"/>
      </w:pPr>
      <w:r>
        <w:t>Arrêté du 4 décembre 2024 modifiant l'arrêté du 8 août 2023 fixant la liste des vaccins que certains professionnels de santé et étudiants sont autorisés à prescrire ou administrer et la liste des personnes pouvant en bénéficier en application des articles L. 4151-2, L. 4311-1, L. 5125-1-1 A, L. 5126-1, L. 6153-5, L. 6212-3 du code de la santé publique (autorise également les préparateurs en pharmacie à administrer les vaccins prescrits, autorise les infirmiers, les sage-femmes et pharmaciens à vacciner à partir de 5 ans contre la grippe et le covid-19, autorise (en dur) les étudiants de 3ème cycle à administrer les vaccins contre le covid-19)</w:t>
      </w:r>
    </w:p>
    <w:p w14:paraId="7E9AF6A2" w14:textId="750558D9" w:rsidR="005C010E" w:rsidRDefault="00BB0F1B" w:rsidP="005C010E">
      <w:pPr>
        <w:pStyle w:val="Textebrut"/>
      </w:pPr>
      <w:hyperlink r:id="rId29" w:history="1">
        <w:r w:rsidR="005C010E" w:rsidRPr="002813FC">
          <w:rPr>
            <w:rStyle w:val="Lienhypertexte"/>
          </w:rPr>
          <w:t>https://www.legifrance.gouv.fr/jorf/id/JORFTEXT000050731463</w:t>
        </w:r>
      </w:hyperlink>
    </w:p>
    <w:p w14:paraId="4990C2FD" w14:textId="24196DEE" w:rsidR="004613C0" w:rsidRDefault="004613C0" w:rsidP="005C010E">
      <w:pPr>
        <w:pStyle w:val="Textebrut"/>
      </w:pPr>
      <w:r>
        <w:t>Arrêté du 4 décembre 2024 fixant les conditions donnant lieu à la tarification des honoraires de vaccination dus au pharmacien d'officine en application du 14° de l'article L. 162-16-1 du code de la sécurité sociale</w:t>
      </w:r>
    </w:p>
    <w:p w14:paraId="6762F84E" w14:textId="44DE1550" w:rsidR="004613C0" w:rsidRDefault="00BB0F1B" w:rsidP="004613C0">
      <w:pPr>
        <w:pStyle w:val="Textebrut"/>
      </w:pPr>
      <w:hyperlink r:id="rId30" w:history="1">
        <w:r w:rsidR="004613C0" w:rsidRPr="002813FC">
          <w:rPr>
            <w:rStyle w:val="Lienhypertexte"/>
          </w:rPr>
          <w:t>https://www.legifrance.gouv.fr/jorf/id/JORFTEXT000050731415</w:t>
        </w:r>
      </w:hyperlink>
    </w:p>
    <w:bookmarkEnd w:id="0"/>
    <w:p w14:paraId="26A6A03B" w14:textId="77777777" w:rsidR="004613C0" w:rsidRDefault="004613C0" w:rsidP="004613C0">
      <w:pPr>
        <w:pStyle w:val="Textebrut"/>
      </w:pPr>
    </w:p>
    <w:p w14:paraId="5ADCA8C4" w14:textId="77777777" w:rsidR="004613C0" w:rsidRDefault="004613C0" w:rsidP="004613C0">
      <w:pPr>
        <w:pStyle w:val="Textebrut"/>
      </w:pPr>
      <w:r>
        <w:t>Décret n° 2024-1135 du 4 décembre 2024 relatif aux qualifications et à la formation des pharmaciens utilisant des médicaments radiopharmaceutiques ou des dispositifs médicaux implantables actifs, en sources non scellées, émetteurs de rayonnements ionisants.</w:t>
      </w:r>
    </w:p>
    <w:p w14:paraId="5E435EA3" w14:textId="77777777" w:rsidR="004613C0" w:rsidRDefault="004613C0" w:rsidP="004613C0">
      <w:pPr>
        <w:pStyle w:val="Textebrut"/>
      </w:pPr>
      <w:r>
        <w:t xml:space="preserve">Notice : ce décret vise à encadrer les conditions d'accès à l'activité de </w:t>
      </w:r>
      <w:proofErr w:type="spellStart"/>
      <w:r>
        <w:t>radiopharmacien</w:t>
      </w:r>
      <w:proofErr w:type="spellEnd"/>
      <w:r>
        <w:t>, par insertion d'une nouvelle disposition réglementaire dans le code de la santé publique, renvoyant à un arrêté le soin de définir les diplômes et niveaux de qualifications ou d'expérience conditionnant cet accès</w:t>
      </w:r>
    </w:p>
    <w:p w14:paraId="64822052" w14:textId="0BA5329A" w:rsidR="004613C0" w:rsidRDefault="00BB0F1B" w:rsidP="004613C0">
      <w:pPr>
        <w:pStyle w:val="Textebrut"/>
      </w:pPr>
      <w:hyperlink r:id="rId31" w:history="1">
        <w:r w:rsidR="004613C0" w:rsidRPr="002813FC">
          <w:rPr>
            <w:rStyle w:val="Lienhypertexte"/>
          </w:rPr>
          <w:t>https://www.legifrance.gouv.fr/jorf/id/JORFTEXT000050731183</w:t>
        </w:r>
      </w:hyperlink>
    </w:p>
    <w:p w14:paraId="6F1ED8E8" w14:textId="505F929E" w:rsidR="004613C0" w:rsidRDefault="004613C0" w:rsidP="004613C0">
      <w:pPr>
        <w:pStyle w:val="Textebrut"/>
      </w:pPr>
      <w:r>
        <w:t>Arrêté du 4 décembre 2024 fixant la liste des diplômes, attestations et niveaux d'expérience mentionnés à l'article D. 6124-190-1 du code de la santé publique</w:t>
      </w:r>
      <w:r w:rsidR="006B72C6">
        <w:t xml:space="preserve"> (abroge l’arrêté du 01/12/2003)</w:t>
      </w:r>
    </w:p>
    <w:p w14:paraId="0335CE17" w14:textId="09DECDED" w:rsidR="00BF2844" w:rsidRDefault="00BB0F1B" w:rsidP="004613C0">
      <w:pPr>
        <w:pStyle w:val="Textebrut"/>
      </w:pPr>
      <w:hyperlink r:id="rId32" w:history="1">
        <w:r w:rsidR="004613C0" w:rsidRPr="002813FC">
          <w:rPr>
            <w:rStyle w:val="Lienhypertexte"/>
          </w:rPr>
          <w:t>https://www.legifrance.gouv.fr/jorf/id/JORFTEXT000050731480</w:t>
        </w:r>
      </w:hyperlink>
    </w:p>
    <w:p w14:paraId="38B0A066" w14:textId="77777777" w:rsidR="004613C0" w:rsidRDefault="004613C0" w:rsidP="004613C0">
      <w:pPr>
        <w:pStyle w:val="Textebrut"/>
      </w:pPr>
    </w:p>
    <w:p w14:paraId="5901FA32" w14:textId="77777777" w:rsidR="00D80747" w:rsidRDefault="00D80747" w:rsidP="00D80747">
      <w:pPr>
        <w:pStyle w:val="Textebrut"/>
      </w:pPr>
      <w:r>
        <w:lastRenderedPageBreak/>
        <w:t>Décret n° 2024-1133 du 4 décembre 2024 relatif au recrutement de praticiens contractuels par les établissements publics de santé en application du 2° de l'article R. 6152-338 du code de la santé publique.</w:t>
      </w:r>
    </w:p>
    <w:p w14:paraId="3BE83F82" w14:textId="77777777" w:rsidR="00D80747" w:rsidRDefault="00D80747" w:rsidP="00D80747">
      <w:pPr>
        <w:pStyle w:val="Textebrut"/>
      </w:pPr>
      <w:r>
        <w:t>Notice : le décret précise les conditions de recours aux contrats mentionnés au 2° de l'article R. 6152-338 par les établissements publics de santé. Il réserve ces contrats aux cas de difficultés particulières de recrutement ou d'exercice pour une activité nécessaire à l'offre de soins sur le territoire, pour des fonctions nécessitant des compétences hautement spécialisées ou en cas de risque avéré sur la continuité de l'offre de soins sur le territoire. Il crée une condition d'ancienneté pour le recrutement sur ce contrat et fixe une durée et une quotité minimales du contrat. Il précise les conditions de versement de la part variable de rémunération. Enfin, il encadre le recrutement des praticiens hospitaliers en disponibilité</w:t>
      </w:r>
    </w:p>
    <w:p w14:paraId="061CCB57" w14:textId="7EE06640" w:rsidR="004613C0" w:rsidRDefault="00BB0F1B" w:rsidP="00D80747">
      <w:pPr>
        <w:pStyle w:val="Textebrut"/>
      </w:pPr>
      <w:hyperlink r:id="rId33" w:history="1">
        <w:r w:rsidR="00D80747" w:rsidRPr="002813FC">
          <w:rPr>
            <w:rStyle w:val="Lienhypertexte"/>
          </w:rPr>
          <w:t>https://www.legifrance.gouv.fr/jorf/id/JORFTEXT000050731165</w:t>
        </w:r>
      </w:hyperlink>
    </w:p>
    <w:p w14:paraId="3FE7BFD0" w14:textId="77777777" w:rsidR="00D80747" w:rsidRDefault="00D80747" w:rsidP="00D80747">
      <w:pPr>
        <w:pStyle w:val="Textebrut"/>
      </w:pPr>
    </w:p>
    <w:p w14:paraId="2DDE0167" w14:textId="77777777" w:rsidR="008759C4" w:rsidRDefault="008759C4" w:rsidP="008759C4">
      <w:pPr>
        <w:pStyle w:val="Textebrut"/>
      </w:pPr>
      <w:r>
        <w:t>Arrêté du 6 décembre 2024 modifiant l'arrêté du 27 juillet 2016 fixant la liste des classes thérapeutiques contenant des médicaments d'intérêt thérapeutique majeur mentionnés à l'article L. 5121-31 du code de la santé publique</w:t>
      </w:r>
    </w:p>
    <w:p w14:paraId="0473BAA6" w14:textId="632F887F" w:rsidR="008759C4" w:rsidRDefault="00BB0F1B" w:rsidP="008759C4">
      <w:pPr>
        <w:pStyle w:val="Textebrut"/>
      </w:pPr>
      <w:hyperlink r:id="rId34" w:history="1">
        <w:r w:rsidR="008759C4" w:rsidRPr="00FF10BB">
          <w:rPr>
            <w:rStyle w:val="Lienhypertexte"/>
          </w:rPr>
          <w:t>https://www.legifrance.gouv.fr/jorf/id/JORFTEXT000050755280</w:t>
        </w:r>
      </w:hyperlink>
    </w:p>
    <w:p w14:paraId="0B5DEF48" w14:textId="77777777" w:rsidR="008759C4" w:rsidRDefault="008759C4" w:rsidP="008759C4">
      <w:pPr>
        <w:pStyle w:val="Textebrut"/>
      </w:pPr>
    </w:p>
    <w:p w14:paraId="6EE623C6" w14:textId="77777777" w:rsidR="00817F21" w:rsidRDefault="00817F21" w:rsidP="00817F21">
      <w:pPr>
        <w:pStyle w:val="Textebrut"/>
      </w:pPr>
      <w:r>
        <w:t xml:space="preserve">Instruction n° DGS/PP1/2024/158 du 3 décembre 2024 relative à la validation et à la mise en </w:t>
      </w:r>
      <w:proofErr w:type="spellStart"/>
      <w:r>
        <w:t>oeuvre</w:t>
      </w:r>
      <w:proofErr w:type="spellEnd"/>
      <w:r>
        <w:t xml:space="preserve"> de la certification « hygiène et salubrité » pour le tatouage et le perçage corporel.</w:t>
      </w:r>
    </w:p>
    <w:p w14:paraId="0DF74610" w14:textId="77777777" w:rsidR="00817F21" w:rsidRDefault="00817F21" w:rsidP="00817F21">
      <w:pPr>
        <w:pStyle w:val="Textebrut"/>
      </w:pPr>
      <w:r>
        <w:t xml:space="preserve">Résumé : Transformation en certification de la formation « hygiène et salubrité » obligatoire pour la mise en </w:t>
      </w:r>
      <w:proofErr w:type="spellStart"/>
      <w:r>
        <w:t>oeuvre</w:t>
      </w:r>
      <w:proofErr w:type="spellEnd"/>
      <w:r>
        <w:t xml:space="preserve"> des techniques de tatouage et de perçage corporel, avec renouvellement de la mission d’habilitation des centres de formation complétée par la délivrance des certificats aux apprenants et de la mise en place d’un réseau de référents en ARS pour la mise en </w:t>
      </w:r>
      <w:proofErr w:type="spellStart"/>
      <w:r>
        <w:t>oeuvre</w:t>
      </w:r>
      <w:proofErr w:type="spellEnd"/>
      <w:r>
        <w:t xml:space="preserve"> de ces missions</w:t>
      </w:r>
    </w:p>
    <w:p w14:paraId="2997F8AC" w14:textId="6655274E" w:rsidR="008759C4" w:rsidRDefault="00BB0F1B" w:rsidP="00817F21">
      <w:pPr>
        <w:pStyle w:val="Textebrut"/>
      </w:pPr>
      <w:hyperlink r:id="rId35" w:history="1">
        <w:r w:rsidR="00817F21" w:rsidRPr="00F446F1">
          <w:rPr>
            <w:rStyle w:val="Lienhypertexte"/>
          </w:rPr>
          <w:t>https://portail.tessadoc.social.gouv.fr/recherche/viewnotice/id/967798</w:t>
        </w:r>
      </w:hyperlink>
    </w:p>
    <w:p w14:paraId="1D17967C" w14:textId="77777777" w:rsidR="00817F21" w:rsidRDefault="00817F21" w:rsidP="00817F21">
      <w:pPr>
        <w:pStyle w:val="Textebrut"/>
      </w:pPr>
    </w:p>
    <w:p w14:paraId="597F69A2" w14:textId="6E160888" w:rsidR="00817F21" w:rsidRDefault="00817F21" w:rsidP="00817F21">
      <w:pPr>
        <w:pStyle w:val="Textebrut"/>
      </w:pPr>
      <w:bookmarkStart w:id="1" w:name="_Hlk184718692"/>
      <w:r>
        <w:t xml:space="preserve">Décision </w:t>
      </w:r>
      <w:r w:rsidR="003C4977">
        <w:t xml:space="preserve">ANSM </w:t>
      </w:r>
      <w:r>
        <w:t>du 09/12/2024 portant radiation et inscription sur les listes I et II des substances vénéneuses définies à l’article L.5132-6 du code de la santé publique (ANSM, 10/12/2024).</w:t>
      </w:r>
    </w:p>
    <w:p w14:paraId="08044625" w14:textId="77777777" w:rsidR="00817F21" w:rsidRDefault="00817F21" w:rsidP="00817F21">
      <w:pPr>
        <w:pStyle w:val="Textebrut"/>
      </w:pPr>
      <w:r>
        <w:t>Sont radiés de la liste II des substances vénéneuses les médicaments contenant de la pseudoéphédrine non associée à d’autres substances actives dans une même unité de prise. Est classée sur la liste I des substances vénéneuses la pseudoéphédrine sous toutes ses formes</w:t>
      </w:r>
    </w:p>
    <w:p w14:paraId="6A2B4DF8" w14:textId="697B5E7D" w:rsidR="00817F21" w:rsidRDefault="00BB0F1B" w:rsidP="00817F21">
      <w:pPr>
        <w:pStyle w:val="Textebrut"/>
      </w:pPr>
      <w:hyperlink r:id="rId36" w:history="1">
        <w:r w:rsidR="00817F21" w:rsidRPr="00F446F1">
          <w:rPr>
            <w:rStyle w:val="Lienhypertexte"/>
          </w:rPr>
          <w:t>https://ansm.sante.fr/actualites/decision-du-09-12-2024-portant-radiation-et-inscription-sur-les-listes-i-et-ii-des-substances-veneneuses-definies-a-larticle-l-5132-6-du-code-de-la-sante-publique</w:t>
        </w:r>
      </w:hyperlink>
    </w:p>
    <w:p w14:paraId="53397E08" w14:textId="77777777" w:rsidR="00817F21" w:rsidRDefault="00817F21" w:rsidP="00817F21">
      <w:pPr>
        <w:pStyle w:val="Textebrut"/>
      </w:pPr>
      <w:bookmarkStart w:id="2" w:name="_Hlk184718724"/>
      <w:bookmarkEnd w:id="1"/>
      <w:r>
        <w:t>Rhume : ordonnance obligatoire pour toute dispensation de médicament à base de pseudoéphédrine (ANSM, 10/12/2024).</w:t>
      </w:r>
    </w:p>
    <w:p w14:paraId="5FA4D5E4" w14:textId="77777777" w:rsidR="00817F21" w:rsidRDefault="00817F21" w:rsidP="00817F21">
      <w:pPr>
        <w:pStyle w:val="Textebrut"/>
      </w:pPr>
      <w:r>
        <w:t>L’ANSM fait évoluer les conditions de dispensation des vasoconstricteurs oraux contenant de la pseudoéphédrine utilisés pour soulager les symptômes du rhume. A compter du 11 décembre 2024, une ordonnance devra obligatoirement être présentée pour obtenir ces médicaments en pharmacie.</w:t>
      </w:r>
    </w:p>
    <w:p w14:paraId="51AE75A0" w14:textId="77777777" w:rsidR="00817F21" w:rsidRDefault="00817F21" w:rsidP="00817F21">
      <w:pPr>
        <w:pStyle w:val="Textebrut"/>
      </w:pPr>
      <w:r>
        <w:t>Cette mesure s’inscrit dans la continuité des actions que nous avons engagées depuis plusieurs années pour limiter l'exposition des patients aux risques rares mais graves associés à ces médicaments (notamment infarctus du myocarde et accident vasculaire cérébral)</w:t>
      </w:r>
    </w:p>
    <w:p w14:paraId="2561C147" w14:textId="17107DB0" w:rsidR="00817F21" w:rsidRDefault="00BB0F1B" w:rsidP="00817F21">
      <w:pPr>
        <w:pStyle w:val="Textebrut"/>
      </w:pPr>
      <w:hyperlink r:id="rId37" w:history="1">
        <w:r w:rsidR="00817F21" w:rsidRPr="00F446F1">
          <w:rPr>
            <w:rStyle w:val="Lienhypertexte"/>
          </w:rPr>
          <w:t>https://ansm.sante.fr/actualites/rhume-ordonnance-obligatoire-pour-toute-dispensation-de-medicament-a-base-de-pseudoephedrine</w:t>
        </w:r>
      </w:hyperlink>
      <w:bookmarkEnd w:id="2"/>
    </w:p>
    <w:p w14:paraId="3C728B21" w14:textId="77777777" w:rsidR="00817F21" w:rsidRDefault="00817F21" w:rsidP="00817F21">
      <w:pPr>
        <w:pStyle w:val="Textebrut"/>
      </w:pPr>
    </w:p>
    <w:p w14:paraId="16BBB685" w14:textId="6A5D9A01" w:rsidR="00A534FC" w:rsidRDefault="00A534FC" w:rsidP="00A534FC">
      <w:pPr>
        <w:pStyle w:val="Textebrut"/>
      </w:pPr>
      <w:r>
        <w:t>Arrêté du 4 décembre 2024 autorisant au titre de l'année 2025 l'ouverture de concours externe et interne pour le recrutement de pharmaciens inspecteurs de santé publique</w:t>
      </w:r>
      <w:r w:rsidR="00451CA0" w:rsidRPr="00451CA0">
        <w:t xml:space="preserve"> (le nombre de postes offerts n’est pas encore défini)</w:t>
      </w:r>
    </w:p>
    <w:p w14:paraId="4FDA6600" w14:textId="2992AA43" w:rsidR="00817F21" w:rsidRDefault="00BB0F1B" w:rsidP="00A534FC">
      <w:pPr>
        <w:pStyle w:val="Textebrut"/>
      </w:pPr>
      <w:hyperlink r:id="rId38" w:history="1">
        <w:r w:rsidR="00A534FC" w:rsidRPr="00BE1A5B">
          <w:rPr>
            <w:rStyle w:val="Lienhypertexte"/>
          </w:rPr>
          <w:t>https://www.legifrance.gouv.fr/jorf/id/JORFTEXT000050763956</w:t>
        </w:r>
      </w:hyperlink>
    </w:p>
    <w:p w14:paraId="631A2AE9" w14:textId="77777777" w:rsidR="00A534FC" w:rsidRDefault="00A534FC" w:rsidP="00A534FC">
      <w:pPr>
        <w:pStyle w:val="Textebrut"/>
      </w:pPr>
    </w:p>
    <w:p w14:paraId="4B41864F" w14:textId="77777777" w:rsidR="001F5360" w:rsidRDefault="001F5360" w:rsidP="001F5360">
      <w:pPr>
        <w:pStyle w:val="Textebrut"/>
      </w:pPr>
      <w:r>
        <w:t>Décret n° 2024-1176 du 12 décembre 2024 relatif aux modalités de déclaration des médicaments d'intérêt thérapeutique majeur à l'Agence nationale de sécurité du médicament et des produits de santé.</w:t>
      </w:r>
    </w:p>
    <w:p w14:paraId="2BCA5865" w14:textId="77777777" w:rsidR="001F5360" w:rsidRDefault="001F5360" w:rsidP="001F5360">
      <w:pPr>
        <w:pStyle w:val="Textebrut"/>
      </w:pPr>
      <w:r>
        <w:t xml:space="preserve">Notice : le décret définit les conditions dans lesquelles les titulaires d'autorisation de mise sur le marché et les entreprises pharmaceutiques exploitant un médicament déclarent à l'Agence nationale de sécurité du médicament et des produits de santé la liste des médicaments qu'ils considèrent être des médicaments d'intérêt thérapeutique majeur. Il précise la procédure contradictoire permettant à l'agence de requalifier un médicament </w:t>
      </w:r>
      <w:r>
        <w:lastRenderedPageBreak/>
        <w:t>en tant que médicament d'intérêt thérapeutique majeur s'il ne figure pas sur la liste (et inversement de s'opposer au retrait d'un médicament de la liste). Il adapte en outre la définition de la rupture d'approvisionnement en renvoyant à celle fixée à l'article L. 5121-29 du code de la santé publique</w:t>
      </w:r>
    </w:p>
    <w:p w14:paraId="7DB1DDD0" w14:textId="3917A9F0" w:rsidR="00FB0E90" w:rsidRDefault="00BB0F1B" w:rsidP="001F5360">
      <w:pPr>
        <w:pStyle w:val="Textebrut"/>
      </w:pPr>
      <w:hyperlink r:id="rId39" w:history="1">
        <w:r w:rsidR="001F5360" w:rsidRPr="00995B50">
          <w:rPr>
            <w:rStyle w:val="Lienhypertexte"/>
          </w:rPr>
          <w:t>https://www.legifrance.gouv.fr/jorf/id/JORFTEXT000050771378</w:t>
        </w:r>
      </w:hyperlink>
    </w:p>
    <w:p w14:paraId="204933AC" w14:textId="77777777" w:rsidR="001F5360" w:rsidRDefault="001F5360" w:rsidP="001F5360">
      <w:pPr>
        <w:pStyle w:val="Textebrut"/>
      </w:pPr>
    </w:p>
    <w:p w14:paraId="688EA2AF" w14:textId="77777777" w:rsidR="007014B2" w:rsidRDefault="007014B2" w:rsidP="007014B2">
      <w:pPr>
        <w:pStyle w:val="Textebrut"/>
      </w:pPr>
      <w:r>
        <w:t>Arrêté du 2 décembre 2024 fixant la liste des personnes autorisées à exercer en France la profession de pharmacien dans la spécialité « biologie médicale » en application des dispositions de l'article L. 4221-12 du code de la santé publique et du IV de l'article 83 de la loi n° 2006-1640 du 21 décembre 2006 de financement de la sécurité sociale pour 2007 modifiée</w:t>
      </w:r>
    </w:p>
    <w:p w14:paraId="5ED50C66" w14:textId="45D7D12C" w:rsidR="007014B2" w:rsidRDefault="00BB0F1B" w:rsidP="007014B2">
      <w:pPr>
        <w:pStyle w:val="Textebrut"/>
      </w:pPr>
      <w:hyperlink r:id="rId40" w:history="1">
        <w:r w:rsidR="007014B2" w:rsidRPr="008220B9">
          <w:rPr>
            <w:rStyle w:val="Lienhypertexte"/>
          </w:rPr>
          <w:t>https://www.legifrance.gouv.fr/jorf/id/JORFTEXT000050777441</w:t>
        </w:r>
      </w:hyperlink>
    </w:p>
    <w:p w14:paraId="0C864157" w14:textId="5CEF2E6E" w:rsidR="007014B2" w:rsidRDefault="007014B2" w:rsidP="007014B2">
      <w:pPr>
        <w:pStyle w:val="Textebrut"/>
      </w:pPr>
      <w:r>
        <w:t>Arrêté du 2 décembre 2024 fixant la liste des personnes autorisées à exercer en France la profession de pharmacien dans la spécialité « biologie médicale » en application des dispositions du V de l'article 83 de la loi n° 2006-1640 du 21 décembre 2006 de financement de la sécurité sociale pour 2007 modifiée</w:t>
      </w:r>
    </w:p>
    <w:p w14:paraId="4EB33C4A" w14:textId="1E554FC6" w:rsidR="001F5360" w:rsidRDefault="00BB0F1B" w:rsidP="007014B2">
      <w:pPr>
        <w:pStyle w:val="Textebrut"/>
      </w:pPr>
      <w:hyperlink r:id="rId41" w:history="1">
        <w:r w:rsidR="007014B2" w:rsidRPr="008220B9">
          <w:rPr>
            <w:rStyle w:val="Lienhypertexte"/>
          </w:rPr>
          <w:t>https://www.legifrance.gouv.fr/jorf/id/JORFTEXT000050777445</w:t>
        </w:r>
      </w:hyperlink>
    </w:p>
    <w:p w14:paraId="71CF316B" w14:textId="77777777" w:rsidR="007014B2" w:rsidRDefault="007014B2" w:rsidP="007014B2">
      <w:pPr>
        <w:pStyle w:val="Textebrut"/>
      </w:pPr>
    </w:p>
    <w:p w14:paraId="32F864E9" w14:textId="77777777" w:rsidR="000350E8" w:rsidRDefault="000350E8" w:rsidP="000350E8">
      <w:pPr>
        <w:pStyle w:val="Textebrut"/>
      </w:pPr>
      <w:r>
        <w:t>Note d’information interministérielle n° DGOS/SDRHSS/DGCS/4B/2024/162 du 30 novembre 2024 relative aux orientations retenues en 2025 en matière de développement des compétences des personnels des établissements mentionnés à l'article 57 de la loi n° 2019-828 du 6 août 2019 de transformation de la fonction publique.</w:t>
      </w:r>
    </w:p>
    <w:p w14:paraId="7E4417BB" w14:textId="77777777" w:rsidR="000350E8" w:rsidRDefault="000350E8" w:rsidP="000350E8">
      <w:pPr>
        <w:pStyle w:val="Textebrut"/>
      </w:pPr>
      <w:r>
        <w:t>Résumé : La présente note d’information a pour objet d’impulser, dans les établissements relevant de la fonction publique hospitalière de l’ensemble du territoire, des axes de développement des compétences des personnels en soutien aux politiques sanitaires, sociales et médico-sociales portées au niveau national. À cet effet, sont proposées pour 2025, 11 fiches descriptives prioritaires comprenant 4 actions de formation nationale et sont actualisées 10 fiches de 2022 et 7 fiches de 2020 [</w:t>
      </w:r>
      <w:proofErr w:type="spellStart"/>
      <w:r>
        <w:t>NdlR</w:t>
      </w:r>
      <w:proofErr w:type="spellEnd"/>
      <w:r>
        <w:t xml:space="preserve"> : concerne notamment la en charge palliative et accompagnement de la fin de vie et le don d’organes et de tissus à l’hôpital]</w:t>
      </w:r>
    </w:p>
    <w:p w14:paraId="059D5B45" w14:textId="604B05A4" w:rsidR="007014B2" w:rsidRDefault="00BB0F1B" w:rsidP="000350E8">
      <w:pPr>
        <w:pStyle w:val="Textebrut"/>
      </w:pPr>
      <w:hyperlink r:id="rId42" w:history="1">
        <w:r w:rsidR="000350E8" w:rsidRPr="008220B9">
          <w:rPr>
            <w:rStyle w:val="Lienhypertexte"/>
          </w:rPr>
          <w:t>https://portail.tessadoc.social.gouv.fr/recherche/viewnotice/clef/NOTEDINFORMATIONINTERMINISTERIELLENDGOSSDRHSSDGCS4B2024162DU30NOVEMBRE202-----2024-17/id/967790/</w:t>
        </w:r>
      </w:hyperlink>
    </w:p>
    <w:p w14:paraId="5DDB73FE" w14:textId="77777777" w:rsidR="000350E8" w:rsidRDefault="000350E8" w:rsidP="000350E8">
      <w:pPr>
        <w:pStyle w:val="Textebrut"/>
      </w:pPr>
    </w:p>
    <w:p w14:paraId="3097988E" w14:textId="77777777" w:rsidR="00E115DC" w:rsidRDefault="00E115DC" w:rsidP="00E115DC">
      <w:pPr>
        <w:pStyle w:val="Textebrut"/>
      </w:pPr>
      <w:r>
        <w:t xml:space="preserve">Arrêté du 11 décembre 2024 modifiant l'arrêté du 17 juin 2024 fixant les modalités de délivrance de médicaments sans ordonnance après la réalisation d'un test rapide d'orientation diagnostique, les modalités de formation spécifique des pharmaciens d'officine en la matière et précisant les conditions de recours à une ordonnance de dispensation conditionnelle (ajout d’exigences relatives à la formation et correction d’anomalies de l’arrêté initial, comme la suppression de la </w:t>
      </w:r>
      <w:proofErr w:type="spellStart"/>
      <w:r>
        <w:t>josamycine</w:t>
      </w:r>
      <w:proofErr w:type="spellEnd"/>
      <w:r>
        <w:t xml:space="preserve"> de la liste des antibiotiques pour le traitement des angines, le produit n’étant plus commercialisé. A regarder de plus près…)</w:t>
      </w:r>
    </w:p>
    <w:p w14:paraId="00150E61" w14:textId="15620B8E" w:rsidR="00E115DC" w:rsidRDefault="00BB0F1B" w:rsidP="00E115DC">
      <w:pPr>
        <w:pStyle w:val="Textebrut"/>
      </w:pPr>
      <w:hyperlink r:id="rId43" w:history="1">
        <w:r w:rsidR="00E115DC" w:rsidRPr="00D1446A">
          <w:rPr>
            <w:rStyle w:val="Lienhypertexte"/>
          </w:rPr>
          <w:t>https://www.legifrance.gouv.fr/jorf/id/JORFTEXT000050784919</w:t>
        </w:r>
      </w:hyperlink>
    </w:p>
    <w:p w14:paraId="00927526" w14:textId="77777777" w:rsidR="00324CAE" w:rsidRDefault="00324CAE" w:rsidP="00324CAE">
      <w:pPr>
        <w:pStyle w:val="Textebrut"/>
      </w:pPr>
      <w:r>
        <w:t>Dispensation de médicaments suite à un TROD à l’officine : évolution des modalités de prise en charge et de formation (CNOP, 19/12/2024).</w:t>
      </w:r>
    </w:p>
    <w:p w14:paraId="0DA4F0C6" w14:textId="77777777" w:rsidR="00324CAE" w:rsidRDefault="00324CAE" w:rsidP="00324CAE">
      <w:pPr>
        <w:pStyle w:val="Textebrut"/>
      </w:pPr>
      <w:r>
        <w:t>Un nouvel arrêté, modifiant celui du 17 juin 2024, fixe les nouvelles modalités de délivrance de médicaments après la réalisation d'un test rapide d’orientation diagnostique (TROD) et de formation spécifique des pharmaciens d'officine</w:t>
      </w:r>
    </w:p>
    <w:p w14:paraId="1165BCBC" w14:textId="3D8DB8AC" w:rsidR="00E115DC" w:rsidRDefault="00BB0F1B" w:rsidP="00324CAE">
      <w:pPr>
        <w:pStyle w:val="Textebrut"/>
      </w:pPr>
      <w:hyperlink r:id="rId44" w:history="1">
        <w:r w:rsidR="00324CAE" w:rsidRPr="00947EAE">
          <w:rPr>
            <w:rStyle w:val="Lienhypertexte"/>
          </w:rPr>
          <w:t>https://www.ordre.pharmacien.fr/les-communications/focus-sur/les-actualites/dispensation-de-medicaments-suite-a-un-trod-a-l-officine-evolution-des-modalites-de-prise-en-charge-et-de-formation</w:t>
        </w:r>
      </w:hyperlink>
    </w:p>
    <w:p w14:paraId="6B1B138A" w14:textId="77777777" w:rsidR="00324CAE" w:rsidRDefault="00324CAE" w:rsidP="00324CAE">
      <w:pPr>
        <w:pStyle w:val="Textebrut"/>
      </w:pPr>
    </w:p>
    <w:p w14:paraId="42D553C3" w14:textId="77777777" w:rsidR="00E115DC" w:rsidRDefault="00E115DC" w:rsidP="00E115DC">
      <w:pPr>
        <w:pStyle w:val="Textebrut"/>
      </w:pPr>
      <w:r>
        <w:t>Arrêté du 27 novembre 2024 portant définition et fixant les conditions de délivrance du brevet de technicien supérieur « Biologie médicale » (ce nouveau BTS « biologie médicale » remplace le BTS « analyses de biologie médicale » défini selon l’arrêté du 20/06/2007)</w:t>
      </w:r>
    </w:p>
    <w:p w14:paraId="420D776B" w14:textId="0A5D5DE3" w:rsidR="000350E8" w:rsidRDefault="00BB0F1B" w:rsidP="00E115DC">
      <w:pPr>
        <w:pStyle w:val="Textebrut"/>
      </w:pPr>
      <w:hyperlink r:id="rId45" w:history="1">
        <w:r w:rsidR="00E115DC" w:rsidRPr="00D1446A">
          <w:rPr>
            <w:rStyle w:val="Lienhypertexte"/>
          </w:rPr>
          <w:t>https://www.legifrance.gouv.fr/jorf/id/JORFTEXT000050785189</w:t>
        </w:r>
      </w:hyperlink>
    </w:p>
    <w:p w14:paraId="21FF865E" w14:textId="77777777" w:rsidR="00E115DC" w:rsidRDefault="00E115DC" w:rsidP="00E115DC">
      <w:pPr>
        <w:pStyle w:val="Textebrut"/>
      </w:pPr>
    </w:p>
    <w:p w14:paraId="0D2D2E20" w14:textId="77777777" w:rsidR="00BB0F1B" w:rsidRDefault="00BB0F1B" w:rsidP="00E115DC">
      <w:pPr>
        <w:pStyle w:val="Textebrut"/>
      </w:pPr>
    </w:p>
    <w:p w14:paraId="11BD1534" w14:textId="77777777" w:rsidR="00BB0F1B" w:rsidRDefault="00BB0F1B" w:rsidP="00E115DC">
      <w:pPr>
        <w:pStyle w:val="Textebrut"/>
      </w:pPr>
    </w:p>
    <w:p w14:paraId="47E5FD8D" w14:textId="77777777" w:rsidR="00324CAE" w:rsidRDefault="00324CAE" w:rsidP="00324CAE">
      <w:pPr>
        <w:pStyle w:val="Textebrut"/>
      </w:pPr>
      <w:r>
        <w:lastRenderedPageBreak/>
        <w:t>Décision ANSM du 18/12/2024 portant exonération à la réglementation des substances vénéneuses destinées à la médecine humaine (</w:t>
      </w:r>
      <w:proofErr w:type="spellStart"/>
      <w:r>
        <w:t>féxofénadine</w:t>
      </w:r>
      <w:proofErr w:type="spellEnd"/>
      <w:r>
        <w:t xml:space="preserve"> pour le traitement symptomatique de la rhinite allergique chez l’adulte et l’adolescent de plus de 12 ans, en bte de 7 </w:t>
      </w:r>
      <w:proofErr w:type="spellStart"/>
      <w:r>
        <w:t>cp</w:t>
      </w:r>
      <w:proofErr w:type="spellEnd"/>
      <w:r>
        <w:t>)</w:t>
      </w:r>
    </w:p>
    <w:p w14:paraId="5ED748E2" w14:textId="55629675" w:rsidR="00E115DC" w:rsidRDefault="00BB0F1B" w:rsidP="00324CAE">
      <w:pPr>
        <w:pStyle w:val="Textebrut"/>
      </w:pPr>
      <w:hyperlink r:id="rId46" w:history="1">
        <w:r w:rsidR="00324CAE" w:rsidRPr="00947EAE">
          <w:rPr>
            <w:rStyle w:val="Lienhypertexte"/>
          </w:rPr>
          <w:t>https://ansm.sante.fr/actualites/decision-du-18-12-2024-portant-exoneration-a-la-reglementation-des-substances-veneneuses-destinees-a-la-medecine-humaine</w:t>
        </w:r>
      </w:hyperlink>
    </w:p>
    <w:p w14:paraId="58F6B332" w14:textId="77777777" w:rsidR="00324CAE" w:rsidRDefault="00324CAE" w:rsidP="00324CAE">
      <w:pPr>
        <w:pStyle w:val="Textebrut"/>
      </w:pPr>
    </w:p>
    <w:p w14:paraId="5A5ADCFC" w14:textId="77777777" w:rsidR="00283F25" w:rsidRDefault="00283F25" w:rsidP="00283F25">
      <w:pPr>
        <w:pStyle w:val="Textebrut"/>
      </w:pPr>
      <w:r>
        <w:t>Décret n° 2024-1190 du 19 décembre 2024 relatif aux praticiens associés contractuels temporaires.</w:t>
      </w:r>
    </w:p>
    <w:p w14:paraId="3F908D98" w14:textId="77777777" w:rsidR="00283F25" w:rsidRDefault="00283F25" w:rsidP="00283F25">
      <w:pPr>
        <w:pStyle w:val="Textebrut"/>
      </w:pPr>
      <w:r>
        <w:t>Publics concernés : médecins, chirurgiens-dentistes, et pharmaciens titulaires de diplômes obtenus dans un Etat non-membre de l'Union européenne et non-inscrits à l'ordre des professions concernée.</w:t>
      </w:r>
    </w:p>
    <w:p w14:paraId="38682C0F" w14:textId="2794CA40" w:rsidR="00283F25" w:rsidRDefault="00283F25" w:rsidP="00283F25">
      <w:pPr>
        <w:pStyle w:val="Textebrut"/>
      </w:pPr>
      <w:r>
        <w:t>Objet : création du statut de praticien associé contractuel temporaire.</w:t>
      </w:r>
    </w:p>
    <w:p w14:paraId="6ADC89AF" w14:textId="77777777" w:rsidR="00283F25" w:rsidRDefault="00283F25" w:rsidP="00283F25">
      <w:pPr>
        <w:pStyle w:val="Textebrut"/>
      </w:pPr>
      <w:r>
        <w:t>Notice : le décret définit les conditions de recrutement et d'exercice des praticiens associés contractuels temporaires ainsi que le cadre statutaire général applicable à cette catégorie de personnels médicaux non titulaires</w:t>
      </w:r>
    </w:p>
    <w:p w14:paraId="1F73D450" w14:textId="355BC732" w:rsidR="00283F25" w:rsidRDefault="00BB0F1B" w:rsidP="00283F25">
      <w:pPr>
        <w:pStyle w:val="Textebrut"/>
      </w:pPr>
      <w:hyperlink r:id="rId47" w:history="1">
        <w:r w:rsidR="00283F25" w:rsidRPr="005E258C">
          <w:rPr>
            <w:rStyle w:val="Lienhypertexte"/>
          </w:rPr>
          <w:t>https://www.legifrance.gouv.fr/jorf/id/JORFTEXT000050805280</w:t>
        </w:r>
      </w:hyperlink>
    </w:p>
    <w:p w14:paraId="25A14317" w14:textId="77777777" w:rsidR="00283F25" w:rsidRDefault="00283F25" w:rsidP="00283F25">
      <w:pPr>
        <w:pStyle w:val="Textebrut"/>
      </w:pPr>
    </w:p>
    <w:p w14:paraId="46429BC5" w14:textId="77777777" w:rsidR="00283F25" w:rsidRDefault="00283F25" w:rsidP="00283F25">
      <w:pPr>
        <w:pStyle w:val="Textebrut"/>
        <w:rPr>
          <w:szCs w:val="22"/>
        </w:rPr>
      </w:pPr>
      <w:r>
        <w:t>Décret n° 2024-1191 du 19 décembre 2024 relatif aux modalités de délivrance de l'attestation permettant un exercice provisoire mentionnée aux articles L. 4111-2-1 et L. 4221-12-1 du code de la santé publique.</w:t>
      </w:r>
    </w:p>
    <w:p w14:paraId="045E9E73" w14:textId="77777777" w:rsidR="00283F25" w:rsidRDefault="00283F25" w:rsidP="00283F25">
      <w:pPr>
        <w:pStyle w:val="Textebrut"/>
      </w:pPr>
      <w:r>
        <w:t>Notice : le décret vise à mettre en œuvre le dispositif d'attestation d'exercice provisoire de treize mois. Ce dispositif permet aux professionnels médicaux ou de la pharmacie diplômés en dehors de l'Union européenne (PADHUE) et n'ayant pas encore validé le concours annuel des épreuves de vérification des connaissances (EVC) de pouvoir exercer dans des conditions sécurisées</w:t>
      </w:r>
    </w:p>
    <w:p w14:paraId="3CF15900" w14:textId="77777777" w:rsidR="00283F25" w:rsidRDefault="00BB0F1B" w:rsidP="00283F25">
      <w:pPr>
        <w:pStyle w:val="Textebrut"/>
      </w:pPr>
      <w:hyperlink r:id="rId48" w:history="1">
        <w:r w:rsidR="00283F25">
          <w:rPr>
            <w:rStyle w:val="Lienhypertexte"/>
          </w:rPr>
          <w:t>https://www.legifrance.gouv.fr/jorf/id/JORFTEXT000050805349</w:t>
        </w:r>
      </w:hyperlink>
    </w:p>
    <w:p w14:paraId="11F029D2" w14:textId="77777777" w:rsidR="00283F25" w:rsidRDefault="00283F25" w:rsidP="00283F25">
      <w:pPr>
        <w:pStyle w:val="Textebrut"/>
      </w:pPr>
    </w:p>
    <w:p w14:paraId="107656B8" w14:textId="77777777" w:rsidR="00DC15A6" w:rsidRDefault="00DC15A6" w:rsidP="00DC15A6">
      <w:pPr>
        <w:pStyle w:val="Textebrut"/>
      </w:pPr>
      <w:r>
        <w:t>En attendant la publication du décret qui intervient habituellement entre le 26 et le 31 décembre :</w:t>
      </w:r>
    </w:p>
    <w:p w14:paraId="26E995B4" w14:textId="77777777" w:rsidR="00DC15A6" w:rsidRDefault="00DC15A6" w:rsidP="00DC15A6">
      <w:pPr>
        <w:pStyle w:val="Textebrut"/>
      </w:pPr>
      <w:r>
        <w:t>Populations de référence 2022 - Recensement de la population Régions, départements, arrondissements, cantons et communes (INSEE, 19/12/2024).</w:t>
      </w:r>
    </w:p>
    <w:p w14:paraId="6A20F174" w14:textId="77777777" w:rsidR="00DC15A6" w:rsidRDefault="00DC15A6" w:rsidP="00DC15A6">
      <w:pPr>
        <w:pStyle w:val="Textebrut"/>
      </w:pPr>
      <w:r>
        <w:t>Le terme populations de référence se substitue à l’ancien terme de populations légales utilisé jusqu’aux populations 2021. Ce changement s’appuie sur une recommandation de l’autorité de la statistique publique</w:t>
      </w:r>
    </w:p>
    <w:p w14:paraId="1292DC0B" w14:textId="4C3DE5A5" w:rsidR="00283F25" w:rsidRDefault="00BB0F1B" w:rsidP="00DC15A6">
      <w:pPr>
        <w:pStyle w:val="Textebrut"/>
      </w:pPr>
      <w:hyperlink r:id="rId49" w:history="1">
        <w:r w:rsidR="00DC15A6" w:rsidRPr="001F558D">
          <w:rPr>
            <w:rStyle w:val="Lienhypertexte"/>
          </w:rPr>
          <w:t>https://www.insee.fr/fr/statistiques/8290669</w:t>
        </w:r>
      </w:hyperlink>
    </w:p>
    <w:p w14:paraId="3E398140" w14:textId="77777777" w:rsidR="00DC15A6" w:rsidRDefault="00DC15A6" w:rsidP="00DC15A6">
      <w:pPr>
        <w:pStyle w:val="Textebrut"/>
      </w:pPr>
    </w:p>
    <w:p w14:paraId="7D2531B1" w14:textId="77777777" w:rsidR="001175D8" w:rsidRDefault="001175D8" w:rsidP="001175D8">
      <w:pPr>
        <w:pStyle w:val="Textebrut"/>
      </w:pPr>
      <w:r>
        <w:t>Instruction interministérielle n° DGS/SP/MVI/DGCS/SD3/2024/183 du 3 décembre 2024 relative à l'organisation d'une campagne nationale de vaccination contre les infections à papillomavirus humains (HPV) au sein des établissements médico-sociaux accueillant des jeunes en situation de handicap de 11 à 14 ans à partir de la rentrée 2024-2025.</w:t>
      </w:r>
    </w:p>
    <w:p w14:paraId="16F03F80" w14:textId="77777777" w:rsidR="001175D8" w:rsidRDefault="001175D8" w:rsidP="001175D8">
      <w:pPr>
        <w:pStyle w:val="Textebrut"/>
      </w:pPr>
      <w:r>
        <w:t>Résumé : La présente instruction a pour objet de préciser le cadre organisationnel et les modalités de suivi de la campagne nationale de vaccination contre les infections à papillomavirus humains organisée à partir de la rentrée scolaire 2024, dans les établissements médico-sociaux du champ du handicap accueillant des jeunes âgés de 11 à 14 ans.</w:t>
      </w:r>
    </w:p>
    <w:p w14:paraId="14FAE95B" w14:textId="66CF4424" w:rsidR="001175D8" w:rsidRDefault="00BB0F1B" w:rsidP="001175D8">
      <w:pPr>
        <w:pStyle w:val="Textebrut"/>
      </w:pPr>
      <w:hyperlink r:id="rId50" w:history="1">
        <w:r w:rsidR="001175D8" w:rsidRPr="00391D0D">
          <w:rPr>
            <w:rStyle w:val="Lienhypertexte"/>
          </w:rPr>
          <w:t>https://portail.tessadoc.social.gouv.fr/recherche/viewnotice/id/967914</w:t>
        </w:r>
      </w:hyperlink>
    </w:p>
    <w:p w14:paraId="0022CDB4" w14:textId="77777777" w:rsidR="001175D8" w:rsidRDefault="001175D8" w:rsidP="001175D8">
      <w:pPr>
        <w:pStyle w:val="Textebrut"/>
      </w:pPr>
    </w:p>
    <w:p w14:paraId="78D6FEFA" w14:textId="77777777" w:rsidR="001175D8" w:rsidRDefault="001175D8" w:rsidP="001175D8">
      <w:pPr>
        <w:pStyle w:val="Textebrut"/>
      </w:pPr>
      <w:r>
        <w:t>Arrêté du 20 décembre 2024 fixant la liste des personnes autorisées à exercer en France la profession de pharmacien en application des dispositions de l'article L. 4221-12 du code de la santé publique et du IV de l'article 83 de la loi n° 2006-1640 du 21 décembre 2006 de financement de la sécurité sociale pour 2007 modifiée</w:t>
      </w:r>
    </w:p>
    <w:p w14:paraId="13F6A553" w14:textId="0E26CA25" w:rsidR="001175D8" w:rsidRDefault="00BB0F1B" w:rsidP="001175D8">
      <w:pPr>
        <w:pStyle w:val="Textebrut"/>
      </w:pPr>
      <w:hyperlink r:id="rId51" w:history="1">
        <w:r w:rsidR="001175D8" w:rsidRPr="00391D0D">
          <w:rPr>
            <w:rStyle w:val="Lienhypertexte"/>
          </w:rPr>
          <w:t>https://www.legifrance.gouv.fr/jorf/id/JORFTEXT000050831175</w:t>
        </w:r>
      </w:hyperlink>
    </w:p>
    <w:p w14:paraId="1732376A" w14:textId="6D313622" w:rsidR="001175D8" w:rsidRDefault="001175D8" w:rsidP="001175D8">
      <w:pPr>
        <w:pStyle w:val="Textebrut"/>
      </w:pPr>
      <w:r>
        <w:t>Arrêté du 20 décembre 2024 fixant la liste des personnes autorisées à exercer en France la profession de pharmacien en application des dispositions de l'article L. 4221-14-2 du code de la santé publique</w:t>
      </w:r>
    </w:p>
    <w:p w14:paraId="74D17749" w14:textId="0AC76447" w:rsidR="001175D8" w:rsidRDefault="00BB0F1B" w:rsidP="001175D8">
      <w:pPr>
        <w:pStyle w:val="Textebrut"/>
      </w:pPr>
      <w:hyperlink r:id="rId52" w:history="1">
        <w:r w:rsidR="001175D8" w:rsidRPr="00391D0D">
          <w:rPr>
            <w:rStyle w:val="Lienhypertexte"/>
          </w:rPr>
          <w:t>https://www.legifrance.gouv.fr/jorf/id/JORFTEXT000050831179</w:t>
        </w:r>
      </w:hyperlink>
    </w:p>
    <w:p w14:paraId="05955B65" w14:textId="0CE97F9E" w:rsidR="001175D8" w:rsidRDefault="001175D8" w:rsidP="001175D8">
      <w:pPr>
        <w:pStyle w:val="Textebrut"/>
      </w:pPr>
      <w:r>
        <w:t>Arrêté du 20 décembre 2024 fixant la liste des personnes autorisées à exercer en France la profession de pharmacien en application des dispositions de l'article L. 4221-14-1 du code de la santé publique</w:t>
      </w:r>
    </w:p>
    <w:p w14:paraId="3F72A3DB" w14:textId="7FD9A7A8" w:rsidR="001175D8" w:rsidRDefault="00BB0F1B" w:rsidP="001175D8">
      <w:pPr>
        <w:pStyle w:val="Textebrut"/>
      </w:pPr>
      <w:hyperlink r:id="rId53" w:history="1">
        <w:r w:rsidR="001175D8" w:rsidRPr="00391D0D">
          <w:rPr>
            <w:rStyle w:val="Lienhypertexte"/>
          </w:rPr>
          <w:t>https://www.legifrance.gouv.fr/jorf/id/JORFTEXT000050831182</w:t>
        </w:r>
      </w:hyperlink>
    </w:p>
    <w:p w14:paraId="206A7FAD" w14:textId="2D5560E3" w:rsidR="001175D8" w:rsidRDefault="001175D8" w:rsidP="001175D8">
      <w:pPr>
        <w:pStyle w:val="Textebrut"/>
      </w:pPr>
      <w:r>
        <w:lastRenderedPageBreak/>
        <w:t>Arrêté du 20 décembre 2024 fixant la liste des personnes autorisées à exercer en France la profession de pharmacien au sein d'une pharmacie à usage intérieur en application des dispositions de l'article R. 5126-4 du code de la santé publique</w:t>
      </w:r>
    </w:p>
    <w:p w14:paraId="21175D93" w14:textId="1EDAF112" w:rsidR="001175D8" w:rsidRDefault="00BB0F1B" w:rsidP="001175D8">
      <w:pPr>
        <w:pStyle w:val="Textebrut"/>
      </w:pPr>
      <w:hyperlink r:id="rId54" w:history="1">
        <w:r w:rsidR="001175D8" w:rsidRPr="00391D0D">
          <w:rPr>
            <w:rStyle w:val="Lienhypertexte"/>
          </w:rPr>
          <w:t>https://www.legifrance.gouv.fr/jorf/id/JORFTEXT000050831185</w:t>
        </w:r>
      </w:hyperlink>
    </w:p>
    <w:p w14:paraId="0ACBBB9A" w14:textId="2352230D" w:rsidR="001175D8" w:rsidRDefault="001175D8" w:rsidP="001175D8">
      <w:pPr>
        <w:pStyle w:val="Textebrut"/>
      </w:pPr>
      <w:r>
        <w:t>Arrêté du 20 décembre 2024 fixant la liste des personnes autorisées à exercer en France la profession de pharmacien en application des dispositions de l'article L. 4221-9 du code de la santé publique</w:t>
      </w:r>
    </w:p>
    <w:p w14:paraId="1DF18961" w14:textId="3129B96B" w:rsidR="00DC15A6" w:rsidRDefault="00BB0F1B" w:rsidP="001175D8">
      <w:pPr>
        <w:pStyle w:val="Textebrut"/>
      </w:pPr>
      <w:hyperlink r:id="rId55" w:history="1">
        <w:r w:rsidR="001175D8" w:rsidRPr="00391D0D">
          <w:rPr>
            <w:rStyle w:val="Lienhypertexte"/>
          </w:rPr>
          <w:t>https://www.legifrance.gouv.fr/jorf/id/JORFTEXT000050831188</w:t>
        </w:r>
      </w:hyperlink>
    </w:p>
    <w:p w14:paraId="02DCEAD6" w14:textId="77777777" w:rsidR="00C73E01" w:rsidRDefault="00C73E01" w:rsidP="00F8571B">
      <w:pPr>
        <w:pStyle w:val="Textebrut"/>
      </w:pPr>
    </w:p>
    <w:p w14:paraId="5ABE11A3" w14:textId="77777777" w:rsidR="00583DCB" w:rsidRDefault="00583DCB" w:rsidP="00583DCB">
      <w:pPr>
        <w:pStyle w:val="Textebrut"/>
      </w:pPr>
      <w:r>
        <w:t>Note d'information interministérielle n° DGOS/RI2/DSS/1C/DGS/PP2/2024/160 du 3 décembre 2024 relative aux modalités de dispensation, de facturation et de prise en charge des médicaments d’intérêt thérapeutique majeur ou des médicaments faisant l’objet d’une autorisation d’importation, vendus au public par les pharmacies à usage intérieur dans un contexte de rupture ou de risque de rupture de stock, ci-jointe.</w:t>
      </w:r>
    </w:p>
    <w:p w14:paraId="48B77FD1" w14:textId="77777777" w:rsidR="00583DCB" w:rsidRDefault="00583DCB" w:rsidP="00583DCB">
      <w:pPr>
        <w:pStyle w:val="Textebrut"/>
      </w:pPr>
      <w:r>
        <w:t>Résumé : La présente note a pour objet de préciser les modalités de délivrance au public, de facturation et de prise en charge, d’une part, des médicaments d’intérêt thérapeutique majeur (MITM) en rupture ou risque de rupture de stock et autorisés par l’Agence nationale de sécurité du médicament et des produits de santé à la vente au public par les pharmacies à usage intérieur (PUI) et, d’autre part, des médicaments faisant l’objet d’une autorisation d’importation pour palier une rupture de stock, un risque de rupture de stock ou un arrêt de commercialisation et inscrits à ce titre sur la liste mentionnée au premier alinéa de l’article L. 5126-6 du Code de la santé publique (liste de rétrocession)</w:t>
      </w:r>
    </w:p>
    <w:p w14:paraId="42AF5A74" w14:textId="77777777" w:rsidR="00583DCB" w:rsidRDefault="00583DCB" w:rsidP="00583DCB">
      <w:pPr>
        <w:pStyle w:val="Textebrut"/>
      </w:pPr>
      <w:hyperlink r:id="rId56" w:history="1">
        <w:r w:rsidRPr="004E0D85">
          <w:rPr>
            <w:rStyle w:val="Lienhypertexte"/>
          </w:rPr>
          <w:t>https://portail.tessadoc.social.gouv.fr/recherche/viewnotice/id/967946</w:t>
        </w:r>
      </w:hyperlink>
    </w:p>
    <w:p w14:paraId="5C2DF2B3" w14:textId="77777777" w:rsidR="00583DCB" w:rsidRDefault="00583DCB" w:rsidP="00583DCB">
      <w:pPr>
        <w:pStyle w:val="Textebrut"/>
      </w:pPr>
    </w:p>
    <w:p w14:paraId="21F916A5" w14:textId="77777777" w:rsidR="00583DCB" w:rsidRDefault="00583DCB" w:rsidP="00583DCB">
      <w:pPr>
        <w:pStyle w:val="Textebrut"/>
      </w:pPr>
      <w:r>
        <w:t>Arrêté du 6 décembre 2024 portant modification de la liste des actes et prestations mentionnée à l'article L. 162-1-7 du code de la sécurité sociale (modification de l’acte de détection du génome des virus Influenza A et B de la grippe est réalisée sur prélèvement nasopharyngé par RT-PCR en vue de permettre la détection de virus influenza zoonotiques)</w:t>
      </w:r>
    </w:p>
    <w:p w14:paraId="6BE6789A" w14:textId="77777777" w:rsidR="00583DCB" w:rsidRDefault="00583DCB" w:rsidP="00583DCB">
      <w:pPr>
        <w:pStyle w:val="Textebrut"/>
      </w:pPr>
      <w:hyperlink r:id="rId57" w:history="1">
        <w:r w:rsidRPr="004E0D85">
          <w:rPr>
            <w:rStyle w:val="Lienhypertexte"/>
          </w:rPr>
          <w:t>https://www.legifrance.gouv.fr/jorf/id/JORFTEXT000050934936</w:t>
        </w:r>
      </w:hyperlink>
    </w:p>
    <w:p w14:paraId="03ADA2C9" w14:textId="77777777" w:rsidR="00583DCB" w:rsidRDefault="00583DCB" w:rsidP="00583DCB">
      <w:pPr>
        <w:pStyle w:val="Textebrut"/>
      </w:pPr>
    </w:p>
    <w:p w14:paraId="39F058BB" w14:textId="77777777" w:rsidR="00C54EAF" w:rsidRDefault="00C54EAF" w:rsidP="00C54EAF">
      <w:pPr>
        <w:pStyle w:val="Textebrut"/>
      </w:pPr>
      <w:r>
        <w:t xml:space="preserve">Arrêté du 27 décembre 2024 fixant la liste des pièces justificatives mentionnées aux articles R. 6115-2 du code de la santé publique et R. 313-30-6 du code de l'action sociale et des familles. </w:t>
      </w:r>
      <w:proofErr w:type="spellStart"/>
      <w:r>
        <w:t>NdlR</w:t>
      </w:r>
      <w:proofErr w:type="spellEnd"/>
      <w:r>
        <w:t> : justifier d’une durée d’exercice minimale avant de pouvoir exercer en intérim dans un établissement</w:t>
      </w:r>
    </w:p>
    <w:p w14:paraId="5488DD51" w14:textId="77777777" w:rsidR="00C54EAF" w:rsidRDefault="00C54EAF" w:rsidP="00C54EAF">
      <w:pPr>
        <w:pStyle w:val="Textebrut"/>
      </w:pPr>
      <w:hyperlink r:id="rId58" w:history="1">
        <w:r w:rsidRPr="004E0D85">
          <w:rPr>
            <w:rStyle w:val="Lienhypertexte"/>
          </w:rPr>
          <w:t>https://www.legifrance.gouv.fr/jorf/id/JORFTEXT000050872181</w:t>
        </w:r>
      </w:hyperlink>
    </w:p>
    <w:p w14:paraId="219F4F09" w14:textId="77777777" w:rsidR="00C54EAF" w:rsidRDefault="00C54EAF" w:rsidP="00C54EAF">
      <w:pPr>
        <w:pStyle w:val="Textebrut"/>
      </w:pPr>
    </w:p>
    <w:p w14:paraId="15E33176" w14:textId="77777777" w:rsidR="00631141" w:rsidRDefault="00631141" w:rsidP="00631141">
      <w:pPr>
        <w:pStyle w:val="Textebrut"/>
      </w:pPr>
      <w:r>
        <w:t>Décret n° 2024-1238 du 30 décembre 2024 relatif à la protection des travailleurs contre les risques dus aux rayonnements ionisants.</w:t>
      </w:r>
    </w:p>
    <w:p w14:paraId="47ED399C" w14:textId="77777777" w:rsidR="00631141" w:rsidRDefault="00631141" w:rsidP="00631141">
      <w:pPr>
        <w:pStyle w:val="Textebrut"/>
      </w:pPr>
      <w:r>
        <w:t>Notice : la loi n° 2024-450 du 21 mai 2024 relative à l'organisation de la gouvernance de la sûreté nucléaire et de la radioprotection pour répondre au défi de la relance de la filière nucléaire crée l'Autorité de sûreté nucléaire et de radioprotection (ASNR) au 1er janvier 2025. Cette création nécessite de modifier tous les articles du code du travail qui mentionnent l'Institut de radioprotection et de sûreté nucléaire (IRSN) pour le remplacer par l'ASNR, à l'exception des activités de dosimétrie à lecture différée reprises par le Commissariat à l'énergie atomique (CEA). Outre la substitution des noms d'IRSN et ASN par celui de l'ASNR, il est nécessaire de faire évoluer certains dispositifs en lien avec ces missions pour tenir compte du statut d'autorité administrative indépendante de la nouvelle entité et de la réunion au sein d'une même entité d'activités de contrôle, d'expertise et de fourniture de prestations faisant l'objet d'une rémunération pour services rendus à des tiers. Par ailleurs, ce décret crée la « zone de sécurité radiologique » pour des situations particulières et clarifie la démarche de prévention du risque d'exposition professionnelle au radon provenant du sol. Enfin, ce décret opère la transformation des certificats de conseillers en radioprotection (CRP) et de certificats d'aptitude à la manipulation d'appareils de radiologie industrielle (CAMARI) en certifications professionnelles en cohérence avec le droit commun de la formation professionnelle tel qu'issu de la loi n° 2018-771 du 5 septembre 2018 pour la liberté de choisir son avenir professionnel. Il parachève également la reconnaissance du système d'experts et d'opérationnels de la radioprotection exigée par la directive 2013/59/Euratom du 5 décembre 2013</w:t>
      </w:r>
    </w:p>
    <w:p w14:paraId="72C7E2EC" w14:textId="77777777" w:rsidR="00631141" w:rsidRDefault="00631141" w:rsidP="00631141">
      <w:pPr>
        <w:pStyle w:val="Textebrut"/>
      </w:pPr>
      <w:hyperlink r:id="rId59" w:history="1">
        <w:r w:rsidRPr="004E0D85">
          <w:rPr>
            <w:rStyle w:val="Lienhypertexte"/>
          </w:rPr>
          <w:t>https://www.legifrance.gouv.fr/jorf/id/JORFTEXT000050871487</w:t>
        </w:r>
      </w:hyperlink>
    </w:p>
    <w:p w14:paraId="79595BFC" w14:textId="77777777" w:rsidR="00631141" w:rsidRDefault="00631141" w:rsidP="00631141">
      <w:pPr>
        <w:pStyle w:val="Textebrut"/>
      </w:pPr>
    </w:p>
    <w:p w14:paraId="0E3BE0B6" w14:textId="77777777" w:rsidR="00631141" w:rsidRDefault="00631141" w:rsidP="00631141">
      <w:pPr>
        <w:pStyle w:val="Textebrut"/>
      </w:pPr>
      <w:r>
        <w:lastRenderedPageBreak/>
        <w:t>Décret n° 2024-1250 du 30 décembre 2024 relatif à la tutelle du ministre chargé de la consommation sur l'Agence nationale de sécurité sanitaire de l'alimentation, de l'environnement et du travail et portant diverses dispositions relatives aux produits cosmétiques.</w:t>
      </w:r>
    </w:p>
    <w:p w14:paraId="2A2870D3" w14:textId="77777777" w:rsidR="00631141" w:rsidRDefault="00631141" w:rsidP="00631141">
      <w:pPr>
        <w:pStyle w:val="Textebrut"/>
      </w:pPr>
      <w:r>
        <w:t>Objet : le texte retire le ministère chargé de la consommation de la liste des tutelles de l'ANSES et précise les modalités du transfert de l'ANSM à la DGCCRF de la mission de délivrance des certificats à l'export des produits cosmétiques. Il précise également les modalités d'information du consommateur lors de la vente en vrac de cosmétiques.</w:t>
      </w:r>
    </w:p>
    <w:p w14:paraId="6C7D05CC" w14:textId="77777777" w:rsidR="00631141" w:rsidRDefault="00631141" w:rsidP="00631141">
      <w:pPr>
        <w:pStyle w:val="Textebrut"/>
      </w:pPr>
      <w:r>
        <w:t>Notice : le décret modifie plusieurs dispositions du code de la santé publique, notamment pour tirer les conséquences de la réforme de la surveillance du marché des cosmétiques. Il a pour objet, d'une part, de retirer le ministre chargé de la consommation de la liste des ministres chargés de la tutelle de l'ANSES en vue de redéfinir sur une base plus ciblée les relations avec l'Agence. D'autre part, il désigne la DGCCRF comme autorité compétente pour l'émission de certificats attestant du respect des bonnes pratiques de fabrication mentionnées à l'article 8 du règlement (CE) n° 1223/2009 du Parlement européen et du Conseil du 30 novembre 2009 relatif aux produits cosmétiques pour l'exportation de produits cosmétiques vers des Etats qui ne sont ni membres de l'Union européenne ni parties à l'accord sur l'Espace économique européen. Afin d'assurer le transfert de l'activité entre l'ANSM et la DGCCRF, le décret prévoit des dispositions transitoires pour permettre la bonne poursuite des opérations. Enfin, il définit les modes d'information du consommateur lors de la vente de produits cosmétiques présentés non préemballés, emballés sur les lieux de vente ou préemballés en vue de leur vente immédiate</w:t>
      </w:r>
    </w:p>
    <w:p w14:paraId="686C6875" w14:textId="6A1693A3" w:rsidR="00583DCB" w:rsidRDefault="00631141" w:rsidP="00583DCB">
      <w:pPr>
        <w:pStyle w:val="Textebrut"/>
      </w:pPr>
      <w:hyperlink r:id="rId60" w:history="1">
        <w:r w:rsidRPr="004E0D85">
          <w:rPr>
            <w:rStyle w:val="Lienhypertexte"/>
          </w:rPr>
          <w:t>https://www.legifrance.gouv.fr/jorf/id/JORFTEXT000050872385</w:t>
        </w:r>
      </w:hyperlink>
    </w:p>
    <w:p w14:paraId="5281AC68" w14:textId="77777777" w:rsidR="00631141" w:rsidRDefault="00631141" w:rsidP="00583DCB">
      <w:pPr>
        <w:pStyle w:val="Textebrut"/>
      </w:pPr>
    </w:p>
    <w:p w14:paraId="6B0234D3" w14:textId="77777777" w:rsidR="00631141" w:rsidRDefault="00631141" w:rsidP="00631141">
      <w:pPr>
        <w:pStyle w:val="Textebrut"/>
      </w:pPr>
      <w:r>
        <w:t>Décret n° 2024-1261 du 30 décembre 2024 portant publication de l'amendement à l'annexe I de la convention internationale contre le dopage dans le sport, adopté à Paris le 15 novembre 2024</w:t>
      </w:r>
    </w:p>
    <w:p w14:paraId="4EB17B83" w14:textId="77777777" w:rsidR="00631141" w:rsidRDefault="00631141" w:rsidP="00631141">
      <w:pPr>
        <w:pStyle w:val="Textebrut"/>
      </w:pPr>
      <w:hyperlink r:id="rId61" w:history="1">
        <w:r w:rsidRPr="004E0D85">
          <w:rPr>
            <w:rStyle w:val="Lienhypertexte"/>
          </w:rPr>
          <w:t>https://www.legifrance.gouv.fr/jorf/id/JORFTEXT000050873324</w:t>
        </w:r>
      </w:hyperlink>
    </w:p>
    <w:p w14:paraId="09DC29FC" w14:textId="77777777" w:rsidR="00631141" w:rsidRDefault="00631141" w:rsidP="00631141">
      <w:pPr>
        <w:pStyle w:val="Textebrut"/>
      </w:pPr>
    </w:p>
    <w:p w14:paraId="08383EE2" w14:textId="77777777" w:rsidR="00A21CC9" w:rsidRDefault="00A21CC9" w:rsidP="00A21CC9">
      <w:pPr>
        <w:pStyle w:val="Textebrut"/>
      </w:pPr>
      <w:r>
        <w:t>Décret n° 2024-1235 du 30 décembre 2024 relatif aux groupements de coopération sanitaires titulaires d'une autorisation d'activité de soins sans être érigés en établissement de santé et au financement de la prestation d'hébergement temporaire non médicalisé.</w:t>
      </w:r>
    </w:p>
    <w:p w14:paraId="70D12104" w14:textId="0FBEE865" w:rsidR="00A21CC9" w:rsidRDefault="00A21CC9" w:rsidP="00A21CC9">
      <w:pPr>
        <w:pStyle w:val="Textebrut"/>
      </w:pPr>
      <w:r>
        <w:t>Notice : le décret fixe la liste des activités de soins [</w:t>
      </w:r>
      <w:proofErr w:type="spellStart"/>
      <w:r>
        <w:t>NdlR</w:t>
      </w:r>
      <w:proofErr w:type="spellEnd"/>
      <w:r>
        <w:t xml:space="preserve"> : activité de médecine nucléaire, activité biologique d'assistance médicale à la procréation, activité de radiologie interventionnelle] pour lesquelles un groupement de coopération sanitaire de moyens peut détenir une autorisation sans être érigé en établissement de santé. Il prolonge par ailleurs les modalités de financement de la prestation d'hébergement temporaire non médicalisé</w:t>
      </w:r>
    </w:p>
    <w:p w14:paraId="21EC8A25" w14:textId="77777777" w:rsidR="00A21CC9" w:rsidRDefault="00A21CC9" w:rsidP="00A21CC9">
      <w:pPr>
        <w:pStyle w:val="Textebrut"/>
      </w:pPr>
      <w:hyperlink r:id="rId62" w:history="1">
        <w:r w:rsidRPr="004E0D85">
          <w:rPr>
            <w:rStyle w:val="Lienhypertexte"/>
          </w:rPr>
          <w:t>https://www.legifrance.gouv.fr/jorf/id/JORFTEXT000050871356</w:t>
        </w:r>
      </w:hyperlink>
    </w:p>
    <w:p w14:paraId="0A7C724E" w14:textId="77777777" w:rsidR="00A21CC9" w:rsidRDefault="00A21CC9" w:rsidP="00A21CC9">
      <w:pPr>
        <w:pStyle w:val="Textebrut"/>
      </w:pPr>
    </w:p>
    <w:p w14:paraId="1266FA16" w14:textId="77777777" w:rsidR="00A21CC9" w:rsidRDefault="00A21CC9" w:rsidP="00A21CC9">
      <w:pPr>
        <w:pStyle w:val="Textebrut"/>
      </w:pPr>
      <w:r>
        <w:t>Décret n° 2024-1276 du 31 décembre 2024 authentifiant les chiffres des populations de métropole, des départements d'outre-mer de la Guadeloupe, de la Guyane, de la Martinique et de La Réunion, et des collectivités de Saint-Barthélemy, de Saint-Martin et de Saint-Pierre-et-Miquelon</w:t>
      </w:r>
    </w:p>
    <w:p w14:paraId="1394E39B" w14:textId="77777777" w:rsidR="00A21CC9" w:rsidRDefault="00A21CC9" w:rsidP="00A21CC9">
      <w:pPr>
        <w:pStyle w:val="Textebrut"/>
      </w:pPr>
      <w:hyperlink r:id="rId63" w:history="1">
        <w:r w:rsidRPr="004E0D85">
          <w:rPr>
            <w:rStyle w:val="Lienhypertexte"/>
          </w:rPr>
          <w:t>https://www.legifrance.gouv.fr/jorf/id/JORFTEXT000050935068</w:t>
        </w:r>
      </w:hyperlink>
    </w:p>
    <w:p w14:paraId="615888A9" w14:textId="78FFD657" w:rsidR="00631141" w:rsidRDefault="00A21CC9" w:rsidP="00583DCB">
      <w:pPr>
        <w:pStyle w:val="Textebrut"/>
      </w:pPr>
      <w:r>
        <w:t>Le détail sur le site de l’INSEE :</w:t>
      </w:r>
    </w:p>
    <w:p w14:paraId="5CC2E2B8" w14:textId="26627B39" w:rsidR="00A21CC9" w:rsidRDefault="00A21CC9" w:rsidP="00583DCB">
      <w:pPr>
        <w:pStyle w:val="Textebrut"/>
      </w:pPr>
      <w:hyperlink r:id="rId64" w:history="1">
        <w:r w:rsidRPr="004E0D85">
          <w:rPr>
            <w:rStyle w:val="Lienhypertexte"/>
          </w:rPr>
          <w:t>https://www.insee.fr/fr/statistiques/8290669</w:t>
        </w:r>
      </w:hyperlink>
    </w:p>
    <w:p w14:paraId="0A12D0EC" w14:textId="77777777" w:rsidR="00583DCB" w:rsidRDefault="00583DCB" w:rsidP="00F8571B">
      <w:pPr>
        <w:pStyle w:val="Textebrut"/>
      </w:pPr>
    </w:p>
    <w:p w14:paraId="1F8F7130" w14:textId="77777777" w:rsidR="00A21CC9" w:rsidRDefault="00A21CC9" w:rsidP="00F8571B">
      <w:pPr>
        <w:pStyle w:val="Textebrut"/>
      </w:pPr>
    </w:p>
    <w:p w14:paraId="65D22733" w14:textId="77777777" w:rsidR="00A21CC9" w:rsidRDefault="00A21CC9" w:rsidP="00F8571B">
      <w:pPr>
        <w:pStyle w:val="Textebrut"/>
      </w:pPr>
    </w:p>
    <w:p w14:paraId="7029D5D4" w14:textId="77777777" w:rsidR="00C73E01" w:rsidRPr="0089584B" w:rsidRDefault="00BB0F1B" w:rsidP="00C73E01">
      <w:pPr>
        <w:pStyle w:val="PEPS"/>
      </w:pPr>
      <w:hyperlink r:id="rId65" w:history="1">
        <w:r w:rsidR="00C73E01" w:rsidRPr="0089584B">
          <w:t>Actualités</w:t>
        </w:r>
      </w:hyperlink>
      <w:r w:rsidR="00C73E01">
        <w:t xml:space="preserve"> Covid-19</w:t>
      </w:r>
      <w:r w:rsidR="00C73E01" w:rsidRPr="0089584B">
        <w:t> :</w:t>
      </w:r>
    </w:p>
    <w:p w14:paraId="0FFD07CD" w14:textId="77777777" w:rsidR="00C73E01" w:rsidRDefault="00C73E01" w:rsidP="00C73E01">
      <w:pPr>
        <w:pStyle w:val="Textebrut"/>
      </w:pPr>
    </w:p>
    <w:p w14:paraId="79210F86" w14:textId="77777777" w:rsidR="00AC503D" w:rsidRDefault="00AC503D" w:rsidP="00AC503D">
      <w:pPr>
        <w:pStyle w:val="Textebrut"/>
      </w:pPr>
      <w:r>
        <w:t>Vous retrouverez tout sur ce sujet sur la page d’actualités du PEPPS dédiée :</w:t>
      </w:r>
    </w:p>
    <w:p w14:paraId="045D6F89" w14:textId="77777777" w:rsidR="00C73E01" w:rsidRDefault="00BB0F1B" w:rsidP="00AC503D">
      <w:pPr>
        <w:pStyle w:val="Textebrut"/>
      </w:pPr>
      <w:hyperlink r:id="rId66" w:history="1">
        <w:r w:rsidR="00AC503D" w:rsidRPr="009D7C82">
          <w:rPr>
            <w:rStyle w:val="Lienhypertexte"/>
          </w:rPr>
          <w:t>https://peps.sante.gouv.fr/actu/ncov/actus_2019-ncov.html</w:t>
        </w:r>
      </w:hyperlink>
    </w:p>
    <w:p w14:paraId="0F8C84F5" w14:textId="77777777" w:rsidR="00C73E01" w:rsidRDefault="00C73E01" w:rsidP="00F8571B">
      <w:pPr>
        <w:pStyle w:val="Textebrut"/>
      </w:pPr>
    </w:p>
    <w:p w14:paraId="7126156D" w14:textId="77777777" w:rsidR="00697879" w:rsidRDefault="00697879" w:rsidP="00697879">
      <w:pPr>
        <w:pStyle w:val="Textebrut"/>
      </w:pPr>
      <w:r>
        <w:t>Décret n° 2024-1132 du 4 décembre 2024 relatif aux obligations de formation de certains professionnels de santé pour la vaccination contre la covid 19 et la grippe saisonnière.</w:t>
      </w:r>
    </w:p>
    <w:p w14:paraId="5D10EF75" w14:textId="77777777" w:rsidR="00697879" w:rsidRDefault="00697879" w:rsidP="00697879">
      <w:pPr>
        <w:pStyle w:val="Textebrut"/>
      </w:pPr>
      <w:r>
        <w:lastRenderedPageBreak/>
        <w:t>Notice : le décret modifie les conditions dans lesquelles les infirmiers, pharmaciens d'officine, pharmacies à usage intérieur et laboratoires de biologie médicale peuvent administrer et prescrire les vaccins contre la grippe saisonnière et la covid-19</w:t>
      </w:r>
    </w:p>
    <w:p w14:paraId="1CD56899" w14:textId="322AFA3A" w:rsidR="00AC503D" w:rsidRDefault="00BB0F1B" w:rsidP="00697879">
      <w:pPr>
        <w:pStyle w:val="Textebrut"/>
      </w:pPr>
      <w:hyperlink r:id="rId67" w:history="1">
        <w:r w:rsidR="00697879" w:rsidRPr="002813FC">
          <w:rPr>
            <w:rStyle w:val="Lienhypertexte"/>
          </w:rPr>
          <w:t>https://www.legifrance.gouv.fr/jorf/id/JORFTEXT000050731158</w:t>
        </w:r>
      </w:hyperlink>
    </w:p>
    <w:p w14:paraId="1A58EBA0" w14:textId="77777777" w:rsidR="00697879" w:rsidRDefault="00697879" w:rsidP="00697879">
      <w:pPr>
        <w:pStyle w:val="Textebrut"/>
      </w:pPr>
    </w:p>
    <w:p w14:paraId="54BEE637" w14:textId="77777777" w:rsidR="004E27B3" w:rsidRDefault="004E27B3" w:rsidP="004E27B3">
      <w:pPr>
        <w:pStyle w:val="Textebrut"/>
      </w:pPr>
      <w:r>
        <w:t>Leçons de la crise Covid : agir tôt, identifier vite et surveiller l’impact pour mieux protéger (Institut Pasteur, 04/12/2024).</w:t>
      </w:r>
    </w:p>
    <w:p w14:paraId="3A92B388" w14:textId="77777777" w:rsidR="004E27B3" w:rsidRDefault="004E27B3" w:rsidP="004E27B3">
      <w:pPr>
        <w:pStyle w:val="Textebrut"/>
      </w:pPr>
      <w:r>
        <w:t>Les experts scientifiques de 13 pays d’Europe de l’Ouest reviennent sur les grands enseignements à tirer de la gestion de la crise sanitaire Covid-19. Il ressort deux grandes leçons. D’abord, les pays qui ont pris des mesures tôt ont eu moins de décès. Par ailleurs, il est nécessaire de disposer d’un système de surveillance capable d’identifier rapidement la circulation communautaire d’un virus et son impact hospitalier</w:t>
      </w:r>
    </w:p>
    <w:p w14:paraId="470BDC9F" w14:textId="6A1980ED" w:rsidR="00697879" w:rsidRDefault="00BB0F1B" w:rsidP="004E27B3">
      <w:pPr>
        <w:pStyle w:val="Textebrut"/>
      </w:pPr>
      <w:hyperlink r:id="rId68" w:history="1">
        <w:r w:rsidR="004E27B3" w:rsidRPr="00FF10BB">
          <w:rPr>
            <w:rStyle w:val="Lienhypertexte"/>
          </w:rPr>
          <w:t>https://www.pasteur.fr/fr/journal-recherche/actualites/lecons-crise-covid-agir-tot-identifier-vite-surveiller-impact-mieux-proteger</w:t>
        </w:r>
      </w:hyperlink>
    </w:p>
    <w:p w14:paraId="6C39DDCE" w14:textId="77777777" w:rsidR="004E27B3" w:rsidRDefault="004E27B3" w:rsidP="004E27B3">
      <w:pPr>
        <w:pStyle w:val="Textebrut"/>
      </w:pPr>
    </w:p>
    <w:p w14:paraId="5E0F971C" w14:textId="64ACDB5B" w:rsidR="00592039" w:rsidRDefault="00592039" w:rsidP="00592039">
      <w:pPr>
        <w:pStyle w:val="Textebrut"/>
      </w:pPr>
      <w:r>
        <w:t>Étude des déterminants de la vaccination contre la Covid-19 chez les enfants âgés de 5-11 ans, France, 2021-2023</w:t>
      </w:r>
      <w:r w:rsidR="003F2779" w:rsidRPr="003F2779">
        <w:t xml:space="preserve"> (EPI-PHARE, 10/12/2024)</w:t>
      </w:r>
      <w:r w:rsidR="003F2779">
        <w:t>.</w:t>
      </w:r>
    </w:p>
    <w:p w14:paraId="71AB7C11" w14:textId="4492DC08" w:rsidR="003F2779" w:rsidRDefault="003F2779" w:rsidP="00592039">
      <w:pPr>
        <w:pStyle w:val="Textebrut"/>
      </w:pPr>
      <w:r w:rsidRPr="003F2779">
        <w:t>La vaccination contre la Covid-19 chez les enfants de 5-11 ans est restée très faible en France, avec 1 enfant à risque sur 13 vacciné, et globalement 1 enfant sur 20 vacciné. Ce faible taux de vaccination est en outre associé à un faible niveau socio-économique et au fait de résider dans le Sud-Est de la France métropolitaine</w:t>
      </w:r>
    </w:p>
    <w:p w14:paraId="4ED346CB" w14:textId="130BABBF" w:rsidR="004E27B3" w:rsidRDefault="00BB0F1B" w:rsidP="00592039">
      <w:pPr>
        <w:pStyle w:val="Textebrut"/>
      </w:pPr>
      <w:hyperlink r:id="rId69" w:history="1">
        <w:r w:rsidR="00592039" w:rsidRPr="00F446F1">
          <w:rPr>
            <w:rStyle w:val="Lienhypertexte"/>
          </w:rPr>
          <w:t>http://beh.santepubliquefrance.fr/beh/2024/25/2024_25_2.html</w:t>
        </w:r>
      </w:hyperlink>
    </w:p>
    <w:p w14:paraId="5D2354DA" w14:textId="77777777" w:rsidR="00592039" w:rsidRDefault="00592039" w:rsidP="00592039">
      <w:pPr>
        <w:pStyle w:val="Textebrut"/>
      </w:pPr>
    </w:p>
    <w:p w14:paraId="095FA7BB" w14:textId="77777777" w:rsidR="00D3228B" w:rsidRDefault="00D3228B" w:rsidP="00D3228B">
      <w:pPr>
        <w:pStyle w:val="Textebrut"/>
      </w:pPr>
      <w:r>
        <w:t>Covid-19 : une étude fondatrice défendue par Didier Raoult sur l’usage de l’hydroxychloroquine invalidée (Le Monde, 17/12/2024).</w:t>
      </w:r>
    </w:p>
    <w:p w14:paraId="35B278DE" w14:textId="77777777" w:rsidR="00D3228B" w:rsidRDefault="00D3228B" w:rsidP="00D3228B">
      <w:pPr>
        <w:pStyle w:val="Textebrut"/>
      </w:pPr>
      <w:r>
        <w:t>L’infectiologue défendait l’efficacité de l’hydroxychloroquine pour traiter le Covid-19. Un article fondateur de la théorie a été rétracté en raison du non-respect de multiples règles, et de la manipulation ou de l’interprétation problématique de résultats</w:t>
      </w:r>
    </w:p>
    <w:p w14:paraId="41748094" w14:textId="41B9A6C0" w:rsidR="00592039" w:rsidRDefault="00BB0F1B" w:rsidP="00D3228B">
      <w:pPr>
        <w:pStyle w:val="Textebrut"/>
      </w:pPr>
      <w:hyperlink r:id="rId70" w:history="1">
        <w:r w:rsidR="00D3228B" w:rsidRPr="008332AA">
          <w:rPr>
            <w:rStyle w:val="Lienhypertexte"/>
          </w:rPr>
          <w:t>https://www.lemonde.fr/sante/article/2024/12/17/covid-19-une-etude-fondatrice-defendue-par-didier-raoult-sur-l-usage-de-l-hydroxychloroquine-invalidee_6453981_1651302.html</w:t>
        </w:r>
      </w:hyperlink>
    </w:p>
    <w:p w14:paraId="7407C101" w14:textId="77777777" w:rsidR="00D3228B" w:rsidRDefault="00D3228B" w:rsidP="00D3228B">
      <w:pPr>
        <w:pStyle w:val="Textebrut"/>
      </w:pPr>
    </w:p>
    <w:p w14:paraId="07841094" w14:textId="77777777" w:rsidR="004C47BE" w:rsidRDefault="004C47BE" w:rsidP="004C47BE">
      <w:pPr>
        <w:pStyle w:val="Textebrut"/>
      </w:pPr>
      <w:r>
        <w:t>Covid-19 : l’enquête sur la gestion de la crise sanitaire par le gouvernement est close, aucune mise en examen (Le Monde, 30/12/2024).</w:t>
      </w:r>
    </w:p>
    <w:p w14:paraId="707CBCDA" w14:textId="77777777" w:rsidR="004C47BE" w:rsidRDefault="004C47BE" w:rsidP="004C47BE">
      <w:pPr>
        <w:pStyle w:val="Textebrut"/>
      </w:pPr>
      <w:r>
        <w:t xml:space="preserve">Les anciens ministres de la santé Olivier </w:t>
      </w:r>
      <w:proofErr w:type="spellStart"/>
      <w:r>
        <w:t>Véran</w:t>
      </w:r>
      <w:proofErr w:type="spellEnd"/>
      <w:r>
        <w:t xml:space="preserve"> et Agnès </w:t>
      </w:r>
      <w:proofErr w:type="spellStart"/>
      <w:r>
        <w:t>Buzyn</w:t>
      </w:r>
      <w:proofErr w:type="spellEnd"/>
      <w:r>
        <w:t>, et l’ex-premier ministre Edouard Philippe ont été placés sous le statut plus favorable de témoin assisté, ce qui ouvre la voie à un probable non-lieu</w:t>
      </w:r>
    </w:p>
    <w:p w14:paraId="7C65F525" w14:textId="39FC2997" w:rsidR="004C47BE" w:rsidRDefault="004C47BE" w:rsidP="004C47BE">
      <w:pPr>
        <w:pStyle w:val="Textebrut"/>
      </w:pPr>
      <w:hyperlink r:id="rId71" w:history="1">
        <w:r w:rsidRPr="004E0D85">
          <w:rPr>
            <w:rStyle w:val="Lienhypertexte"/>
          </w:rPr>
          <w:t>https://www.lemonde.fr/societe/article/2024/12/30/covid-19-l-enquete-sur-la-gestion-de-la-crise-sanitaire-par-le-gouvernement-est-close-aucune-mise-en-examen_6473743_3224.html</w:t>
        </w:r>
      </w:hyperlink>
    </w:p>
    <w:p w14:paraId="7066912F" w14:textId="77777777" w:rsidR="004C47BE" w:rsidRDefault="004C47BE" w:rsidP="004C47BE">
      <w:pPr>
        <w:pStyle w:val="Textebrut"/>
      </w:pPr>
    </w:p>
    <w:p w14:paraId="74F87B58" w14:textId="77777777" w:rsidR="00A21BB1" w:rsidRDefault="00A21BB1" w:rsidP="00697879">
      <w:pPr>
        <w:pStyle w:val="Textebrut"/>
      </w:pPr>
    </w:p>
    <w:p w14:paraId="0BD0D2E7" w14:textId="21ABD3FF" w:rsidR="00A21BB1" w:rsidRDefault="00A21BB1" w:rsidP="00A21BB1">
      <w:pPr>
        <w:pStyle w:val="PEPS"/>
      </w:pPr>
      <w:r w:rsidRPr="00A21BB1">
        <w:t xml:space="preserve">Cyclone </w:t>
      </w:r>
      <w:proofErr w:type="spellStart"/>
      <w:r w:rsidRPr="00A21BB1">
        <w:t>Chido</w:t>
      </w:r>
      <w:proofErr w:type="spellEnd"/>
      <w:r w:rsidRPr="00A21BB1">
        <w:t xml:space="preserve"> à Mayotte</w:t>
      </w:r>
      <w:r>
        <w:t> :</w:t>
      </w:r>
    </w:p>
    <w:p w14:paraId="22DDD2EF" w14:textId="77777777" w:rsidR="00A21BB1" w:rsidRDefault="00A21BB1" w:rsidP="00697879">
      <w:pPr>
        <w:pStyle w:val="Textebrut"/>
      </w:pPr>
    </w:p>
    <w:p w14:paraId="4EEBF92F" w14:textId="77777777" w:rsidR="00A21BB1" w:rsidRDefault="00A21BB1" w:rsidP="00A21BB1">
      <w:pPr>
        <w:pStyle w:val="Textebrut"/>
      </w:pPr>
      <w:r>
        <w:t xml:space="preserve">Page spéciale de France Info consacrée au cyclone </w:t>
      </w:r>
      <w:proofErr w:type="spellStart"/>
      <w:r>
        <w:t>Chido</w:t>
      </w:r>
      <w:proofErr w:type="spellEnd"/>
      <w:r>
        <w:t xml:space="preserve"> à Mayotte</w:t>
      </w:r>
    </w:p>
    <w:p w14:paraId="19440F75" w14:textId="125971B3" w:rsidR="00A21BB1" w:rsidRDefault="00BB0F1B" w:rsidP="00A21BB1">
      <w:pPr>
        <w:pStyle w:val="Textebrut"/>
      </w:pPr>
      <w:hyperlink r:id="rId72" w:history="1">
        <w:r w:rsidR="00A21BB1" w:rsidRPr="00006529">
          <w:rPr>
            <w:rStyle w:val="Lienhypertexte"/>
          </w:rPr>
          <w:t>https://www.francetvinfo.fr/meteo/cyclone-ouragan/cyclone-chido-a-mayotte/c</w:t>
        </w:r>
      </w:hyperlink>
    </w:p>
    <w:p w14:paraId="5A4638B7" w14:textId="6A8F5F33" w:rsidR="00A21BB1" w:rsidRDefault="00A21BB1" w:rsidP="00A21BB1">
      <w:pPr>
        <w:pStyle w:val="Textebrut"/>
      </w:pPr>
      <w:r>
        <w:t xml:space="preserve">Cyclone </w:t>
      </w:r>
      <w:proofErr w:type="spellStart"/>
      <w:r>
        <w:t>Chido</w:t>
      </w:r>
      <w:proofErr w:type="spellEnd"/>
      <w:r>
        <w:t xml:space="preserve"> à Mayotte : plus de la moitié des bâtiments sont détruits ou endommagés dans le nord-est de l'archipel (France Info, 18/12/2024).</w:t>
      </w:r>
    </w:p>
    <w:p w14:paraId="52FA9879" w14:textId="77777777" w:rsidR="00A21BB1" w:rsidRDefault="00A21BB1" w:rsidP="00A21BB1">
      <w:pPr>
        <w:pStyle w:val="Textebrut"/>
      </w:pPr>
      <w:r>
        <w:t>De premières analyses à partir d'images satellite montrent qu'au moins 56% des bâtiments du nord-est de Mayotte ont été frappés par le cataclysme, samedi</w:t>
      </w:r>
    </w:p>
    <w:p w14:paraId="4E66BE12" w14:textId="138EF387" w:rsidR="00A21BB1" w:rsidRDefault="00BB0F1B" w:rsidP="00A21BB1">
      <w:pPr>
        <w:pStyle w:val="Textebrut"/>
      </w:pPr>
      <w:hyperlink r:id="rId73" w:history="1">
        <w:r w:rsidR="00A21BB1" w:rsidRPr="00006529">
          <w:rPr>
            <w:rStyle w:val="Lienhypertexte"/>
          </w:rPr>
          <w:t>https://www.francetvinfo.fr/meteo/cyclone-ouragan/cyclone-chido-a-mayotte/cartes-cyclone-chido-a-mayotte-plus-de-la-moitie-des-batiments-sont-detruits-ou-endommages-dans-le-nord-est-de-l-archipel_6962567.html</w:t>
        </w:r>
      </w:hyperlink>
    </w:p>
    <w:p w14:paraId="1517F377" w14:textId="77777777" w:rsidR="00A21BB1" w:rsidRDefault="00A21BB1" w:rsidP="00A21BB1">
      <w:pPr>
        <w:pStyle w:val="Textebrut"/>
      </w:pPr>
    </w:p>
    <w:p w14:paraId="02D1B022" w14:textId="77777777" w:rsidR="00A21BB1" w:rsidRDefault="00A21BB1" w:rsidP="00A21BB1">
      <w:pPr>
        <w:pStyle w:val="Textebrut"/>
      </w:pPr>
      <w:r>
        <w:t>La page de la préfecture de Mayotte</w:t>
      </w:r>
    </w:p>
    <w:p w14:paraId="7304529C" w14:textId="257B1758" w:rsidR="00A21BB1" w:rsidRDefault="00BB0F1B" w:rsidP="00A21BB1">
      <w:pPr>
        <w:pStyle w:val="Textebrut"/>
      </w:pPr>
      <w:hyperlink r:id="rId74" w:history="1">
        <w:r w:rsidR="00A21BB1" w:rsidRPr="00006529">
          <w:rPr>
            <w:rStyle w:val="Lienhypertexte"/>
          </w:rPr>
          <w:t>https://www.mayotte.gouv.fr/</w:t>
        </w:r>
      </w:hyperlink>
    </w:p>
    <w:p w14:paraId="5B4A2CCD" w14:textId="77777777" w:rsidR="00A21BB1" w:rsidRDefault="00A21BB1" w:rsidP="00A21BB1">
      <w:pPr>
        <w:pStyle w:val="Textebrut"/>
      </w:pPr>
    </w:p>
    <w:p w14:paraId="36A98F63" w14:textId="77777777" w:rsidR="00A21BB1" w:rsidRDefault="00A21BB1" w:rsidP="00A21BB1">
      <w:pPr>
        <w:pStyle w:val="Textebrut"/>
      </w:pPr>
      <w:r>
        <w:lastRenderedPageBreak/>
        <w:t xml:space="preserve">Actualités du Ministère - Cyclone </w:t>
      </w:r>
      <w:proofErr w:type="spellStart"/>
      <w:r>
        <w:t>Chido</w:t>
      </w:r>
      <w:proofErr w:type="spellEnd"/>
      <w:r>
        <w:t xml:space="preserve"> : les autorités sanitaires mobilisées pour la santé des habitants de Mayotte (actualisation en principe quotidienne).</w:t>
      </w:r>
    </w:p>
    <w:p w14:paraId="21EE93BF" w14:textId="77777777" w:rsidR="00A21BB1" w:rsidRDefault="00A21BB1" w:rsidP="00A21BB1">
      <w:pPr>
        <w:pStyle w:val="Textebrut"/>
      </w:pPr>
      <w:r>
        <w:t>Situation sanitaire, accès aux soins, prévention des épidémies… retrouvez toutes les informations sur l’action des autorités sanitaires pour protéger et accompagner les populations</w:t>
      </w:r>
    </w:p>
    <w:p w14:paraId="7DEFFA7B" w14:textId="78CB6B0F" w:rsidR="00A21BB1" w:rsidRDefault="00BB0F1B" w:rsidP="00A21BB1">
      <w:pPr>
        <w:pStyle w:val="Textebrut"/>
      </w:pPr>
      <w:hyperlink r:id="rId75" w:history="1">
        <w:r w:rsidR="00A21BB1" w:rsidRPr="00006529">
          <w:rPr>
            <w:rStyle w:val="Lienhypertexte"/>
          </w:rPr>
          <w:t>https://sante.gouv.fr/actualites/actualites-du-ministere/article/cyclone-chido-les-autorites-sanitaires-mobilisees-pour-la-sante-des-habitants</w:t>
        </w:r>
      </w:hyperlink>
    </w:p>
    <w:p w14:paraId="2FE660DE" w14:textId="77777777" w:rsidR="00A21BB1" w:rsidRDefault="00A21BB1" w:rsidP="00A21BB1">
      <w:pPr>
        <w:pStyle w:val="Textebrut"/>
      </w:pPr>
    </w:p>
    <w:p w14:paraId="50DAF315" w14:textId="77777777" w:rsidR="004C47BE" w:rsidRDefault="004C47BE" w:rsidP="004C47BE">
      <w:pPr>
        <w:pStyle w:val="Textebrut"/>
      </w:pPr>
      <w:r>
        <w:t xml:space="preserve">Mayotte : après le cyclone </w:t>
      </w:r>
      <w:proofErr w:type="spellStart"/>
      <w:r>
        <w:t>Chido</w:t>
      </w:r>
      <w:proofErr w:type="spellEnd"/>
      <w:r>
        <w:t>, les renforts sont à l’œuvre (Ministère de l’intérieur, actualisation du 01/01/2025)</w:t>
      </w:r>
    </w:p>
    <w:p w14:paraId="41E3CF8E" w14:textId="3FC7F509" w:rsidR="004C47BE" w:rsidRDefault="004C47BE" w:rsidP="004C47BE">
      <w:pPr>
        <w:pStyle w:val="Textebrut"/>
      </w:pPr>
      <w:hyperlink r:id="rId76" w:history="1">
        <w:r w:rsidRPr="004E0D85">
          <w:rPr>
            <w:rStyle w:val="Lienhypertexte"/>
          </w:rPr>
          <w:t>https://www.interieur.gouv.fr/actualites/actualites-du-ministere/mayotte-apres-cyclone-chido-renforts-sont-a-loeuvre</w:t>
        </w:r>
      </w:hyperlink>
    </w:p>
    <w:p w14:paraId="4719B78B" w14:textId="77777777" w:rsidR="004C47BE" w:rsidRDefault="004C47BE" w:rsidP="004C47BE">
      <w:pPr>
        <w:pStyle w:val="Textebrut"/>
      </w:pPr>
    </w:p>
    <w:p w14:paraId="5B9E4823" w14:textId="77777777" w:rsidR="004C47BE" w:rsidRDefault="004C47BE" w:rsidP="004C47BE">
      <w:pPr>
        <w:pStyle w:val="Textebrut"/>
      </w:pPr>
      <w:r>
        <w:t>Conseils sanitaires à délivrer aux volontaires et professionnels se rendant à Mayotte dans le contexte post-cyclonique (SPILF, 26/12/2024)</w:t>
      </w:r>
    </w:p>
    <w:p w14:paraId="6BEC42D6" w14:textId="63A6DFAB" w:rsidR="004C47BE" w:rsidRDefault="004C47BE" w:rsidP="00A21BB1">
      <w:pPr>
        <w:pStyle w:val="Textebrut"/>
      </w:pPr>
      <w:hyperlink r:id="rId77" w:history="1">
        <w:r w:rsidRPr="004E0D85">
          <w:rPr>
            <w:rStyle w:val="Lienhypertexte"/>
          </w:rPr>
          <w:t>https://www.infectiologie.com/UserFiles/File/groupe-prevention/conseils-sanitaires-volontaires-mayotte-dec2024.pdf</w:t>
        </w:r>
      </w:hyperlink>
    </w:p>
    <w:p w14:paraId="5DA51E2B" w14:textId="77777777" w:rsidR="004C47BE" w:rsidRDefault="004C47BE" w:rsidP="00A21BB1">
      <w:pPr>
        <w:pStyle w:val="Textebrut"/>
      </w:pPr>
    </w:p>
    <w:p w14:paraId="24EF4CDA" w14:textId="77777777" w:rsidR="00A21BB1" w:rsidRDefault="00A21BB1" w:rsidP="00A21BB1">
      <w:pPr>
        <w:pStyle w:val="Textebrut"/>
      </w:pPr>
      <w:r>
        <w:t>À Mayotte, il y a urgence pour les pharmacies (Le Moniteur des pharmacies, 18/12/2024).</w:t>
      </w:r>
    </w:p>
    <w:p w14:paraId="0B640145" w14:textId="77777777" w:rsidR="00A21BB1" w:rsidRDefault="00A21BB1" w:rsidP="00A21BB1">
      <w:pPr>
        <w:pStyle w:val="Textebrut"/>
      </w:pPr>
      <w:r>
        <w:t xml:space="preserve">Depuis le passage du cyclone le 14 décembre, l'Union des syndicats de pharmaciens d’officine était sans nouvelle de ses 24 adhérents parmi les 25 pharmacies que compte l'archipel. Pour témoigner de la situation sanitaire alarmante dans laquelle les Mahorais se trouvent, Pierre-Olivier Variot, président de l'USPO, a rendu public ce matin le premier message qu'il a reçu de son président de section syndicale, Gérard </w:t>
      </w:r>
      <w:proofErr w:type="spellStart"/>
      <w:r>
        <w:t>Eap</w:t>
      </w:r>
      <w:proofErr w:type="spellEnd"/>
    </w:p>
    <w:p w14:paraId="61EDC04C" w14:textId="1503963E" w:rsidR="00A21BB1" w:rsidRDefault="00BB0F1B" w:rsidP="00A21BB1">
      <w:pPr>
        <w:pStyle w:val="Textebrut"/>
      </w:pPr>
      <w:hyperlink r:id="rId78" w:history="1">
        <w:r w:rsidR="00A21BB1" w:rsidRPr="00006529">
          <w:rPr>
            <w:rStyle w:val="Lienhypertexte"/>
          </w:rPr>
          <w:t>https://www.lemoniteurdespharmacies.fr/profession/socio-professionnel/a-mayotte-il-y-a-urgence-pour-les-pharmacies</w:t>
        </w:r>
      </w:hyperlink>
    </w:p>
    <w:p w14:paraId="1924A2A1" w14:textId="77777777" w:rsidR="00A21BB1" w:rsidRDefault="00A21BB1" w:rsidP="00A21BB1">
      <w:pPr>
        <w:pStyle w:val="Textebrut"/>
      </w:pPr>
    </w:p>
    <w:p w14:paraId="78F712CD" w14:textId="77777777" w:rsidR="00A21BB1" w:rsidRDefault="00A21BB1" w:rsidP="00A21BB1">
      <w:pPr>
        <w:pStyle w:val="Textebrut"/>
      </w:pPr>
      <w:r>
        <w:t>Décret n° 2024-1184 du 18 décembre 2024 portant déclaration de l'état de calamité naturelle exceptionnelle à Mayotte.</w:t>
      </w:r>
    </w:p>
    <w:p w14:paraId="39993198" w14:textId="77777777" w:rsidR="00A21BB1" w:rsidRDefault="00A21BB1" w:rsidP="00A21BB1">
      <w:pPr>
        <w:pStyle w:val="Textebrut"/>
      </w:pPr>
      <w:r>
        <w:t>Notice : le décret institue un état de calamité naturelle sur l'ensemble du territoire de Mayotte afin de présumer la condition de force majeure ou d'urgence pour l'application des dispositions légales et réglementaires nationales mises en œuvre par les autorités publiques pour rétablir le fonctionnement normal des institutions, l'ordre public, la sécurité des populations et l'approvisionnement en biens de première nécessité ainsi que pour mettre fin aux atteintes à la santé publique</w:t>
      </w:r>
    </w:p>
    <w:p w14:paraId="1EC33082" w14:textId="6C5036FF" w:rsidR="00A21BB1" w:rsidRDefault="00BB0F1B" w:rsidP="00A21BB1">
      <w:pPr>
        <w:pStyle w:val="Textebrut"/>
      </w:pPr>
      <w:hyperlink r:id="rId79" w:history="1">
        <w:r w:rsidR="00A21BB1" w:rsidRPr="00006529">
          <w:rPr>
            <w:rStyle w:val="Lienhypertexte"/>
          </w:rPr>
          <w:t>https://www.legifrance.gouv.fr/jorf/id/JORFTEXT000050793874</w:t>
        </w:r>
      </w:hyperlink>
    </w:p>
    <w:p w14:paraId="6DAEC243" w14:textId="77777777" w:rsidR="00A21BB1" w:rsidRDefault="00A21BB1" w:rsidP="00A21BB1">
      <w:pPr>
        <w:pStyle w:val="Textebrut"/>
      </w:pPr>
    </w:p>
    <w:p w14:paraId="4128ACA4" w14:textId="77777777" w:rsidR="00A21BB1" w:rsidRDefault="00A21BB1" w:rsidP="00A21BB1">
      <w:pPr>
        <w:pStyle w:val="Textebrut"/>
      </w:pPr>
      <w:r>
        <w:t>Décret n° 2024-1182 du 18 décembre 2024 relatif aux prix de vente et aux marges de certains produits à Mayotte.</w:t>
      </w:r>
    </w:p>
    <w:p w14:paraId="5073D902" w14:textId="77777777" w:rsidR="00A21BB1" w:rsidRDefault="00A21BB1" w:rsidP="00A21BB1">
      <w:pPr>
        <w:pStyle w:val="Textebrut"/>
      </w:pPr>
      <w:r>
        <w:t xml:space="preserve">Notice : ce décret est pris en application du troisième alinéa de l'article L. 410-2 du code de commerce. Il prévoit l'encadrement des prix de vente à la production, des marges à l'importation et à tous les stades de la distribution de certains produits à Mayotte, à la suite du passage du cyclone </w:t>
      </w:r>
      <w:proofErr w:type="spellStart"/>
      <w:r>
        <w:t>Chido</w:t>
      </w:r>
      <w:proofErr w:type="spellEnd"/>
      <w:r>
        <w:t>. Il prévoit également l'encadrement des prix à la consommation pour l'eau plate en bouteille. Les produits concernés ainsi que les niveaux des prix et marges maximums pourront être précisés par le préfet de Mayotte. Les dispositions du présent décret sont applicables jusqu'au 18 juin 2025</w:t>
      </w:r>
    </w:p>
    <w:p w14:paraId="56D20766" w14:textId="6FACA5BF" w:rsidR="00A21BB1" w:rsidRDefault="00BB0F1B" w:rsidP="00A21BB1">
      <w:pPr>
        <w:pStyle w:val="Textebrut"/>
      </w:pPr>
      <w:hyperlink r:id="rId80" w:history="1">
        <w:r w:rsidR="00A21BB1" w:rsidRPr="00006529">
          <w:rPr>
            <w:rStyle w:val="Lienhypertexte"/>
          </w:rPr>
          <w:t>https://www.legifrance.gouv.fr/jorf/id/JORFTEXT000050793673</w:t>
        </w:r>
      </w:hyperlink>
    </w:p>
    <w:p w14:paraId="3127AE52" w14:textId="77777777" w:rsidR="00A21BB1" w:rsidRDefault="00A21BB1" w:rsidP="00A21BB1">
      <w:pPr>
        <w:pStyle w:val="Textebrut"/>
      </w:pPr>
    </w:p>
    <w:p w14:paraId="4506FFAB" w14:textId="77777777" w:rsidR="00A21BB1" w:rsidRDefault="00A21BB1" w:rsidP="00F8571B">
      <w:pPr>
        <w:pStyle w:val="Textebrut"/>
      </w:pPr>
    </w:p>
    <w:p w14:paraId="2D202BDB" w14:textId="77777777" w:rsidR="00BB0F1B" w:rsidRDefault="00BB0F1B" w:rsidP="00F8571B">
      <w:pPr>
        <w:pStyle w:val="Textebrut"/>
      </w:pPr>
    </w:p>
    <w:p w14:paraId="0435C6D1" w14:textId="77777777" w:rsidR="00BB0F1B" w:rsidRDefault="00BB0F1B" w:rsidP="00F8571B">
      <w:pPr>
        <w:pStyle w:val="Textebrut"/>
      </w:pPr>
    </w:p>
    <w:p w14:paraId="405AEFC7" w14:textId="77777777" w:rsidR="00BB0F1B" w:rsidRDefault="00BB0F1B" w:rsidP="00F8571B">
      <w:pPr>
        <w:pStyle w:val="Textebrut"/>
      </w:pPr>
    </w:p>
    <w:p w14:paraId="48C25ABB" w14:textId="77777777" w:rsidR="00BB0F1B" w:rsidRDefault="00BB0F1B" w:rsidP="00F8571B">
      <w:pPr>
        <w:pStyle w:val="Textebrut"/>
      </w:pPr>
    </w:p>
    <w:p w14:paraId="4F5011C5" w14:textId="77777777" w:rsidR="00BB0F1B" w:rsidRDefault="00BB0F1B" w:rsidP="00F8571B">
      <w:pPr>
        <w:pStyle w:val="Textebrut"/>
      </w:pPr>
    </w:p>
    <w:p w14:paraId="571BEB66" w14:textId="77777777" w:rsidR="00BB0F1B" w:rsidRDefault="00BB0F1B" w:rsidP="00F8571B">
      <w:pPr>
        <w:pStyle w:val="Textebrut"/>
      </w:pPr>
    </w:p>
    <w:p w14:paraId="77E97F58" w14:textId="77777777" w:rsidR="00BB0F1B" w:rsidRDefault="00BB0F1B" w:rsidP="00F8571B">
      <w:pPr>
        <w:pStyle w:val="Textebrut"/>
      </w:pPr>
    </w:p>
    <w:p w14:paraId="78C7775F" w14:textId="77777777" w:rsidR="00107ABA" w:rsidRPr="0089584B" w:rsidRDefault="00BB0F1B" w:rsidP="0089584B">
      <w:pPr>
        <w:pStyle w:val="PEPS"/>
      </w:pPr>
      <w:hyperlink r:id="rId81" w:history="1">
        <w:r w:rsidR="00930CE0" w:rsidRPr="0089584B">
          <w:t>Autres actualités</w:t>
        </w:r>
      </w:hyperlink>
      <w:r w:rsidR="00930CE0" w:rsidRPr="0089584B">
        <w:t> :</w:t>
      </w:r>
    </w:p>
    <w:p w14:paraId="173B80EF" w14:textId="77777777" w:rsidR="00AC503D" w:rsidRDefault="00AC503D" w:rsidP="00AC503D">
      <w:pPr>
        <w:pStyle w:val="Textebrut"/>
      </w:pPr>
      <w:r>
        <w:t>En ligne sur la page d’actualités du PEPPS :</w:t>
      </w:r>
    </w:p>
    <w:p w14:paraId="60CE0965" w14:textId="77777777" w:rsidR="00AC503D" w:rsidRDefault="00BB0F1B" w:rsidP="00AC503D">
      <w:pPr>
        <w:pStyle w:val="Textebrut"/>
      </w:pPr>
      <w:hyperlink r:id="rId82" w:history="1">
        <w:r w:rsidR="00AC503D" w:rsidRPr="002859B7">
          <w:rPr>
            <w:rStyle w:val="Lienhypertexte"/>
          </w:rPr>
          <w:t>https://peps.sante.gouv.fr/actu/actualites.html</w:t>
        </w:r>
      </w:hyperlink>
    </w:p>
    <w:p w14:paraId="5B4B46D9" w14:textId="77777777" w:rsidR="00930CE0" w:rsidRDefault="00930CE0" w:rsidP="00F8571B">
      <w:pPr>
        <w:pStyle w:val="Textebrut"/>
      </w:pPr>
    </w:p>
    <w:p w14:paraId="53F16E02" w14:textId="77777777" w:rsidR="002D16D1" w:rsidRDefault="002D16D1" w:rsidP="002D16D1">
      <w:pPr>
        <w:pStyle w:val="Textebrut"/>
      </w:pPr>
      <w:r>
        <w:t>EBMD. Le SDBIO propose la rédaction d’un nouvel arrêté encadrant les examens de biologie délocalisés (</w:t>
      </w:r>
      <w:proofErr w:type="spellStart"/>
      <w:r>
        <w:t>SdBio</w:t>
      </w:r>
      <w:proofErr w:type="spellEnd"/>
      <w:r>
        <w:t>, 15/10/2024)</w:t>
      </w:r>
    </w:p>
    <w:p w14:paraId="0A1F22B6" w14:textId="353E20F8" w:rsidR="002D16D1" w:rsidRDefault="00BB0F1B" w:rsidP="002D16D1">
      <w:pPr>
        <w:pStyle w:val="Textebrut"/>
      </w:pPr>
      <w:hyperlink r:id="rId83" w:history="1">
        <w:r w:rsidR="002D16D1" w:rsidRPr="008220B9">
          <w:rPr>
            <w:rStyle w:val="Lienhypertexte"/>
          </w:rPr>
          <w:t>https://www.sdbio.eu/actualites/fil-d-infos/ebmd-le-sdbio-propose-la-redaction-d-un-nouvel-arrete-encadrant-les-examens-de-biologie-delocalises</w:t>
        </w:r>
      </w:hyperlink>
    </w:p>
    <w:p w14:paraId="60D34682" w14:textId="77777777" w:rsidR="002D16D1" w:rsidRDefault="002D16D1" w:rsidP="002D16D1">
      <w:pPr>
        <w:pStyle w:val="Textebrut"/>
      </w:pPr>
    </w:p>
    <w:p w14:paraId="68268AAE" w14:textId="244870E1" w:rsidR="00C64424" w:rsidRDefault="00C64424" w:rsidP="00C64424">
      <w:pPr>
        <w:pStyle w:val="Textebrut"/>
      </w:pPr>
      <w:r>
        <w:t>Sobriété des produits de santé : vers une nécessaire transition (CNOP, 27/11/2024).</w:t>
      </w:r>
    </w:p>
    <w:p w14:paraId="29A3339E" w14:textId="77777777" w:rsidR="00C64424" w:rsidRDefault="00C64424" w:rsidP="00C64424">
      <w:pPr>
        <w:pStyle w:val="Textebrut"/>
      </w:pPr>
      <w:r>
        <w:t>Le concept de sobriété est présent partout : dans l’économie, dans l’énergie, et surtout, dans la santé, où cette recherche de l’équilibre entre les besoins et les ressources se développe de plus en plus. Face aux enjeux de transition écologique et d’amélioration de la prise en charge des patients, la sobriété pharmaceutique est aujourd’hui plus que nécessaire et entre les mains de tous les pharmaciens</w:t>
      </w:r>
    </w:p>
    <w:p w14:paraId="74FFF848" w14:textId="09084C4E" w:rsidR="00C64424" w:rsidRDefault="00BB0F1B" w:rsidP="00C64424">
      <w:pPr>
        <w:pStyle w:val="Textebrut"/>
      </w:pPr>
      <w:hyperlink r:id="rId84" w:history="1">
        <w:r w:rsidR="00C64424" w:rsidRPr="00E13FD8">
          <w:rPr>
            <w:rStyle w:val="Lienhypertexte"/>
          </w:rPr>
          <w:t>https://www.ordre.pharmacien.fr/les-communications/focus-sur/la-revue/tous-pharmaciens-la-revue-n-26-novembre-2024/sobriete-des-produits-de-sante-vers-une-necessaire-transition</w:t>
        </w:r>
      </w:hyperlink>
    </w:p>
    <w:p w14:paraId="574E91E1" w14:textId="77777777" w:rsidR="00C64424" w:rsidRDefault="00C64424" w:rsidP="00C64424">
      <w:pPr>
        <w:pStyle w:val="Textebrut"/>
      </w:pPr>
    </w:p>
    <w:p w14:paraId="24DE443F" w14:textId="77777777" w:rsidR="00A848FF" w:rsidRDefault="00A848FF" w:rsidP="00A848FF">
      <w:pPr>
        <w:pStyle w:val="Textebrut"/>
      </w:pPr>
      <w:r>
        <w:t>Soins écoresponsables : de nouveaux mémos pour favoriser l’adoption de bonnes pratiques (ameli.fr, 29/11/2024).</w:t>
      </w:r>
    </w:p>
    <w:p w14:paraId="7DECF056" w14:textId="77777777" w:rsidR="00A848FF" w:rsidRDefault="00A848FF" w:rsidP="00A848FF">
      <w:pPr>
        <w:pStyle w:val="Textebrut"/>
      </w:pPr>
      <w:r>
        <w:t xml:space="preserve">Proposer des inhalateurs sans gaz propulseur aux patients atteints d’asthme ou de BPCO, réutiliser certains dispositifs médicaux non ouverts dans le cadre des soins infirmiers ou encore travailler à une juste dispensation des médicaments sont autant de recommandations de bonnes pratiques à suivre par les professionnels de santé pour diminuer les impacts environnementaux des soins. </w:t>
      </w:r>
    </w:p>
    <w:p w14:paraId="05CD1014" w14:textId="77777777" w:rsidR="00A848FF" w:rsidRDefault="00A848FF" w:rsidP="00A848FF">
      <w:pPr>
        <w:pStyle w:val="Textebrut"/>
      </w:pPr>
      <w:r>
        <w:t>Des mémos « Soins écoresponsables » sont à la disposition des praticiens sur ces thématiques spécifiques pour les aider à trouver le meilleur équilibre entre la juste prescription aux patients et les préconisations pour réduire les marqueurs que certains dispositifs médicaux peuvent laisser dans l’environnement, et en conséquence sur la santé humaine</w:t>
      </w:r>
    </w:p>
    <w:p w14:paraId="7F1A0C0E" w14:textId="35711238" w:rsidR="00C64424" w:rsidRDefault="00BB0F1B" w:rsidP="00A848FF">
      <w:pPr>
        <w:pStyle w:val="Textebrut"/>
      </w:pPr>
      <w:hyperlink r:id="rId85" w:history="1">
        <w:r w:rsidR="00A848FF" w:rsidRPr="00265341">
          <w:rPr>
            <w:rStyle w:val="Lienhypertexte"/>
          </w:rPr>
          <w:t>https://www.ameli.fr/pharmacien/actualites/soins-ecoresponsables-de-nouveaux-memos-pour-favoriser-l-adoption-de-bonnes-pratiques</w:t>
        </w:r>
      </w:hyperlink>
    </w:p>
    <w:p w14:paraId="5178677C" w14:textId="77777777" w:rsidR="00A848FF" w:rsidRDefault="00A848FF" w:rsidP="00A848FF">
      <w:pPr>
        <w:pStyle w:val="Textebrut"/>
      </w:pPr>
    </w:p>
    <w:p w14:paraId="09A9F82E" w14:textId="77777777" w:rsidR="00A848FF" w:rsidRDefault="00A848FF" w:rsidP="00A848FF">
      <w:pPr>
        <w:pStyle w:val="Textebrut"/>
      </w:pPr>
      <w:r>
        <w:t>Autotest VIH et boite jaune DASTRI - L’amélioration des pratiques des utilisateurs nécessite une plus forte implication des pharmaciens (DASTRI, 27/11/2024).</w:t>
      </w:r>
    </w:p>
    <w:p w14:paraId="58A2B1E9" w14:textId="77777777" w:rsidR="00A848FF" w:rsidRDefault="00A848FF" w:rsidP="00A848FF">
      <w:pPr>
        <w:pStyle w:val="Textebrut"/>
      </w:pPr>
      <w:r>
        <w:t xml:space="preserve">En 2023, près de 170 000 autotests VIH ont été vendus en France en pharmacie. La filière DASTRI permet d’éliminer les </w:t>
      </w:r>
      <w:proofErr w:type="spellStart"/>
      <w:r>
        <w:t>autopiqueurs</w:t>
      </w:r>
      <w:proofErr w:type="spellEnd"/>
      <w:r>
        <w:t xml:space="preserve"> de façon sécurisée. Mais le baromètre IFOP-DASTRI 2024 montre que 40 % de ces DASRI perforants ne sont pas rapportés en pharmacie</w:t>
      </w:r>
    </w:p>
    <w:p w14:paraId="75D732D7" w14:textId="1AC7B01B" w:rsidR="00A848FF" w:rsidRDefault="00BB0F1B" w:rsidP="00A848FF">
      <w:pPr>
        <w:pStyle w:val="Textebrut"/>
      </w:pPr>
      <w:hyperlink r:id="rId86" w:history="1">
        <w:r w:rsidR="00A848FF" w:rsidRPr="00265341">
          <w:rPr>
            <w:rStyle w:val="Lienhypertexte"/>
          </w:rPr>
          <w:t>https://www.dastri.fr/wp-content/uploads/2024/11/CP-DASTRI-Barometre-IFOP-VIH-et-DATAWIZ-2024.pdf</w:t>
        </w:r>
      </w:hyperlink>
    </w:p>
    <w:p w14:paraId="6E6B6133" w14:textId="77777777" w:rsidR="00A848FF" w:rsidRDefault="00A848FF" w:rsidP="00A848FF">
      <w:pPr>
        <w:pStyle w:val="Textebrut"/>
      </w:pPr>
    </w:p>
    <w:p w14:paraId="1425426B" w14:textId="77777777" w:rsidR="00681F26" w:rsidRDefault="00681F26" w:rsidP="00681F26">
      <w:pPr>
        <w:pStyle w:val="Textebrut"/>
      </w:pPr>
      <w:r>
        <w:t xml:space="preserve">Pas de </w:t>
      </w:r>
      <w:proofErr w:type="spellStart"/>
      <w:r>
        <w:t>certibiocide</w:t>
      </w:r>
      <w:proofErr w:type="spellEnd"/>
      <w:r>
        <w:t xml:space="preserve"> (ONCD, 30/11/2024).</w:t>
      </w:r>
    </w:p>
    <w:p w14:paraId="7471B3A6" w14:textId="77777777" w:rsidR="00681F26" w:rsidRDefault="00681F26" w:rsidP="00681F26">
      <w:pPr>
        <w:pStyle w:val="Textebrut"/>
      </w:pPr>
      <w:r>
        <w:t xml:space="preserve">Les services du ministère de la Santé viennent à l’instant de nous communiquer leur décision concernant les « </w:t>
      </w:r>
      <w:proofErr w:type="spellStart"/>
      <w:r>
        <w:t>certibiocides</w:t>
      </w:r>
      <w:proofErr w:type="spellEnd"/>
      <w:r>
        <w:t xml:space="preserve"> » qui devaient être passés par les professionnels de santé avant le 01 janvier 2025 selon l’arrêté du ministère de la Transition Écologique.</w:t>
      </w:r>
    </w:p>
    <w:p w14:paraId="4905CAA9" w14:textId="77777777" w:rsidR="00681F26" w:rsidRDefault="00681F26" w:rsidP="00681F26">
      <w:pPr>
        <w:pStyle w:val="Textebrut"/>
      </w:pPr>
      <w:r>
        <w:t>Après examen de nos réflexions sur ce certificat inutile et dégradant pour notre profession qui connait parfaitement la chaîne de stérilisation et les précautions à prendre lors de l’utilisation de ces stérilisants et désinfectants, nous avons été entendus, et des dispositions seront prises pour qu’une modification profonde des textes soit mise en place… avec un report d’exception pour l’année 2025</w:t>
      </w:r>
    </w:p>
    <w:p w14:paraId="27AF6939" w14:textId="792FA48A" w:rsidR="00A848FF" w:rsidRDefault="00BB0F1B" w:rsidP="00681F26">
      <w:pPr>
        <w:pStyle w:val="Textebrut"/>
      </w:pPr>
      <w:hyperlink r:id="rId87" w:history="1">
        <w:r w:rsidR="00681F26" w:rsidRPr="00265341">
          <w:rPr>
            <w:rStyle w:val="Lienhypertexte"/>
          </w:rPr>
          <w:t>https://www.ordre-chirurgiens-dentistes.fr/actualites/pas-de-certibiocide/</w:t>
        </w:r>
      </w:hyperlink>
    </w:p>
    <w:p w14:paraId="2F168702" w14:textId="77777777" w:rsidR="00681F26" w:rsidRDefault="00681F26" w:rsidP="00681F26">
      <w:pPr>
        <w:pStyle w:val="Textebrut"/>
      </w:pPr>
    </w:p>
    <w:p w14:paraId="1E44EDF6" w14:textId="77777777" w:rsidR="00BB0F1B" w:rsidRDefault="00BB0F1B" w:rsidP="00681F26">
      <w:pPr>
        <w:pStyle w:val="Textebrut"/>
      </w:pPr>
    </w:p>
    <w:p w14:paraId="5437D786" w14:textId="77777777" w:rsidR="00BB0F1B" w:rsidRDefault="00BB0F1B" w:rsidP="00681F26">
      <w:pPr>
        <w:pStyle w:val="Textebrut"/>
      </w:pPr>
    </w:p>
    <w:p w14:paraId="1E3A0B41" w14:textId="77777777" w:rsidR="00BB0F1B" w:rsidRDefault="00BB0F1B" w:rsidP="00681F26">
      <w:pPr>
        <w:pStyle w:val="Textebrut"/>
      </w:pPr>
    </w:p>
    <w:p w14:paraId="15358B6C" w14:textId="77777777" w:rsidR="00BB0F1B" w:rsidRDefault="00BB0F1B" w:rsidP="00681F26">
      <w:pPr>
        <w:pStyle w:val="Textebrut"/>
      </w:pPr>
    </w:p>
    <w:p w14:paraId="2356C3B8" w14:textId="77777777" w:rsidR="00BB0F1B" w:rsidRDefault="00BB0F1B" w:rsidP="00681F26">
      <w:pPr>
        <w:pStyle w:val="Textebrut"/>
      </w:pPr>
    </w:p>
    <w:p w14:paraId="3CD6CF78" w14:textId="77777777" w:rsidR="00E0094D" w:rsidRDefault="00E0094D" w:rsidP="00E0094D">
      <w:pPr>
        <w:pStyle w:val="Textebrut"/>
      </w:pPr>
      <w:r>
        <w:lastRenderedPageBreak/>
        <w:t>Démographie des professionnels de santé au 1er janvier 2024 (DREES, 02/12/2024).</w:t>
      </w:r>
    </w:p>
    <w:p w14:paraId="17E1F3AE" w14:textId="77777777" w:rsidR="00E0094D" w:rsidRDefault="00E0094D" w:rsidP="00E0094D">
      <w:pPr>
        <w:pStyle w:val="Textebrut"/>
      </w:pPr>
      <w:r>
        <w:t xml:space="preserve">La Direction de la recherche, des études, de l’évaluation et des statistiques (DREES) publie des données sur la démographie de plusieurs professions paramédicales au 1er janvier 2024 et depuis 2012. Elles sont issues du répertoire </w:t>
      </w:r>
      <w:proofErr w:type="spellStart"/>
      <w:r>
        <w:t>Adeli</w:t>
      </w:r>
      <w:proofErr w:type="spellEnd"/>
      <w:r>
        <w:t xml:space="preserve">, et présentées dans un nouveau format sur </w:t>
      </w:r>
      <w:proofErr w:type="spellStart"/>
      <w:r>
        <w:t>data.DREES</w:t>
      </w:r>
      <w:proofErr w:type="spellEnd"/>
    </w:p>
    <w:p w14:paraId="23248052" w14:textId="64FA5C3F" w:rsidR="00681F26" w:rsidRDefault="00BB0F1B" w:rsidP="00E0094D">
      <w:pPr>
        <w:pStyle w:val="Textebrut"/>
      </w:pPr>
      <w:hyperlink r:id="rId88" w:history="1">
        <w:r w:rsidR="00E0094D" w:rsidRPr="00980B9A">
          <w:rPr>
            <w:rStyle w:val="Lienhypertexte"/>
          </w:rPr>
          <w:t>https://drees.solidarites-sante.gouv.fr/communique-de-presse-jeux-de-donnees/241202_Data_professionnels-de-sante-1er-janvier-2024</w:t>
        </w:r>
      </w:hyperlink>
    </w:p>
    <w:p w14:paraId="7A185599" w14:textId="77777777" w:rsidR="00E0094D" w:rsidRDefault="00E0094D" w:rsidP="00E0094D">
      <w:pPr>
        <w:pStyle w:val="Textebrut"/>
      </w:pPr>
    </w:p>
    <w:p w14:paraId="7AA7401F" w14:textId="77777777" w:rsidR="002A263F" w:rsidRDefault="002A263F" w:rsidP="002A263F">
      <w:pPr>
        <w:pStyle w:val="Textebrut"/>
      </w:pPr>
      <w:r>
        <w:t>Dispensation supplémentaire exceptionnelle de médicaments et de DM par le pharmacien d’officine dans la limite de 3 mois : décret publié (CNOP, 02/12/2024).</w:t>
      </w:r>
    </w:p>
    <w:p w14:paraId="7D53D846" w14:textId="77777777" w:rsidR="002A263F" w:rsidRDefault="002A263F" w:rsidP="002A263F">
      <w:pPr>
        <w:pStyle w:val="Textebrut"/>
      </w:pPr>
      <w:r>
        <w:t>Le décret est paru au Journal Officiel du 28 novembre 2024 et entré en vigueur dès le lendemain. Il étend à trois mois la possibilité d’une dispensation supplémentaire exceptionnelle par le pharmacien d'officine, dans le cadre d'un traitement chronique, de médicaments et de dispositifs médicaux (DM)</w:t>
      </w:r>
    </w:p>
    <w:p w14:paraId="0819FCF0" w14:textId="67CA0A6F" w:rsidR="00E0094D" w:rsidRDefault="00BB0F1B" w:rsidP="002A263F">
      <w:pPr>
        <w:pStyle w:val="Textebrut"/>
      </w:pPr>
      <w:hyperlink r:id="rId89" w:history="1">
        <w:r w:rsidR="002A263F" w:rsidRPr="00980B9A">
          <w:rPr>
            <w:rStyle w:val="Lienhypertexte"/>
          </w:rPr>
          <w:t>https://www.ordre.pharmacien.fr/les-communications/focus-sur/les-actualites/dispensation-supplementaire-exceptionnelle-de-medicaments-et-de-dm-par-le-pharmacien-d-officine-dans-la-limite-de-3-mois-decret-publie</w:t>
        </w:r>
      </w:hyperlink>
    </w:p>
    <w:p w14:paraId="32FCD500" w14:textId="77777777" w:rsidR="002A263F" w:rsidRDefault="002A263F" w:rsidP="002A263F">
      <w:pPr>
        <w:pStyle w:val="Textebrut"/>
      </w:pPr>
    </w:p>
    <w:p w14:paraId="646381F1" w14:textId="77777777" w:rsidR="00B65761" w:rsidRDefault="00B65761" w:rsidP="00B65761">
      <w:pPr>
        <w:pStyle w:val="Textebrut"/>
      </w:pPr>
      <w:r>
        <w:t>Lancement officiel d’une campagne d’information nationale contre la soumission chimique (CNOP, 02/12/2024).</w:t>
      </w:r>
    </w:p>
    <w:p w14:paraId="587CD596" w14:textId="77777777" w:rsidR="00B65761" w:rsidRDefault="00B65761" w:rsidP="00B65761">
      <w:pPr>
        <w:pStyle w:val="Textebrut"/>
      </w:pPr>
      <w:r>
        <w:t xml:space="preserve">Le ministère chargé de l’Egalité entre les femmes et les hommes s’associe avec le Centre de référence sur les agressions facilitées par les substances (CRAFS), l’Ordre national des Pharmaciens, la Société Francophone des Sciences Pharmaceutiques Officinales (SFSPO), et l’association #MendorsPas (fondée par Caroline </w:t>
      </w:r>
      <w:proofErr w:type="spellStart"/>
      <w:r>
        <w:t>Darian</w:t>
      </w:r>
      <w:proofErr w:type="spellEnd"/>
      <w:r>
        <w:t>) pour le déploiement d’une campagne nationale d’information autour de la soumission chimique relayée auprès de tous les pharmaciens en contact avec le public</w:t>
      </w:r>
    </w:p>
    <w:p w14:paraId="76FD8BD5" w14:textId="711EF827" w:rsidR="002A263F" w:rsidRDefault="00BB0F1B" w:rsidP="00B65761">
      <w:pPr>
        <w:pStyle w:val="Textebrut"/>
      </w:pPr>
      <w:hyperlink r:id="rId90" w:history="1">
        <w:r w:rsidR="00B65761" w:rsidRPr="00980B9A">
          <w:rPr>
            <w:rStyle w:val="Lienhypertexte"/>
          </w:rPr>
          <w:t>https://www.ordre.pharmacien.fr/mediatheque/fichiers/communiques-de-presse/cp-lancement-officiel-d-une-campagne-d-information-nationale-contre-la-soumission-chimique</w:t>
        </w:r>
      </w:hyperlink>
    </w:p>
    <w:p w14:paraId="09BC84CD" w14:textId="77777777" w:rsidR="00B65761" w:rsidRDefault="00B65761" w:rsidP="00B65761">
      <w:pPr>
        <w:pStyle w:val="Textebrut"/>
      </w:pPr>
    </w:p>
    <w:p w14:paraId="1BD0FA81" w14:textId="77777777" w:rsidR="006F2D1F" w:rsidRDefault="006F2D1F" w:rsidP="006F2D1F">
      <w:pPr>
        <w:pStyle w:val="Textebrut"/>
      </w:pPr>
      <w:r>
        <w:t>Prescription des médicaments opioïdes : de nouvelles règles de prescription à partir de mars 2025 (ameli.fr, 03/12/2024).</w:t>
      </w:r>
    </w:p>
    <w:p w14:paraId="3B26EDF9" w14:textId="77777777" w:rsidR="006F2D1F" w:rsidRDefault="006F2D1F" w:rsidP="006F2D1F">
      <w:pPr>
        <w:pStyle w:val="Textebrut"/>
      </w:pPr>
      <w:r>
        <w:t xml:space="preserve">Les médicaments opioïdes, tels que le </w:t>
      </w:r>
      <w:proofErr w:type="spellStart"/>
      <w:r>
        <w:t>tramadol</w:t>
      </w:r>
      <w:proofErr w:type="spellEnd"/>
      <w:r>
        <w:t xml:space="preserve"> et la codéine, nécessitent une attention accrue en raison des risques importants de dépendance, d’abus et de surdosage. Face à la persistance des cas de mésusage et de présentation d’ordonnances falsifiées, l'Agence nationale de sécurité du médicament et des produits de santé (ANSM) a décidé de faire évoluer les règles de prescription</w:t>
      </w:r>
    </w:p>
    <w:p w14:paraId="5008FE88" w14:textId="6C5DCD9F" w:rsidR="006F2D1F" w:rsidRDefault="00BB0F1B" w:rsidP="006F2D1F">
      <w:pPr>
        <w:pStyle w:val="Textebrut"/>
      </w:pPr>
      <w:hyperlink r:id="rId91" w:history="1">
        <w:r w:rsidR="006F2D1F" w:rsidRPr="00980B9A">
          <w:rPr>
            <w:rStyle w:val="Lienhypertexte"/>
          </w:rPr>
          <w:t>https://www.ameli.fr/pharmacien/actualites/prescription-des-medicaments-opioides-de-nouvelles-regles-de-prescription-partir-de-mars-2025</w:t>
        </w:r>
      </w:hyperlink>
    </w:p>
    <w:p w14:paraId="61899AB4" w14:textId="77777777" w:rsidR="006F2D1F" w:rsidRDefault="006F2D1F" w:rsidP="006F2D1F">
      <w:pPr>
        <w:pStyle w:val="Textebrut"/>
      </w:pPr>
    </w:p>
    <w:p w14:paraId="1870A8FA" w14:textId="77777777" w:rsidR="001824D0" w:rsidRDefault="001824D0" w:rsidP="001824D0">
      <w:pPr>
        <w:pStyle w:val="Textebrut"/>
      </w:pPr>
      <w:r>
        <w:t>WEGOVY (</w:t>
      </w:r>
      <w:proofErr w:type="spellStart"/>
      <w:r>
        <w:t>sémaglutide</w:t>
      </w:r>
      <w:proofErr w:type="spellEnd"/>
      <w:r>
        <w:t>) – Obésité (Avis HAS, 04/12/2024).</w:t>
      </w:r>
    </w:p>
    <w:p w14:paraId="350F4DDF" w14:textId="77777777" w:rsidR="001824D0" w:rsidRDefault="001824D0" w:rsidP="001824D0">
      <w:pPr>
        <w:pStyle w:val="Textebrut"/>
      </w:pPr>
      <w:r>
        <w:t>Avis favorable au remboursement uniquement « chez l’adulte ayant un indice de masse corporelle (IMC) initial ≥ 35 kg/m² en cas d’échec de la prise en charge nutritionnelle bien conduite (&lt; 5 % de perte de poids à six mois), en complément d'un régime hypocalorique et d'une augmentation de l'activité physique pour la gestion du poids, incluant la perte de poids et le maintien du poids ».</w:t>
      </w:r>
    </w:p>
    <w:p w14:paraId="272B2FB1" w14:textId="77777777" w:rsidR="001824D0" w:rsidRDefault="001824D0" w:rsidP="001824D0">
      <w:pPr>
        <w:pStyle w:val="Textebrut"/>
      </w:pPr>
      <w:r>
        <w:t>Avis défavorable au remboursement dans les autres situations couvertes par l’indication AMM</w:t>
      </w:r>
    </w:p>
    <w:p w14:paraId="44A0F559" w14:textId="15B848D5" w:rsidR="006F2D1F" w:rsidRDefault="00BB0F1B" w:rsidP="001824D0">
      <w:pPr>
        <w:pStyle w:val="Textebrut"/>
      </w:pPr>
      <w:hyperlink r:id="rId92" w:history="1">
        <w:r w:rsidR="001824D0" w:rsidRPr="00880C32">
          <w:rPr>
            <w:rStyle w:val="Lienhypertexte"/>
          </w:rPr>
          <w:t>https://www.has-sante.fr/jcms/p_3562976/fr/wegovy-semaglutide-obesite</w:t>
        </w:r>
      </w:hyperlink>
    </w:p>
    <w:p w14:paraId="25AE8A89" w14:textId="77777777" w:rsidR="001824D0" w:rsidRDefault="001824D0" w:rsidP="001824D0">
      <w:pPr>
        <w:pStyle w:val="Textebrut"/>
      </w:pPr>
    </w:p>
    <w:p w14:paraId="6BAFBCBD" w14:textId="59198994" w:rsidR="001824D0" w:rsidRDefault="00A35B01" w:rsidP="001824D0">
      <w:pPr>
        <w:pStyle w:val="Textebrut"/>
      </w:pPr>
      <w:r w:rsidRPr="00A35B01">
        <w:t>Message du CORRUSS du 05/12/2024 - Recommandations relatives au dosage sanguin de la carboxyhémoglobine (</w:t>
      </w:r>
      <w:proofErr w:type="spellStart"/>
      <w:r w:rsidRPr="00A35B01">
        <w:t>HbCO</w:t>
      </w:r>
      <w:proofErr w:type="spellEnd"/>
      <w:r w:rsidRPr="00A35B01">
        <w:t>)</w:t>
      </w:r>
    </w:p>
    <w:p w14:paraId="31A8B601" w14:textId="11FF9EE9" w:rsidR="00A35B01" w:rsidRDefault="00BB0F1B" w:rsidP="001824D0">
      <w:pPr>
        <w:pStyle w:val="Textebrut"/>
      </w:pPr>
      <w:hyperlink r:id="rId93" w:history="1">
        <w:r w:rsidR="00A35B01" w:rsidRPr="002813FC">
          <w:rPr>
            <w:rStyle w:val="Lienhypertexte"/>
          </w:rPr>
          <w:t>https://peps.sante.gouv.fr/actu/2024/24_corruss_dosage-hbco-oxymetre_05122024.pdf</w:t>
        </w:r>
      </w:hyperlink>
    </w:p>
    <w:p w14:paraId="2D246C04" w14:textId="77777777" w:rsidR="00A35B01" w:rsidRDefault="00A35B01" w:rsidP="001824D0">
      <w:pPr>
        <w:pStyle w:val="Textebrut"/>
      </w:pPr>
    </w:p>
    <w:p w14:paraId="6CE847CA" w14:textId="77777777" w:rsidR="00471D9B" w:rsidRDefault="00471D9B" w:rsidP="00471D9B">
      <w:pPr>
        <w:pStyle w:val="Textebrut"/>
      </w:pPr>
      <w:r>
        <w:t>Expérimenter et innover pour mieux soigner - Organisation et financement du système de santé (Ministère, 02/12/2024).</w:t>
      </w:r>
    </w:p>
    <w:p w14:paraId="2616FC95" w14:textId="77777777" w:rsidR="00471D9B" w:rsidRDefault="00471D9B" w:rsidP="00471D9B">
      <w:pPr>
        <w:pStyle w:val="Textebrut"/>
      </w:pPr>
      <w:r>
        <w:t>Depuis 2017, le ministère chargé de la santé met en œuvre la réforme de l’organisation et du financement de notre système de santé. Actuellement, plusieurs modalités coexistent : le financement des soins de ville, le financement hospitalier (fondé en partie sur la tarification à l’activité ou T2A) et le financement du secteur médico-social. A l’heure où les parcours de santé se mettent progressivement en place pour assurer une prise en charge globale des patients quel que soit le professionnel concerné, cette approche segmentée atteint ses limites</w:t>
      </w:r>
    </w:p>
    <w:p w14:paraId="7F2C259A" w14:textId="1B51F1E2" w:rsidR="00471D9B" w:rsidRDefault="00BB0F1B" w:rsidP="00471D9B">
      <w:pPr>
        <w:pStyle w:val="Textebrut"/>
      </w:pPr>
      <w:hyperlink r:id="rId94" w:history="1">
        <w:r w:rsidR="00471D9B" w:rsidRPr="002813FC">
          <w:rPr>
            <w:rStyle w:val="Lienhypertexte"/>
          </w:rPr>
          <w:t>https://sante.gouv.fr/systeme-de-sante/parcours-des-patients-et-des-usagers/article-51-lfss-2018-innovations-organisationnelles-pour-la-transformation-du/article-51</w:t>
        </w:r>
      </w:hyperlink>
    </w:p>
    <w:p w14:paraId="0FA8DFD8" w14:textId="5C3F3048" w:rsidR="00471D9B" w:rsidRDefault="00471D9B" w:rsidP="00471D9B">
      <w:pPr>
        <w:pStyle w:val="Textebrut"/>
      </w:pPr>
      <w:r>
        <w:t>Rapport au parlement 2024 sur les expérimentations innovantes en santé (Ministère de la santé, 28/11/2024).</w:t>
      </w:r>
    </w:p>
    <w:p w14:paraId="5CA01864" w14:textId="77777777" w:rsidR="00471D9B" w:rsidRDefault="00471D9B" w:rsidP="00471D9B">
      <w:pPr>
        <w:pStyle w:val="Textebrut"/>
      </w:pPr>
      <w:r>
        <w:t>Article 51 de la loi de financement de la sécurité sociale pour 2018</w:t>
      </w:r>
    </w:p>
    <w:p w14:paraId="4B9D633B" w14:textId="390FC510" w:rsidR="00A35B01" w:rsidRDefault="00BB0F1B" w:rsidP="00471D9B">
      <w:pPr>
        <w:pStyle w:val="Textebrut"/>
      </w:pPr>
      <w:hyperlink r:id="rId95" w:history="1">
        <w:r w:rsidR="00471D9B" w:rsidRPr="002813FC">
          <w:rPr>
            <w:rStyle w:val="Lienhypertexte"/>
          </w:rPr>
          <w:t>https://sante.gouv.fr/IMG/pdf/rapport_au_parlement_article_51_2023.pdf</w:t>
        </w:r>
      </w:hyperlink>
    </w:p>
    <w:p w14:paraId="68D71DA7" w14:textId="77777777" w:rsidR="00471D9B" w:rsidRDefault="00471D9B" w:rsidP="00471D9B">
      <w:pPr>
        <w:pStyle w:val="Textebrut"/>
      </w:pPr>
    </w:p>
    <w:p w14:paraId="077E0830" w14:textId="77777777" w:rsidR="00A321D8" w:rsidRDefault="00A321D8" w:rsidP="00A321D8">
      <w:pPr>
        <w:pStyle w:val="Textebrut"/>
      </w:pPr>
      <w:r>
        <w:t>Radiation de l’Ordre des pharmaciens d’une société et d’un titulaire d’officine suite à la perte de leur licence d’exploitation (CNOP, 05/12/2024).</w:t>
      </w:r>
    </w:p>
    <w:p w14:paraId="090CC72F" w14:textId="77777777" w:rsidR="00A321D8" w:rsidRDefault="00A321D8" w:rsidP="00A321D8">
      <w:pPr>
        <w:pStyle w:val="Textebrut"/>
      </w:pPr>
      <w:r>
        <w:t>Par un arrêté du 11 février 2021, une agence régionale de santé a autorisé le transfert d’une officine exploitée par une société vers une nouvelle adresse, située dans la même commune, et a délivré à cet effet une licence de transfert. Par deux arrêtés du 24 avril 2023, l’ARS a constaté, d’une part, la caducité de la licence ainsi délivrée au motif qu’il n’y avait pas eu de début d’exploitation à l’emplacement de transfert autorisé par cette licence et, d’autre part, la caducité de la licence initiale du fait de la cessation définitive d’activité dans les anciens locaux</w:t>
      </w:r>
    </w:p>
    <w:p w14:paraId="65146FDE" w14:textId="2AF97191" w:rsidR="00471D9B" w:rsidRDefault="00BB0F1B" w:rsidP="00A321D8">
      <w:pPr>
        <w:pStyle w:val="Textebrut"/>
      </w:pPr>
      <w:hyperlink r:id="rId96" w:history="1">
        <w:r w:rsidR="00A321D8" w:rsidRPr="002813FC">
          <w:rPr>
            <w:rStyle w:val="Lienhypertexte"/>
          </w:rPr>
          <w:t>https://www.ordre.pharmacien.fr/les-communications/focus-sur/les-actualites/radiation-de-l-ordre-des-pharmaciens-d-une-societe-et-d-un-titulaire-d-officine-suite-a-la-perte-de-leur-licence-d-exploitation</w:t>
        </w:r>
      </w:hyperlink>
    </w:p>
    <w:p w14:paraId="241414B3" w14:textId="77777777" w:rsidR="00A321D8" w:rsidRDefault="00A321D8" w:rsidP="00A321D8">
      <w:pPr>
        <w:pStyle w:val="Textebrut"/>
      </w:pPr>
    </w:p>
    <w:p w14:paraId="7111D0AB" w14:textId="77777777" w:rsidR="00B904B9" w:rsidRDefault="00B904B9" w:rsidP="00B904B9">
      <w:pPr>
        <w:pStyle w:val="Textebrut"/>
      </w:pPr>
      <w:r>
        <w:t>Avis du HCSP du 24/10/2024 relatif à la révision de critères de sélection faisant l'objet de contre-indications au don du sang du fait de risques infectieux.</w:t>
      </w:r>
    </w:p>
    <w:p w14:paraId="537F2396" w14:textId="77777777" w:rsidR="00B904B9" w:rsidRDefault="00B904B9" w:rsidP="00B904B9">
      <w:pPr>
        <w:pStyle w:val="Textebrut"/>
      </w:pPr>
      <w:r>
        <w:t>Le Haut Conseil de la santé publique (HCSP) émet des recommandations sur la révision de critères de sélection des donneurs de sang liés aux risques infectieux. En plus des 4 critères sur lesquels il devait se prononcer (antécédents de transfusion sanguine et des voyages ou séjours au Royaume-Uni supérieurs à un an, implants dentaires considérés comme une allogreffe, piercing et tatouage), le HCSP a choisi d’en ajouter certains qui font l'objet d'une contre-indication temporaire au don de sang de 4 mois : actes d’acupuncture, de sclérose de varices, de mésothérapie, et d’endoscopie avec instrument flexible</w:t>
      </w:r>
    </w:p>
    <w:p w14:paraId="214F37A9" w14:textId="06241509" w:rsidR="00471D9B" w:rsidRDefault="00BB0F1B" w:rsidP="00B904B9">
      <w:pPr>
        <w:pStyle w:val="Textebrut"/>
      </w:pPr>
      <w:hyperlink r:id="rId97" w:history="1">
        <w:r w:rsidR="00B904B9" w:rsidRPr="00F96FBA">
          <w:rPr>
            <w:rStyle w:val="Lienhypertexte"/>
          </w:rPr>
          <w:t>https://www.hcsp.fr/Explore.cgi/avisrapportsdomaine?clefr=1406</w:t>
        </w:r>
      </w:hyperlink>
    </w:p>
    <w:p w14:paraId="4B6C2CA4" w14:textId="77777777" w:rsidR="00B904B9" w:rsidRDefault="00B904B9" w:rsidP="00B904B9">
      <w:pPr>
        <w:pStyle w:val="Textebrut"/>
      </w:pPr>
    </w:p>
    <w:p w14:paraId="70B752E5" w14:textId="77777777" w:rsidR="004E27B3" w:rsidRDefault="004E27B3" w:rsidP="004E27B3">
      <w:pPr>
        <w:pStyle w:val="Textebrut"/>
      </w:pPr>
      <w:r>
        <w:t xml:space="preserve">Les mutations de résistance au </w:t>
      </w:r>
      <w:proofErr w:type="spellStart"/>
      <w:r>
        <w:t>nirsevimab</w:t>
      </w:r>
      <w:proofErr w:type="spellEnd"/>
      <w:r>
        <w:t xml:space="preserve"> apparaissent rarement chez le virus respiratoire syncytial (VRS) (Institut Pasteur, 15/10/2024).</w:t>
      </w:r>
    </w:p>
    <w:p w14:paraId="43F41DF1" w14:textId="77777777" w:rsidR="004E27B3" w:rsidRDefault="004E27B3" w:rsidP="004E27B3">
      <w:pPr>
        <w:pStyle w:val="Textebrut"/>
      </w:pPr>
      <w:r>
        <w:t xml:space="preserve">Le </w:t>
      </w:r>
      <w:proofErr w:type="spellStart"/>
      <w:r>
        <w:t>nirsevimab</w:t>
      </w:r>
      <w:proofErr w:type="spellEnd"/>
      <w:r>
        <w:t xml:space="preserve"> est un anticorps ciblant le virus respiratoire syncytial (VRS). Mis à disposition en France depuis septembre 2023, il est indiqué chez les nouveau-nés et nourrissons dans la prévention des bronchiolites causées par le VRS. Sa large diffusion soulève cependant la question de l’apparition de mutations de résistance. La plus grande étude de surveillance prospective de la sensibilité au </w:t>
      </w:r>
      <w:proofErr w:type="spellStart"/>
      <w:r>
        <w:t>nirsevimab</w:t>
      </w:r>
      <w:proofErr w:type="spellEnd"/>
      <w:r>
        <w:t xml:space="preserve"> menée à ce jour, l’étude POLYRES, vient de livrer ses conclusions. Ces travaux coordonnés par les Pr. Slim </w:t>
      </w:r>
      <w:proofErr w:type="spellStart"/>
      <w:r>
        <w:t>Fourati</w:t>
      </w:r>
      <w:proofErr w:type="spellEnd"/>
      <w:r>
        <w:t xml:space="preserve"> et Marie-Anne Rameix-Welti1ont bénéficié d’un financement de l’ANRS MIE grâce au soutien du ministère de l’Enseignement supérieur et de la Recherche dans le cadre du Consortium EMERGEN2. Les scientifiques de l’AP-HP (dont ceux des Hôpitaux Universitaires Henri Mondor), de l’Inserm, de l’Institut Pasteur et des Université Paris-Est-Créteil et Université de Versailles-Saint-Quentin-en-Yvelines, membres des équipes du réseau de virologie de l’ANRS MIE, ont montré que les mutations de résistance au </w:t>
      </w:r>
      <w:proofErr w:type="spellStart"/>
      <w:r>
        <w:t>nirsevimab</w:t>
      </w:r>
      <w:proofErr w:type="spellEnd"/>
      <w:r>
        <w:t xml:space="preserve"> étaient très rares chez le VRS. Les résultats de l’étude viennent de paraître dans la revue Lancet </w:t>
      </w:r>
      <w:proofErr w:type="spellStart"/>
      <w:r>
        <w:t>Infectious</w:t>
      </w:r>
      <w:proofErr w:type="spellEnd"/>
      <w:r>
        <w:t xml:space="preserve"> </w:t>
      </w:r>
      <w:proofErr w:type="spellStart"/>
      <w:r>
        <w:t>Diseases</w:t>
      </w:r>
      <w:proofErr w:type="spellEnd"/>
      <w:r>
        <w:t xml:space="preserve"> du 15 octobre 2024</w:t>
      </w:r>
    </w:p>
    <w:p w14:paraId="268DC24D" w14:textId="5BE17873" w:rsidR="00B904B9" w:rsidRDefault="00BB0F1B" w:rsidP="004E27B3">
      <w:pPr>
        <w:pStyle w:val="Textebrut"/>
      </w:pPr>
      <w:hyperlink r:id="rId98" w:history="1">
        <w:r w:rsidR="004E27B3" w:rsidRPr="00FF10BB">
          <w:rPr>
            <w:rStyle w:val="Lienhypertexte"/>
          </w:rPr>
          <w:t>https://www.pasteur.fr/fr/espace-presse/documents-presse/mutations-resistance-au-nirsevimab-apparaissent-rarement-virus-respiratoire-syncytial-vrs</w:t>
        </w:r>
      </w:hyperlink>
    </w:p>
    <w:p w14:paraId="0E00BD5C" w14:textId="77777777" w:rsidR="004E27B3" w:rsidRDefault="004E27B3" w:rsidP="004E27B3">
      <w:pPr>
        <w:pStyle w:val="Textebrut"/>
      </w:pPr>
    </w:p>
    <w:p w14:paraId="1F7B750D" w14:textId="77777777" w:rsidR="00BB13DF" w:rsidRDefault="00BB13DF" w:rsidP="00BB13DF">
      <w:pPr>
        <w:pStyle w:val="Textebrut"/>
      </w:pPr>
      <w:r>
        <w:t>Sérialisation : 972 pharmacies encore non actives sur France MVO (USPO, 06/12/2024).</w:t>
      </w:r>
    </w:p>
    <w:p w14:paraId="5E462519" w14:textId="77777777" w:rsidR="00BB13DF" w:rsidRDefault="00BB13DF" w:rsidP="00BB13DF">
      <w:pPr>
        <w:pStyle w:val="Textebrut"/>
      </w:pPr>
      <w:r>
        <w:t>A date, seulement 75% des boites de médicaments dispensées sont vérifiées et désactivées via la sérialisation ; cela s’explique par le défaut d’activité de certaines officines et pharmacies hospitalières qui empêche ainsi la stabilisation et l’efficacité de ce mécanisme de sécurité européen. Début décembre, 972 officines étaient encore non actives sur France MVO*, dont 576 territorialement réparties comme suit : 248 en Ile-de-France, 116 Nouvelle-Aquitaine, 107 en PACA et 105 en Hauts-de-France</w:t>
      </w:r>
    </w:p>
    <w:p w14:paraId="10FFB358" w14:textId="3451D67D" w:rsidR="004E27B3" w:rsidRDefault="00BB0F1B" w:rsidP="00BB13DF">
      <w:pPr>
        <w:pStyle w:val="Textebrut"/>
      </w:pPr>
      <w:hyperlink r:id="rId99" w:history="1">
        <w:r w:rsidR="00BB13DF" w:rsidRPr="00FF10BB">
          <w:rPr>
            <w:rStyle w:val="Lienhypertexte"/>
          </w:rPr>
          <w:t>https://uspo.fr/serialisation-972-pharmacies-encore-non-actives-sur-france-mvo/</w:t>
        </w:r>
      </w:hyperlink>
    </w:p>
    <w:p w14:paraId="52DC11EB" w14:textId="77777777" w:rsidR="00BB13DF" w:rsidRDefault="00BB13DF" w:rsidP="00BB13DF">
      <w:pPr>
        <w:pStyle w:val="Textebrut"/>
      </w:pPr>
    </w:p>
    <w:p w14:paraId="41DAAEEC" w14:textId="77777777" w:rsidR="00BB0F1B" w:rsidRDefault="00BB0F1B" w:rsidP="00BB13DF">
      <w:pPr>
        <w:pStyle w:val="Textebrut"/>
      </w:pPr>
    </w:p>
    <w:p w14:paraId="1A309226" w14:textId="77777777" w:rsidR="00BB0F1B" w:rsidRDefault="00BB0F1B" w:rsidP="00BB13DF">
      <w:pPr>
        <w:pStyle w:val="Textebrut"/>
      </w:pPr>
    </w:p>
    <w:p w14:paraId="538AAF54" w14:textId="77777777" w:rsidR="001E7D69" w:rsidRDefault="001E7D69" w:rsidP="001E7D69">
      <w:pPr>
        <w:pStyle w:val="Textebrut"/>
      </w:pPr>
      <w:r>
        <w:lastRenderedPageBreak/>
        <w:t>Retour d’information sur le PRAC de décembre 2024 (25 – 28 novembre) (ANSM, 09/12/2024).</w:t>
      </w:r>
    </w:p>
    <w:p w14:paraId="0A750CCD" w14:textId="77777777" w:rsidR="001E7D69" w:rsidRDefault="001E7D69" w:rsidP="001E7D69">
      <w:pPr>
        <w:pStyle w:val="Textebrut"/>
      </w:pPr>
      <w:r>
        <w:t>Le comité de pharmacovigilance (PRAC) de l’Agence européenne des médicaments (EMA) a examiné l’ensemble des données disponibles sur l’utilisation de médicaments contenant de la doxycycline et le risque de suicide. Le PRAC a conclu que les données actuellement disponibles ne sont pas suffisantes pour établir un lien de causalité entre la prise de doxycycline et le risque d’idées suicidaires/suicide</w:t>
      </w:r>
    </w:p>
    <w:p w14:paraId="4B157C27" w14:textId="510ADBC8" w:rsidR="00BB13DF" w:rsidRDefault="00BB0F1B" w:rsidP="001E7D69">
      <w:pPr>
        <w:pStyle w:val="Textebrut"/>
      </w:pPr>
      <w:hyperlink r:id="rId100" w:history="1">
        <w:r w:rsidR="001E7D69" w:rsidRPr="00FF10BB">
          <w:rPr>
            <w:rStyle w:val="Lienhypertexte"/>
          </w:rPr>
          <w:t>https://ansm.sante.fr/actualites/retour-dinformation-sur-le-prac-de-decembre-2024-25-28-novembre</w:t>
        </w:r>
      </w:hyperlink>
    </w:p>
    <w:p w14:paraId="1CA5DDEE" w14:textId="77777777" w:rsidR="001E7D69" w:rsidRDefault="001E7D69" w:rsidP="001E7D69">
      <w:pPr>
        <w:pStyle w:val="Textebrut"/>
      </w:pPr>
    </w:p>
    <w:p w14:paraId="1F7B8D00" w14:textId="77777777" w:rsidR="00A044F6" w:rsidRDefault="00A044F6" w:rsidP="00A044F6">
      <w:pPr>
        <w:pStyle w:val="Textebrut"/>
      </w:pPr>
      <w:r>
        <w:t>Travailler dans la fonction publique : le défi de l'attractivité (France stratégie, 09/12/2024).</w:t>
      </w:r>
    </w:p>
    <w:p w14:paraId="61DCFC35" w14:textId="77777777" w:rsidR="00A044F6" w:rsidRDefault="00A044F6" w:rsidP="00A044F6">
      <w:pPr>
        <w:pStyle w:val="Textebrut"/>
      </w:pPr>
      <w:r>
        <w:t>15 % des postes offerts aux concours de la fonction publique d'Etat non pourvus en 2022, 21 % des lits de l'AP-HP fermés la même année, dont 70 % par manque de personnel, 64% des collectivités territoriales indiquant au moins un champ professionnel en tension en 2023. Ces quelques chiffres illustrent la crise d'attractivité que connait la fonction publique. Cette crise est d'une nature et d'une ampleur nouvelle, et devrait se prolonger dans les années à venir. Les auteurs éclairent de manière inédite ces difficultés d'attractivité et leurs déterminants : image, carrières, rémunérations, conditions de travail, en comparaison avec le secteur privé. Autant de facteurs qui doivent être mobilisés conjointement comme leviers d'action pour reconstruire l'attractivité de la fonction publique</w:t>
      </w:r>
    </w:p>
    <w:p w14:paraId="5ADD6DDE" w14:textId="6BFEBFFC" w:rsidR="001E7D69" w:rsidRDefault="00BB0F1B" w:rsidP="00A044F6">
      <w:pPr>
        <w:pStyle w:val="Textebrut"/>
      </w:pPr>
      <w:hyperlink r:id="rId101" w:history="1">
        <w:r w:rsidR="00A044F6" w:rsidRPr="00F446F1">
          <w:rPr>
            <w:rStyle w:val="Lienhypertexte"/>
          </w:rPr>
          <w:t>https://www.strategie.gouv.fr/publications/travailler-fonction-publique-defi-de-lattractivite</w:t>
        </w:r>
      </w:hyperlink>
    </w:p>
    <w:p w14:paraId="2D64F4A4" w14:textId="77777777" w:rsidR="00A044F6" w:rsidRDefault="00A044F6" w:rsidP="00A044F6">
      <w:pPr>
        <w:pStyle w:val="Textebrut"/>
      </w:pPr>
    </w:p>
    <w:p w14:paraId="664A1074" w14:textId="77777777" w:rsidR="001F06F3" w:rsidRDefault="001F06F3" w:rsidP="001F06F3">
      <w:pPr>
        <w:pStyle w:val="Textebrut"/>
      </w:pPr>
      <w:r>
        <w:t xml:space="preserve">Communiqué du 10/12/2024 - Utilisation des stocks sanitaires européens « </w:t>
      </w:r>
      <w:proofErr w:type="spellStart"/>
      <w:r>
        <w:t>rescEU</w:t>
      </w:r>
      <w:proofErr w:type="spellEnd"/>
      <w:r>
        <w:t xml:space="preserve"> » en soutien d’une gestion nationale des risques NRBC.</w:t>
      </w:r>
    </w:p>
    <w:p w14:paraId="4266168B" w14:textId="77777777" w:rsidR="001F06F3" w:rsidRDefault="001F06F3" w:rsidP="001F06F3">
      <w:pPr>
        <w:pStyle w:val="Textebrut"/>
      </w:pPr>
      <w:r>
        <w:t>A l’issue d’un appel à propositions lancé en 2023, la Commission européenne (CE) a attribué un budget de 188 millions d’euros (hors taxes) à la France pour constituer et maintenir des stocks de contre-mesures afin de faire face à une crise sanitaire pandémique ou liée aux risques nucléaires, radiologiques, biologiques et chimiques (NRBC). Le premier versement par la CE est intervenu début 2024</w:t>
      </w:r>
    </w:p>
    <w:p w14:paraId="63939114" w14:textId="32BD48E9" w:rsidR="00A044F6" w:rsidRDefault="00BB0F1B" w:rsidP="001F06F3">
      <w:pPr>
        <w:pStyle w:val="Textebrut"/>
      </w:pPr>
      <w:hyperlink r:id="rId102" w:history="1">
        <w:r w:rsidR="001F06F3" w:rsidRPr="00F446F1">
          <w:rPr>
            <w:rStyle w:val="Lienhypertexte"/>
          </w:rPr>
          <w:t>https://sante.gouv.fr/actualites/actualites-du-ministere/article/utilisation-des-stocks-sanitaires-europeens-resceu-en-soutien-d-une-gestion</w:t>
        </w:r>
      </w:hyperlink>
    </w:p>
    <w:p w14:paraId="5070BC18" w14:textId="77777777" w:rsidR="001F06F3" w:rsidRDefault="001F06F3" w:rsidP="001F06F3">
      <w:pPr>
        <w:pStyle w:val="Textebrut"/>
      </w:pPr>
    </w:p>
    <w:p w14:paraId="2B931CAB" w14:textId="77777777" w:rsidR="001B3CD9" w:rsidRDefault="001B3CD9" w:rsidP="001B3CD9">
      <w:pPr>
        <w:pStyle w:val="Textebrut"/>
      </w:pPr>
      <w:r>
        <w:t xml:space="preserve">Avis du HCSP du 07/11/2024 relatif à la circulation du virus </w:t>
      </w:r>
      <w:proofErr w:type="spellStart"/>
      <w:r>
        <w:t>Oropouche</w:t>
      </w:r>
      <w:proofErr w:type="spellEnd"/>
      <w:r>
        <w:t xml:space="preserve"> en Amérique latine et dans les Caraïbes, aux recommandations sanitaires pour les voyageurs et à la prise en soins des personnes infectées</w:t>
      </w:r>
    </w:p>
    <w:p w14:paraId="5EBEC992" w14:textId="1939F04E" w:rsidR="001F06F3" w:rsidRDefault="00BB0F1B" w:rsidP="001B3CD9">
      <w:pPr>
        <w:pStyle w:val="Textebrut"/>
      </w:pPr>
      <w:hyperlink r:id="rId103" w:history="1">
        <w:r w:rsidR="001B3CD9" w:rsidRPr="00BE1A5B">
          <w:rPr>
            <w:rStyle w:val="Lienhypertexte"/>
          </w:rPr>
          <w:t>https://www.hcsp.fr/Explore.cgi/avisrapportsdomaine?clefr=1408</w:t>
        </w:r>
      </w:hyperlink>
    </w:p>
    <w:p w14:paraId="04189AC3" w14:textId="77777777" w:rsidR="001B3CD9" w:rsidRDefault="001B3CD9" w:rsidP="001B3CD9">
      <w:pPr>
        <w:pStyle w:val="Textebrut"/>
      </w:pPr>
    </w:p>
    <w:p w14:paraId="3BEF383A" w14:textId="77777777" w:rsidR="001B3CD9" w:rsidRDefault="001B3CD9" w:rsidP="001B3CD9">
      <w:pPr>
        <w:pStyle w:val="Textebrut"/>
      </w:pPr>
      <w:r>
        <w:t>Influenza D : une transmission possible des bovins aux porcs (ANSES, 03/12/2024).</w:t>
      </w:r>
    </w:p>
    <w:p w14:paraId="634CE142" w14:textId="77777777" w:rsidR="001B3CD9" w:rsidRDefault="001B3CD9" w:rsidP="001B3CD9">
      <w:pPr>
        <w:pStyle w:val="Textebrut"/>
      </w:pPr>
      <w:r>
        <w:t>Le virus influenza de type D est un virus de la grippe qui affecte principalement les bovins. Cependant, le laboratoire de Ploufragan-Plouzané-Niort de l’Anses a isolé pour la première fois en France ce virus chez le porc. Ce passage inter-espèce illustre l’intérêt de recherches destinées à mieux étudier un éventuel risque de transmission du virus à l’être humain</w:t>
      </w:r>
    </w:p>
    <w:p w14:paraId="3AFC2F78" w14:textId="2BD9E0FF" w:rsidR="001B3CD9" w:rsidRDefault="00BB0F1B" w:rsidP="001B3CD9">
      <w:pPr>
        <w:pStyle w:val="Textebrut"/>
      </w:pPr>
      <w:hyperlink r:id="rId104" w:history="1">
        <w:r w:rsidR="001B3CD9" w:rsidRPr="00BE1A5B">
          <w:rPr>
            <w:rStyle w:val="Lienhypertexte"/>
          </w:rPr>
          <w:t>https://www.anses.fr/fr/content/influenza-D-une-transmission-possible-des-bovins-aux-porcs</w:t>
        </w:r>
      </w:hyperlink>
    </w:p>
    <w:p w14:paraId="016FCDB2" w14:textId="77777777" w:rsidR="001B3CD9" w:rsidRDefault="001B3CD9" w:rsidP="001B3CD9">
      <w:pPr>
        <w:pStyle w:val="Textebrut"/>
      </w:pPr>
    </w:p>
    <w:p w14:paraId="3774E1D0" w14:textId="49B967C7" w:rsidR="00A03A2E" w:rsidRDefault="00A03A2E" w:rsidP="001B3CD9">
      <w:pPr>
        <w:pStyle w:val="Textebrut"/>
      </w:pPr>
      <w:r w:rsidRPr="00A03A2E">
        <w:t>Épidémie de bronchiolite : les traitements préventifs pour protéger les tout-petits</w:t>
      </w:r>
      <w:r>
        <w:t xml:space="preserve"> (ameli.fr, 11/12/2024).</w:t>
      </w:r>
    </w:p>
    <w:p w14:paraId="6A8C5279" w14:textId="39B3B0C2" w:rsidR="00A03A2E" w:rsidRDefault="00BB0F1B" w:rsidP="001B3CD9">
      <w:pPr>
        <w:pStyle w:val="Textebrut"/>
      </w:pPr>
      <w:hyperlink r:id="rId105" w:history="1">
        <w:r w:rsidR="00A03A2E" w:rsidRPr="00995B50">
          <w:rPr>
            <w:rStyle w:val="Lienhypertexte"/>
          </w:rPr>
          <w:t>https://www.ameli.fr/assure/actualites/epidemie-de-bronchiolite-les-traitements-preventifs-pour-proteger-les-tout-petits</w:t>
        </w:r>
      </w:hyperlink>
    </w:p>
    <w:p w14:paraId="6BA22949" w14:textId="77777777" w:rsidR="00A03A2E" w:rsidRDefault="00A03A2E" w:rsidP="001B3CD9">
      <w:pPr>
        <w:pStyle w:val="Textebrut"/>
      </w:pPr>
    </w:p>
    <w:p w14:paraId="1DA00079" w14:textId="77777777" w:rsidR="001F5360" w:rsidRDefault="001F5360" w:rsidP="001F5360">
      <w:pPr>
        <w:pStyle w:val="Textebrut"/>
      </w:pPr>
      <w:r>
        <w:t>Produits de protection solaire : mieux informer les consommateurs pour une meilleure protection (ANSES, 11/12/2024).</w:t>
      </w:r>
    </w:p>
    <w:p w14:paraId="1E3EE445" w14:textId="77777777" w:rsidR="001F5360" w:rsidRDefault="001F5360" w:rsidP="001F5360">
      <w:pPr>
        <w:pStyle w:val="Textebrut"/>
      </w:pPr>
      <w:r>
        <w:t>La Commission européenne va réviser la recommandation sur les allégations de sécurité et d’efficacité des produits de protection solaire, formulée en 2006 aux industriels. L’objectif est de mieux orienter le consommateur dans le choix de ces produits et sur leur utilisation. En appui de cette révision, l’Anses a produit un avis qui incite à rendre la recommandation plus claire et plus contraignante, pour une meilleure protection des utilisateurs de produits solaires</w:t>
      </w:r>
    </w:p>
    <w:p w14:paraId="6DC7FB63" w14:textId="77777777" w:rsidR="001F5360" w:rsidRDefault="00BB0F1B" w:rsidP="001F5360">
      <w:pPr>
        <w:pStyle w:val="Textebrut"/>
      </w:pPr>
      <w:hyperlink r:id="rId106" w:history="1">
        <w:r w:rsidR="001F5360" w:rsidRPr="00BE1A5B">
          <w:rPr>
            <w:rStyle w:val="Lienhypertexte"/>
          </w:rPr>
          <w:t>https://www.anses.fr/fr/content/produits-de-protection-solaire-mieux-informer-les-consommateurs-pour-une-meilleure-protection</w:t>
        </w:r>
      </w:hyperlink>
    </w:p>
    <w:p w14:paraId="50F9E3AB" w14:textId="77777777" w:rsidR="001F5360" w:rsidRDefault="001F5360" w:rsidP="001B3CD9">
      <w:pPr>
        <w:pStyle w:val="Textebrut"/>
      </w:pPr>
    </w:p>
    <w:p w14:paraId="3DADF546" w14:textId="77777777" w:rsidR="00DB42E2" w:rsidRDefault="00DB42E2" w:rsidP="00DB42E2">
      <w:pPr>
        <w:pStyle w:val="Textebrut"/>
      </w:pPr>
      <w:r>
        <w:lastRenderedPageBreak/>
        <w:t>L’accès aux études de santé (Cour des comptes, 11/12/2024).</w:t>
      </w:r>
    </w:p>
    <w:p w14:paraId="55A74DC7" w14:textId="77777777" w:rsidR="00DB42E2" w:rsidRDefault="00DB42E2" w:rsidP="00DB42E2">
      <w:pPr>
        <w:pStyle w:val="Textebrut"/>
      </w:pPr>
      <w:r>
        <w:t>La première année commune aux études de santé (PACES) constituait, depuis 2010, une année de préparation à des épreuves de sélection pour intégrer les formations en santé. Elle concernait 57 000 étudiants en 2019 et sélectionnait 9 700 étudiants en médecine, 1 000 étudiants en maïeutique, 1 400 étudiants en odontologie et 3 900 étudiants en pharmacie (MMOP). Alors que cette PACES était critiquée pour ses modalités d’enseignement et pour sa proportion d’échecs importante, souvent après deux tentatives, la nécessité de faire évoluer le dispositif est rapidement apparue, donnant lieu à des expérimentations en vue d’une réforme de l’accès aux études de santé en 2019. Cette dernière, complexe et mal conçue, a rencontré des difficultés de mise en œuvre. Bien que les critères de détermination des effectifs à former aient évolué, permettant une augmentation du nombre d'admis, cette hausse reste insuffisante pour répondre pleinement aux besoins en santé</w:t>
      </w:r>
    </w:p>
    <w:p w14:paraId="79770A3F" w14:textId="3A3A36ED" w:rsidR="001B3CD9" w:rsidRDefault="00BB0F1B" w:rsidP="00DB42E2">
      <w:pPr>
        <w:pStyle w:val="Textebrut"/>
      </w:pPr>
      <w:hyperlink r:id="rId107" w:history="1">
        <w:r w:rsidR="00DB42E2" w:rsidRPr="00A07A13">
          <w:rPr>
            <w:rStyle w:val="Lienhypertexte"/>
          </w:rPr>
          <w:t>https://www.ccomptes.fr/fr/publications/lacces-aux-etudes-de-sante</w:t>
        </w:r>
      </w:hyperlink>
    </w:p>
    <w:p w14:paraId="53EA6614" w14:textId="77777777" w:rsidR="00B14BBE" w:rsidRDefault="00B14BBE" w:rsidP="00B14BBE">
      <w:pPr>
        <w:pStyle w:val="Textebrut"/>
      </w:pPr>
      <w:r>
        <w:t>Études de santé - L’accès direct aux études de pharmacie dès la sortie du bac encouragé par la Cour des comptes (Le Quotidien du pharmacien, 12/12/2024).</w:t>
      </w:r>
    </w:p>
    <w:p w14:paraId="625AFCFB" w14:textId="77777777" w:rsidR="00B14BBE" w:rsidRDefault="00B14BBE" w:rsidP="00B14BBE">
      <w:pPr>
        <w:pStyle w:val="Textebrut"/>
      </w:pPr>
      <w:r>
        <w:t>Dans un rapport dévoilé mercredi 11 décembre, la Cour des comptes juge sévèrement la réforme de l’accès aux études de santé, qui a mis fin à la PACES et instauré plusieurs voies d’accès aux différentes filières. Conscients du manque d’attractivité de la pharmacie auprès des jeunes, les Sages proposent un début de piste pour lutter contre ce problème</w:t>
      </w:r>
    </w:p>
    <w:p w14:paraId="6E8B008F" w14:textId="72BA4F76" w:rsidR="00DB42E2" w:rsidRDefault="00BB0F1B" w:rsidP="00B14BBE">
      <w:pPr>
        <w:pStyle w:val="Textebrut"/>
      </w:pPr>
      <w:hyperlink r:id="rId108" w:history="1">
        <w:r w:rsidR="00B14BBE" w:rsidRPr="00A07A13">
          <w:rPr>
            <w:rStyle w:val="Lienhypertexte"/>
          </w:rPr>
          <w:t>https://www.lequotidiendupharmacien.fr/exercice-pro/etudes-formation-continue/lacces-direct-aux-etudes-de-pharmacie-des-la-sortie-du-bac-encourage-par-la-cour-des-comptes</w:t>
        </w:r>
      </w:hyperlink>
    </w:p>
    <w:p w14:paraId="5526058E" w14:textId="5CAE3F1B" w:rsidR="000019A9" w:rsidRDefault="000019A9" w:rsidP="000019A9">
      <w:pPr>
        <w:pStyle w:val="Textebrut"/>
      </w:pPr>
      <w:r>
        <w:t>Communiqué "Réforme d'accès aux études de santé. L'Académie salue l'appel de la Cour des comptes à une simplification indispensable" (Académie nationale de pharmacie, 13/12/2024).</w:t>
      </w:r>
    </w:p>
    <w:p w14:paraId="2EAFF161" w14:textId="77777777" w:rsidR="000019A9" w:rsidRDefault="000019A9" w:rsidP="000019A9">
      <w:pPr>
        <w:pStyle w:val="Textebrut"/>
      </w:pPr>
      <w:r>
        <w:t>Dans un Rapport très attendu du 11 décembre 2024, la Cour des comptes dresse un bilan mitigé de la réforme dite REES, quatre ans après sa mise en place, et préconise l’abandon du système PASS/LAS.</w:t>
      </w:r>
    </w:p>
    <w:p w14:paraId="2ECBD315" w14:textId="77777777" w:rsidR="000019A9" w:rsidRDefault="000019A9" w:rsidP="000019A9">
      <w:pPr>
        <w:pStyle w:val="Textebrut"/>
      </w:pPr>
      <w:r>
        <w:t xml:space="preserve">Face aux dysfonctionnements, aux incompréhensions et au manque d’appropriation d’une réforme délétère tant pour les étudiants que pour l’ensemble d’une profession, la Cour appelle au déploiement d’une voie unique d’accès aux études de médecine, maïeutique, odontologie et pharmacie. Dans son Communiqué de ce jour, l'Académie nationale de Pharmacie salue la reprise de la proposition de la Conférence des doyens de Pharmacie qu'elle soutient, d’une expérimentation, dans un panel d’universités, d’un accès direct en pharmacie et en maïeutique </w:t>
      </w:r>
      <w:proofErr w:type="spellStart"/>
      <w:r>
        <w:t>post-bac</w:t>
      </w:r>
      <w:proofErr w:type="spellEnd"/>
      <w:r>
        <w:t xml:space="preserve"> depuis </w:t>
      </w:r>
      <w:proofErr w:type="spellStart"/>
      <w:r>
        <w:t>Parcoursup</w:t>
      </w:r>
      <w:proofErr w:type="spellEnd"/>
      <w:r>
        <w:t>.</w:t>
      </w:r>
    </w:p>
    <w:p w14:paraId="5C6D92FC" w14:textId="77777777" w:rsidR="000019A9" w:rsidRDefault="000019A9" w:rsidP="000019A9">
      <w:pPr>
        <w:pStyle w:val="Textebrut"/>
      </w:pPr>
      <w:r>
        <w:t>Espérons que son appel, formulé dans une analyse exhaustive de près de 150 pages, attestant sa compréhension fine des enjeux d’une réforme « mal-aimée », soit entendu par les ministères concernés</w:t>
      </w:r>
    </w:p>
    <w:p w14:paraId="48CD5256" w14:textId="21775EEE" w:rsidR="00B14BBE" w:rsidRDefault="00BB0F1B" w:rsidP="000019A9">
      <w:pPr>
        <w:pStyle w:val="Textebrut"/>
      </w:pPr>
      <w:hyperlink r:id="rId109" w:history="1">
        <w:r w:rsidR="000019A9" w:rsidRPr="008220B9">
          <w:rPr>
            <w:rStyle w:val="Lienhypertexte"/>
          </w:rPr>
          <w:t>https://www.acadpharm.org/dos_public/COMMUNIQUE___RAPPORT_COUR_DES_COMPTES___VF.PDF</w:t>
        </w:r>
      </w:hyperlink>
    </w:p>
    <w:p w14:paraId="49C5C74D" w14:textId="77777777" w:rsidR="000019A9" w:rsidRDefault="000019A9" w:rsidP="000019A9">
      <w:pPr>
        <w:pStyle w:val="Textebrut"/>
      </w:pPr>
    </w:p>
    <w:p w14:paraId="32EF05C6" w14:textId="77777777" w:rsidR="00B00F2C" w:rsidRDefault="00B00F2C" w:rsidP="00B00F2C">
      <w:pPr>
        <w:pStyle w:val="Textebrut"/>
      </w:pPr>
      <w:r>
        <w:t>Dossier AMP vigilance publié sur le site de l’ABM (12/12/2024)</w:t>
      </w:r>
    </w:p>
    <w:p w14:paraId="63E71C86" w14:textId="32B11D24" w:rsidR="00B14BBE" w:rsidRDefault="00BB0F1B" w:rsidP="00B00F2C">
      <w:pPr>
        <w:pStyle w:val="Textebrut"/>
      </w:pPr>
      <w:hyperlink r:id="rId110" w:history="1">
        <w:r w:rsidR="00B00F2C" w:rsidRPr="00995B50">
          <w:rPr>
            <w:rStyle w:val="Lienhypertexte"/>
          </w:rPr>
          <w:t>https://www.agence-biomedecine.fr/AMP-Vigilance-914</w:t>
        </w:r>
      </w:hyperlink>
    </w:p>
    <w:p w14:paraId="4882A901" w14:textId="77777777" w:rsidR="00B00F2C" w:rsidRDefault="00B00F2C" w:rsidP="00B00F2C">
      <w:pPr>
        <w:pStyle w:val="Textebrut"/>
      </w:pPr>
    </w:p>
    <w:p w14:paraId="244792A6" w14:textId="77777777" w:rsidR="00D90944" w:rsidRDefault="00D90944" w:rsidP="00D90944">
      <w:pPr>
        <w:pStyle w:val="Textebrut"/>
      </w:pPr>
      <w:r>
        <w:t>Activité vaccinale des pharmaciens : quatre nouveaux textes publiés (CNOP, 12/12/2024).</w:t>
      </w:r>
    </w:p>
    <w:p w14:paraId="68D1B980" w14:textId="77777777" w:rsidR="00D90944" w:rsidRDefault="00D90944" w:rsidP="00D90944">
      <w:pPr>
        <w:pStyle w:val="Textebrut"/>
      </w:pPr>
      <w:r>
        <w:t>Un décret et trois arrêtés, relatifs à la vaccination par certains pharmaciens, préparateurs et étudiants en pharmacie, ont été publiés au Journal Officiel du 5 décembre dernier. Tour d’horizon des évolutions induites par ces textes</w:t>
      </w:r>
    </w:p>
    <w:p w14:paraId="562D2EAF" w14:textId="468FF45B" w:rsidR="00B00F2C" w:rsidRDefault="00BB0F1B" w:rsidP="00D90944">
      <w:pPr>
        <w:pStyle w:val="Textebrut"/>
      </w:pPr>
      <w:hyperlink r:id="rId111" w:history="1">
        <w:r w:rsidR="00D90944" w:rsidRPr="00995B50">
          <w:rPr>
            <w:rStyle w:val="Lienhypertexte"/>
          </w:rPr>
          <w:t>https://www.ordre.pharmacien.fr/les-communications/focus-sur/les-actualites/activite-vaccinale-des-pharmaciens-quatre-nouveaux-textes-publies</w:t>
        </w:r>
      </w:hyperlink>
    </w:p>
    <w:p w14:paraId="55AD7B87" w14:textId="77777777" w:rsidR="00D90944" w:rsidRDefault="00D90944" w:rsidP="00D90944">
      <w:pPr>
        <w:pStyle w:val="Textebrut"/>
      </w:pPr>
    </w:p>
    <w:p w14:paraId="756A5915" w14:textId="77777777" w:rsidR="00A07230" w:rsidRDefault="00A07230" w:rsidP="00A07230">
      <w:pPr>
        <w:pStyle w:val="Textebrut"/>
      </w:pPr>
      <w:r>
        <w:t>Valproate et dérivés, carbamazépine et topiramate : les conditions de prescription et de délivrance évoluent (ANSM, 13/12/2024).</w:t>
      </w:r>
    </w:p>
    <w:p w14:paraId="0BE85EE3" w14:textId="77777777" w:rsidR="00A07230" w:rsidRDefault="00A07230" w:rsidP="00A07230">
      <w:pPr>
        <w:pStyle w:val="Textebrut"/>
      </w:pPr>
      <w:r>
        <w:t xml:space="preserve">L’ANSM modifie les conditions de prescription et de délivrance des médicaments à base de valproate et dérivés (Dépakine, </w:t>
      </w:r>
      <w:proofErr w:type="spellStart"/>
      <w:r>
        <w:t>Micropakine</w:t>
      </w:r>
      <w:proofErr w:type="spellEnd"/>
      <w:r>
        <w:t xml:space="preserve">, </w:t>
      </w:r>
      <w:proofErr w:type="spellStart"/>
      <w:r>
        <w:t>Dépakote</w:t>
      </w:r>
      <w:proofErr w:type="spellEnd"/>
      <w:r>
        <w:t xml:space="preserve">, </w:t>
      </w:r>
      <w:proofErr w:type="spellStart"/>
      <w:r>
        <w:t>Dépamide</w:t>
      </w:r>
      <w:proofErr w:type="spellEnd"/>
      <w:r>
        <w:t xml:space="preserve">, </w:t>
      </w:r>
      <w:proofErr w:type="spellStart"/>
      <w:r>
        <w:t>Divalcote</w:t>
      </w:r>
      <w:proofErr w:type="spellEnd"/>
      <w:r>
        <w:t xml:space="preserve"> et génériques), carbamazépine (</w:t>
      </w:r>
      <w:proofErr w:type="spellStart"/>
      <w:r>
        <w:t>Tegretol</w:t>
      </w:r>
      <w:proofErr w:type="spellEnd"/>
      <w:r>
        <w:t xml:space="preserve"> et génériques) et topiramate (Epitomax et génériques) à partir du 6 janvier 2025. Nous renforçons également l’information à destination des patients et des professionnels de santé</w:t>
      </w:r>
    </w:p>
    <w:p w14:paraId="1DE217E6" w14:textId="2165F72C" w:rsidR="00D90944" w:rsidRDefault="00BB0F1B" w:rsidP="00A07230">
      <w:pPr>
        <w:pStyle w:val="Textebrut"/>
      </w:pPr>
      <w:hyperlink r:id="rId112" w:history="1">
        <w:r w:rsidR="00A07230" w:rsidRPr="008220B9">
          <w:rPr>
            <w:rStyle w:val="Lienhypertexte"/>
          </w:rPr>
          <w:t>https://ansm.sante.fr/actualites/valproate-et-derives-carbamazepine-et-topiramate-les-conditions-de-prescription-et-de-delivrance-evoluent</w:t>
        </w:r>
      </w:hyperlink>
    </w:p>
    <w:p w14:paraId="6E4433A7" w14:textId="77777777" w:rsidR="00A07230" w:rsidRDefault="00A07230" w:rsidP="00A07230">
      <w:pPr>
        <w:pStyle w:val="Textebrut"/>
      </w:pPr>
      <w:r>
        <w:lastRenderedPageBreak/>
        <w:t>Valproate et risques pour l’enfant à naître : les conditions de prescription et de délivrance évoluent pour les adolescents et les hommes susceptibles d’avoir des enfants (ANSM, 13/12/2024).</w:t>
      </w:r>
    </w:p>
    <w:p w14:paraId="497E6EC6" w14:textId="77777777" w:rsidR="00A07230" w:rsidRDefault="00A07230" w:rsidP="00A07230">
      <w:pPr>
        <w:pStyle w:val="Textebrut"/>
      </w:pPr>
      <w:r>
        <w:t>Afin de réduire les risques potentiels de troubles neurodéveloppementaux liés à l’exposition au valproate d’un enfant à naitre dont le père a été traité par ce médicament dans les 3 mois avant la conception, la prescription initiale de valproate et dérivés sera réservée aux neurologues, psychiatres et pédiatres pour les adolescents et les hommes susceptibles d’avoir des enfants. Le renouvellement pourra être effectué par tout médecin. Une attestation d’information partagée devra également être cosignée chaque année par le médecin et son patient. Sa présentation, en complément de l’ordonnance du médecin, conditionnera la dispensation du médicament en pharmacie.</w:t>
      </w:r>
    </w:p>
    <w:p w14:paraId="126C8B5B" w14:textId="77777777" w:rsidR="00A07230" w:rsidRDefault="00A07230" w:rsidP="00A07230">
      <w:pPr>
        <w:pStyle w:val="Textebrut"/>
      </w:pPr>
      <w:r>
        <w:t>Ces nouvelles conditions entrent en application à partir du 6 janvier 2025 pour les initiations de traitement et à partir du 30 juin 2025 pour les patients déjà traités. À compter de ces mêmes dates, pour les filles, adolescentes et femmes susceptibles d’avoir des enfants traitées par valproate, le formulaire d’accord de soins est remplacé par une attestation annuelle d’information partagée. Les patientes en cours de traitement peuvent utiliser leur formulaire d’accord de soins jusqu’au terme de son année de validité</w:t>
      </w:r>
    </w:p>
    <w:p w14:paraId="7999020E" w14:textId="0E49742A" w:rsidR="00A07230" w:rsidRDefault="00BB0F1B" w:rsidP="00A07230">
      <w:pPr>
        <w:pStyle w:val="Textebrut"/>
      </w:pPr>
      <w:hyperlink r:id="rId113" w:history="1">
        <w:r w:rsidR="00A07230" w:rsidRPr="008220B9">
          <w:rPr>
            <w:rStyle w:val="Lienhypertexte"/>
          </w:rPr>
          <w:t>https://ansm.sante.fr/actualites/valproate-et-risques-pour-lenfant-a-naitre-les-conditions-de-prescription-et-de-delivrance-evoluent-pour-les-adolescents-et-les-hommes-susceptibles-davoir-des-enfants</w:t>
        </w:r>
      </w:hyperlink>
    </w:p>
    <w:p w14:paraId="6BB6C8FD" w14:textId="77777777" w:rsidR="00A07230" w:rsidRDefault="00A07230" w:rsidP="00A07230">
      <w:pPr>
        <w:pStyle w:val="Textebrut"/>
      </w:pPr>
      <w:r>
        <w:t>Carbamazépine et grossesse : renforcement de l’information des femmes pour les sensibiliser aux risques encourus par les enfants à naître (ANSM, 13/12/2024).</w:t>
      </w:r>
    </w:p>
    <w:p w14:paraId="5E497304" w14:textId="77777777" w:rsidR="00A07230" w:rsidRDefault="00A07230" w:rsidP="00A07230">
      <w:pPr>
        <w:pStyle w:val="Textebrut"/>
      </w:pPr>
      <w:r>
        <w:t>Afin de limiter plus encore l’exposition à la carbamazépine des enfants à naitre, nous renforçons l’information des filles, adolescentes et des femmes susceptibles d’avoir des enfants. Une attestation d’information partagée devra désormais être signée chaque année par la patiente et le prescripteur et être présentée obligatoirement au pharmacien, en complément de l’ordonnance, lors de la dispensation de carbamazépine</w:t>
      </w:r>
    </w:p>
    <w:p w14:paraId="605DB89F" w14:textId="56BCEC41" w:rsidR="00A07230" w:rsidRDefault="00BB0F1B" w:rsidP="00A07230">
      <w:pPr>
        <w:pStyle w:val="Textebrut"/>
      </w:pPr>
      <w:hyperlink r:id="rId114" w:history="1">
        <w:r w:rsidR="00A07230" w:rsidRPr="008220B9">
          <w:rPr>
            <w:rStyle w:val="Lienhypertexte"/>
          </w:rPr>
          <w:t>https://ansm.sante.fr/actualites/carbamazepine-et-grossesse-renforcement-de-linformation-des-femmes-pour-les-sensibiliser-aux-risques-encourus-par-les-enfants-a-naitre</w:t>
        </w:r>
      </w:hyperlink>
    </w:p>
    <w:p w14:paraId="4B6478EB" w14:textId="77777777" w:rsidR="00A07230" w:rsidRDefault="00A07230" w:rsidP="00A07230">
      <w:pPr>
        <w:pStyle w:val="Textebrut"/>
      </w:pPr>
      <w:r>
        <w:t>Topiramate (Epitomax et génériques) : évolution des conditions de prescription et de délivrance pour améliorer l’accès aux soins des femmes souffrant de migraine (ANSM, 13/12/2024).</w:t>
      </w:r>
    </w:p>
    <w:p w14:paraId="687FAD08" w14:textId="77777777" w:rsidR="00A07230" w:rsidRDefault="00A07230" w:rsidP="00A07230">
      <w:pPr>
        <w:pStyle w:val="Textebrut"/>
      </w:pPr>
      <w:r>
        <w:t>À partir du 6 janvier 2025, les médecins compétents « douleur », en complément des neurologues, pourront initier un traitement par topiramate dans la prévention de la migraine chez des patientes en âge d’avoir des enfants utilisant une contraception hautement efficace</w:t>
      </w:r>
    </w:p>
    <w:p w14:paraId="18F4BA05" w14:textId="091E435F" w:rsidR="00A07230" w:rsidRDefault="00BB0F1B" w:rsidP="00A07230">
      <w:pPr>
        <w:pStyle w:val="Textebrut"/>
      </w:pPr>
      <w:hyperlink r:id="rId115" w:history="1">
        <w:r w:rsidR="00A07230" w:rsidRPr="008220B9">
          <w:rPr>
            <w:rStyle w:val="Lienhypertexte"/>
          </w:rPr>
          <w:t>https://ansm.sante.fr/actualites/topiramate-epitomax-et-generiques-evolution-des-conditions-de-prescription-et-de-delivrance-pour-ameliorer-lacces-aux-soins-des-femmes-souffrant-de-migraine</w:t>
        </w:r>
      </w:hyperlink>
    </w:p>
    <w:p w14:paraId="4493B3FF" w14:textId="77777777" w:rsidR="00A07230" w:rsidRDefault="00A07230" w:rsidP="00A07230">
      <w:pPr>
        <w:pStyle w:val="Textebrut"/>
      </w:pPr>
    </w:p>
    <w:p w14:paraId="600FDF5D" w14:textId="77777777" w:rsidR="00DD32F3" w:rsidRDefault="00DD32F3" w:rsidP="00DD32F3">
      <w:pPr>
        <w:pStyle w:val="Textebrut"/>
      </w:pPr>
      <w:r>
        <w:t>Contraception orale et risque de méningiome : nous créons un comité d’expert (ANSM, 13/12/2024).</w:t>
      </w:r>
    </w:p>
    <w:p w14:paraId="5BF8EF2A" w14:textId="77777777" w:rsidR="00DD32F3" w:rsidRDefault="00DD32F3" w:rsidP="00DD32F3">
      <w:pPr>
        <w:pStyle w:val="Textebrut"/>
      </w:pPr>
      <w:r>
        <w:t>Dans la continuité de nos travaux sur le risque de méningiome lié à l’utilisation de progestatifs, nous créons un nouveau comité scientifique temporaire (CST). Ce dernier a pour objectif d’étudier les nouvelles données sur le risque éventuel de méningiome pour les femmes prenant des contraceptifs oraux et d’évaluer si de nouvelles mesures pour renforcer leur sécurité d’utilisation sont nécessaires</w:t>
      </w:r>
    </w:p>
    <w:p w14:paraId="70DE7108" w14:textId="24930B21" w:rsidR="00DD32F3" w:rsidRDefault="00BB0F1B" w:rsidP="00DD32F3">
      <w:pPr>
        <w:pStyle w:val="Textebrut"/>
      </w:pPr>
      <w:hyperlink r:id="rId116" w:history="1">
        <w:r w:rsidR="00DD32F3" w:rsidRPr="008220B9">
          <w:rPr>
            <w:rStyle w:val="Lienhypertexte"/>
          </w:rPr>
          <w:t>https://ansm.sante.fr/actualites/contraception-orale-et-risque-de-meningiome-nous-creons-un-comite-dexpert</w:t>
        </w:r>
      </w:hyperlink>
    </w:p>
    <w:p w14:paraId="0E6C6ECE" w14:textId="77777777" w:rsidR="00DD32F3" w:rsidRDefault="00DD32F3" w:rsidP="00DD32F3">
      <w:pPr>
        <w:pStyle w:val="Textebrut"/>
      </w:pPr>
    </w:p>
    <w:p w14:paraId="706B4BFD" w14:textId="77777777" w:rsidR="005F5169" w:rsidRDefault="005F5169" w:rsidP="005F5169">
      <w:pPr>
        <w:pStyle w:val="Textebrut"/>
      </w:pPr>
      <w:r>
        <w:t>Justification des prescriptions : la nouveauté du début de l’année (Le Quotidien du pharmacien, 13/12/2024).</w:t>
      </w:r>
    </w:p>
    <w:p w14:paraId="5F4F1B8D" w14:textId="77777777" w:rsidR="005F5169" w:rsidRDefault="005F5169" w:rsidP="005F5169">
      <w:pPr>
        <w:pStyle w:val="Textebrut"/>
      </w:pPr>
      <w:r>
        <w:t>Les médecins sont désormais obligés de justifier leurs prescriptions pour que certains médicaments soient pris en charge. L’assurance-maladie leur réclame en effet un formulaire spécifique à joindre à l’ordonnance, indispensable pour la facturation en pharmacie. Le dispositif sera opérationnel en début d’année. Comment ça marche ?</w:t>
      </w:r>
    </w:p>
    <w:p w14:paraId="2357770C" w14:textId="12EFB0A5" w:rsidR="00A07230" w:rsidRDefault="00BB0F1B" w:rsidP="005F5169">
      <w:pPr>
        <w:pStyle w:val="Textebrut"/>
      </w:pPr>
      <w:hyperlink r:id="rId117" w:history="1">
        <w:r w:rsidR="005F5169" w:rsidRPr="008220B9">
          <w:rPr>
            <w:rStyle w:val="Lienhypertexte"/>
          </w:rPr>
          <w:t>https://www.lequotidiendupharmacien.fr/exercice-pro/justification-des-prescriptions-la-nouveaute-du-debut-de-lannee</w:t>
        </w:r>
      </w:hyperlink>
    </w:p>
    <w:p w14:paraId="5156D065" w14:textId="77777777" w:rsidR="005F5169" w:rsidRDefault="005F5169" w:rsidP="005F5169">
      <w:pPr>
        <w:pStyle w:val="Textebrut"/>
      </w:pPr>
    </w:p>
    <w:p w14:paraId="2DAF728B" w14:textId="1348A68B" w:rsidR="005F5169" w:rsidRDefault="009E47DD" w:rsidP="005F5169">
      <w:pPr>
        <w:pStyle w:val="Textebrut"/>
      </w:pPr>
      <w:bookmarkStart w:id="3" w:name="_Hlk185336602"/>
      <w:r w:rsidRPr="009E47DD">
        <w:t>Vaccination contre la dengue : la HAS publie ses recommandations</w:t>
      </w:r>
      <w:r>
        <w:t xml:space="preserve"> (HAS, 17/12/2024).</w:t>
      </w:r>
    </w:p>
    <w:p w14:paraId="109DE7A9" w14:textId="4D49F828" w:rsidR="009E47DD" w:rsidRDefault="009E47DD" w:rsidP="005F5169">
      <w:pPr>
        <w:pStyle w:val="Textebrut"/>
      </w:pPr>
      <w:r w:rsidRPr="009E47DD">
        <w:t xml:space="preserve">Dans un contexte d’augmentation des cas de dengue dans les Outre-mer, la Haute Autorité de santé (HAS) a été saisie par le ministère chargé de la santé afin d’émettre des recommandations d’utilisation du vaccin </w:t>
      </w:r>
      <w:proofErr w:type="spellStart"/>
      <w:r w:rsidRPr="009E47DD">
        <w:t>Qdenga</w:t>
      </w:r>
      <w:proofErr w:type="spellEnd"/>
      <w:r w:rsidRPr="009E47DD">
        <w:t xml:space="preserve"> pour la prévention de la dengue symptomatique. Aujourd’hui, la HAS recommande la mise en place de la vaccination dans les territoires français d’Amérique (Antilles et Guyane), ainsi qu’à Mayotte et à La Réunion. Elle </w:t>
      </w:r>
      <w:r w:rsidRPr="009E47DD">
        <w:lastRenderedPageBreak/>
        <w:t>préconise de vacciner dans ces territoires les enfants âgés de 6 à 16 ans présentant un antécédent d’infection par la dengue ainsi que les adultes de 17 à 60 ans présentant des comorbidités, avec ou sans antécédent</w:t>
      </w:r>
    </w:p>
    <w:p w14:paraId="0FC20E91" w14:textId="29C02E0A" w:rsidR="009E47DD" w:rsidRDefault="00BB0F1B" w:rsidP="005F5169">
      <w:pPr>
        <w:pStyle w:val="Textebrut"/>
      </w:pPr>
      <w:hyperlink r:id="rId118" w:history="1">
        <w:r w:rsidR="009E47DD" w:rsidRPr="00D1446A">
          <w:rPr>
            <w:rStyle w:val="Lienhypertexte"/>
          </w:rPr>
          <w:t>https://www.has-sante.fr/jcms/p_3573125/fr/vaccination-contre-la-dengue-la-has-publie-ses-recommandations</w:t>
        </w:r>
      </w:hyperlink>
    </w:p>
    <w:bookmarkEnd w:id="3"/>
    <w:p w14:paraId="68752856" w14:textId="77777777" w:rsidR="009E47DD" w:rsidRDefault="009E47DD" w:rsidP="005F5169">
      <w:pPr>
        <w:pStyle w:val="Textebrut"/>
      </w:pPr>
    </w:p>
    <w:p w14:paraId="4C9AB74A" w14:textId="77777777" w:rsidR="00123745" w:rsidRDefault="00123745" w:rsidP="00123745">
      <w:pPr>
        <w:pStyle w:val="Textebrut"/>
      </w:pPr>
      <w:r w:rsidRPr="00123745">
        <w:t>Message de la MMPIA du 18/12/2024 - Antibiorésistance : Tableau de bord Indicateur, ci-joint. Attention ! Reste à usage interne ARS</w:t>
      </w:r>
    </w:p>
    <w:p w14:paraId="66766820" w14:textId="77777777" w:rsidR="00123745" w:rsidRDefault="00BB0F1B" w:rsidP="00123745">
      <w:pPr>
        <w:pStyle w:val="Textebrut"/>
      </w:pPr>
      <w:hyperlink r:id="rId119" w:history="1">
        <w:r w:rsidR="00123745" w:rsidRPr="008332AA">
          <w:rPr>
            <w:rStyle w:val="Lienhypertexte"/>
          </w:rPr>
          <w:t>https://peps.sante.gouv.fr/actu/2024/24_mmpia_antibioresistance-tdb-indicateurs_18122024.pdf</w:t>
        </w:r>
      </w:hyperlink>
    </w:p>
    <w:p w14:paraId="67857016" w14:textId="77777777" w:rsidR="00123745" w:rsidRDefault="00123745" w:rsidP="00123745">
      <w:pPr>
        <w:pStyle w:val="Textebrut"/>
      </w:pPr>
      <w:r>
        <w:t>E</w:t>
      </w:r>
      <w:r w:rsidRPr="00123745">
        <w:t>t les fichiers annoncés</w:t>
      </w:r>
      <w:r>
        <w:t> :</w:t>
      </w:r>
    </w:p>
    <w:p w14:paraId="69ACB36C" w14:textId="50052365" w:rsidR="00123745" w:rsidRDefault="00123745" w:rsidP="00123745">
      <w:pPr>
        <w:pStyle w:val="Textebrut"/>
        <w:numPr>
          <w:ilvl w:val="0"/>
          <w:numId w:val="24"/>
        </w:numPr>
      </w:pPr>
      <w:r w:rsidRPr="00123745">
        <w:t>Tableau de bord des indicateurs dont le premier onglet correspond à l’ensemble des indicateurs disponible par pilote et au national, ensuite il existe un onglet par pilote avec le détail des indicateurs et, quand disponible, les données par région/département. Une mise à jour annuelle de ce tableau est prévue</w:t>
      </w:r>
    </w:p>
    <w:p w14:paraId="5A1FBCB8" w14:textId="33111847" w:rsidR="00123745" w:rsidRDefault="00BB0F1B" w:rsidP="00123745">
      <w:pPr>
        <w:pStyle w:val="Textebrut"/>
        <w:ind w:left="720"/>
      </w:pPr>
      <w:hyperlink r:id="rId120" w:history="1">
        <w:r w:rsidR="005B2B0B" w:rsidRPr="008332AA">
          <w:rPr>
            <w:rStyle w:val="Lienhypertexte"/>
          </w:rPr>
          <w:t>https://peps.sante.gouv.fr/actu/2024/24_tdb-indicateurs_12122024.xlsx</w:t>
        </w:r>
      </w:hyperlink>
    </w:p>
    <w:p w14:paraId="5B51B2B3" w14:textId="4043D868" w:rsidR="00123745" w:rsidRDefault="00123745" w:rsidP="00123745">
      <w:pPr>
        <w:pStyle w:val="Textebrut"/>
        <w:numPr>
          <w:ilvl w:val="0"/>
          <w:numId w:val="24"/>
        </w:numPr>
      </w:pPr>
      <w:r w:rsidRPr="00123745">
        <w:t>Suivi des commandes TROD de 2021 à 2023</w:t>
      </w:r>
    </w:p>
    <w:p w14:paraId="0529DB61" w14:textId="50688137" w:rsidR="00123745" w:rsidRDefault="00BB0F1B" w:rsidP="00123745">
      <w:pPr>
        <w:pStyle w:val="Textebrut"/>
        <w:ind w:left="720"/>
      </w:pPr>
      <w:hyperlink r:id="rId121" w:history="1">
        <w:r w:rsidR="00123745" w:rsidRPr="008332AA">
          <w:rPr>
            <w:rStyle w:val="Lienhypertexte"/>
          </w:rPr>
          <w:t>https://peps.sante.gouv.fr/actu/2024/24_commandes-trod_2021-2023.xlsx</w:t>
        </w:r>
      </w:hyperlink>
    </w:p>
    <w:p w14:paraId="1A95C636" w14:textId="77777777" w:rsidR="00123745" w:rsidRDefault="00123745" w:rsidP="00123745">
      <w:pPr>
        <w:pStyle w:val="Textebrut"/>
      </w:pPr>
    </w:p>
    <w:p w14:paraId="31D1D47B" w14:textId="77777777" w:rsidR="00123745" w:rsidRDefault="00123745" w:rsidP="00123745">
      <w:pPr>
        <w:pStyle w:val="Textebrut"/>
      </w:pPr>
      <w:r>
        <w:t xml:space="preserve">La </w:t>
      </w:r>
      <w:proofErr w:type="spellStart"/>
      <w:r>
        <w:t>josamycine</w:t>
      </w:r>
      <w:proofErr w:type="spellEnd"/>
      <w:r>
        <w:t xml:space="preserve"> et l’azithromycine retirées de la liste des antibiotiques pouvant être délivrés après un TROD angine (Le Quotidien du pharmacien, 17/12/2024).</w:t>
      </w:r>
    </w:p>
    <w:p w14:paraId="59D14E05" w14:textId="77777777" w:rsidR="00123745" w:rsidRDefault="00123745" w:rsidP="00123745">
      <w:pPr>
        <w:pStyle w:val="Textebrut"/>
      </w:pPr>
      <w:r>
        <w:t xml:space="preserve">La </w:t>
      </w:r>
      <w:proofErr w:type="spellStart"/>
      <w:r>
        <w:t>josamycine</w:t>
      </w:r>
      <w:proofErr w:type="spellEnd"/>
      <w:r>
        <w:t xml:space="preserve"> et l’azithromycine, qui figuraient sur la liste des antibiotiques que le pharmacien pouvait délivrer sans ordonnance après la réalisation d’un TROD angine positif, viennent d’être supprimées de cette liste, comme le précise un arrêté publié au « Journal officiel » du 17 décembre</w:t>
      </w:r>
    </w:p>
    <w:p w14:paraId="4DAAFFC4" w14:textId="77777777" w:rsidR="00123745" w:rsidRDefault="00BB0F1B" w:rsidP="00123745">
      <w:pPr>
        <w:pStyle w:val="Textebrut"/>
      </w:pPr>
      <w:hyperlink r:id="rId122" w:history="1">
        <w:r w:rsidR="00123745" w:rsidRPr="008332AA">
          <w:rPr>
            <w:rStyle w:val="Lienhypertexte"/>
          </w:rPr>
          <w:t>https://www.lequotidiendupharmacien.fr/exercice-pro/la-josamycine-et-lazithromycine-retirees-de-la-liste-des-antibiotiques-pouvant-etre-delivres-apres</w:t>
        </w:r>
      </w:hyperlink>
    </w:p>
    <w:p w14:paraId="3422D5E6" w14:textId="77777777" w:rsidR="00123745" w:rsidRDefault="00123745" w:rsidP="00123745">
      <w:pPr>
        <w:pStyle w:val="Textebrut"/>
      </w:pPr>
    </w:p>
    <w:p w14:paraId="3774AE46" w14:textId="77777777" w:rsidR="00123745" w:rsidRDefault="00123745" w:rsidP="00123745">
      <w:pPr>
        <w:pStyle w:val="Textebrut"/>
      </w:pPr>
      <w:proofErr w:type="spellStart"/>
      <w:r>
        <w:t>Clinical</w:t>
      </w:r>
      <w:proofErr w:type="spellEnd"/>
      <w:r>
        <w:t xml:space="preserve"> </w:t>
      </w:r>
      <w:proofErr w:type="spellStart"/>
      <w:r>
        <w:t>outcomes</w:t>
      </w:r>
      <w:proofErr w:type="spellEnd"/>
      <w:r>
        <w:t xml:space="preserve"> </w:t>
      </w:r>
      <w:proofErr w:type="spellStart"/>
      <w:r>
        <w:t>following</w:t>
      </w:r>
      <w:proofErr w:type="spellEnd"/>
      <w:r>
        <w:t xml:space="preserve"> acute sore </w:t>
      </w:r>
      <w:proofErr w:type="spellStart"/>
      <w:r>
        <w:t>throat</w:t>
      </w:r>
      <w:proofErr w:type="spellEnd"/>
      <w:r>
        <w:t xml:space="preserve"> </w:t>
      </w:r>
      <w:proofErr w:type="spellStart"/>
      <w:r>
        <w:t>assessment</w:t>
      </w:r>
      <w:proofErr w:type="spellEnd"/>
      <w:r>
        <w:t xml:space="preserve"> at </w:t>
      </w:r>
      <w:proofErr w:type="spellStart"/>
      <w:r>
        <w:t>community</w:t>
      </w:r>
      <w:proofErr w:type="spellEnd"/>
      <w:r>
        <w:t xml:space="preserve"> </w:t>
      </w:r>
      <w:proofErr w:type="spellStart"/>
      <w:r>
        <w:t>pharmacy</w:t>
      </w:r>
      <w:proofErr w:type="spellEnd"/>
      <w:r>
        <w:t xml:space="preserve"> versus </w:t>
      </w:r>
      <w:proofErr w:type="spellStart"/>
      <w:r>
        <w:t>general</w:t>
      </w:r>
      <w:proofErr w:type="spellEnd"/>
      <w:r>
        <w:t xml:space="preserve"> practice: </w:t>
      </w:r>
      <w:proofErr w:type="spellStart"/>
      <w:r>
        <w:t>a</w:t>
      </w:r>
      <w:proofErr w:type="spellEnd"/>
      <w:r>
        <w:t xml:space="preserve"> </w:t>
      </w:r>
      <w:proofErr w:type="spellStart"/>
      <w:r>
        <w:t>retrospective</w:t>
      </w:r>
      <w:proofErr w:type="spellEnd"/>
      <w:r>
        <w:t xml:space="preserve">, longitudinal, data linkage </w:t>
      </w:r>
      <w:proofErr w:type="spellStart"/>
      <w:r>
        <w:t>study</w:t>
      </w:r>
      <w:proofErr w:type="spellEnd"/>
      <w:r>
        <w:t xml:space="preserve"> (Résultats cliniques suite à une évaluation d'un mal de gorge aigu en pharmacie communautaire par rapport à la médecine générale : une étude rétrospective et longitudinale de couplage de données, PubMed, 11/11/2024). Merci à Loïc pour le signalement.</w:t>
      </w:r>
    </w:p>
    <w:p w14:paraId="124E857B" w14:textId="77777777" w:rsidR="00123745" w:rsidRDefault="00123745" w:rsidP="00123745">
      <w:pPr>
        <w:pStyle w:val="Textebrut"/>
      </w:pPr>
      <w:r>
        <w:t xml:space="preserve">Conclusions : Le service STTT (sore </w:t>
      </w:r>
      <w:proofErr w:type="spellStart"/>
      <w:r>
        <w:t>throat</w:t>
      </w:r>
      <w:proofErr w:type="spellEnd"/>
      <w:r>
        <w:t xml:space="preserve"> test and </w:t>
      </w:r>
      <w:proofErr w:type="spellStart"/>
      <w:r>
        <w:t>treat</w:t>
      </w:r>
      <w:proofErr w:type="spellEnd"/>
      <w:r>
        <w:t xml:space="preserve"> = TROD angine avant traitement) réalisé en pharmacie est sûr, rentable et contribue à la gestion des antimicrobiens (avec une diminution significative du nombre de prescription d’antibiotiques)</w:t>
      </w:r>
    </w:p>
    <w:p w14:paraId="69636F30" w14:textId="77777777" w:rsidR="00123745" w:rsidRDefault="00BB0F1B" w:rsidP="00123745">
      <w:pPr>
        <w:pStyle w:val="Textebrut"/>
      </w:pPr>
      <w:hyperlink r:id="rId123" w:history="1">
        <w:r w:rsidR="00123745" w:rsidRPr="008332AA">
          <w:rPr>
            <w:rStyle w:val="Lienhypertexte"/>
          </w:rPr>
          <w:t>https://pubmed.ncbi.nlm.nih.gov/39523475/</w:t>
        </w:r>
      </w:hyperlink>
    </w:p>
    <w:p w14:paraId="26AD646C" w14:textId="77777777" w:rsidR="00123745" w:rsidRDefault="00123745" w:rsidP="00123745">
      <w:pPr>
        <w:pStyle w:val="Textebrut"/>
      </w:pPr>
      <w:r>
        <w:t>L’article complet :</w:t>
      </w:r>
    </w:p>
    <w:p w14:paraId="64F250DC" w14:textId="77777777" w:rsidR="00123745" w:rsidRDefault="00BB0F1B" w:rsidP="00123745">
      <w:pPr>
        <w:pStyle w:val="Textebrut"/>
      </w:pPr>
      <w:hyperlink r:id="rId124" w:history="1">
        <w:r w:rsidR="00123745" w:rsidRPr="008332AA">
          <w:rPr>
            <w:rStyle w:val="Lienhypertexte"/>
          </w:rPr>
          <w:t>https://academic.oup.com/jac/advance-article/doi/10.1093/jac/dkae400/7889089</w:t>
        </w:r>
      </w:hyperlink>
    </w:p>
    <w:p w14:paraId="3F14E8A8" w14:textId="77777777" w:rsidR="00123745" w:rsidRDefault="00123745" w:rsidP="00123745">
      <w:pPr>
        <w:pStyle w:val="Textebrut"/>
      </w:pPr>
    </w:p>
    <w:p w14:paraId="202E3B9E" w14:textId="77777777" w:rsidR="00123745" w:rsidRDefault="00123745" w:rsidP="00123745">
      <w:pPr>
        <w:pStyle w:val="Textebrut"/>
      </w:pPr>
      <w:proofErr w:type="spellStart"/>
      <w:r>
        <w:t>StopRisk</w:t>
      </w:r>
      <w:proofErr w:type="spellEnd"/>
      <w:r>
        <w:t xml:space="preserve"> – Une boite à outils pour l’amélioration des pratiques et de l’observance précautions standard (CPIAS ARA, novembre 2024).</w:t>
      </w:r>
    </w:p>
    <w:p w14:paraId="28B1D3EC" w14:textId="77777777" w:rsidR="00123745" w:rsidRDefault="00123745" w:rsidP="00123745">
      <w:pPr>
        <w:pStyle w:val="Textebrut"/>
      </w:pPr>
      <w:r>
        <w:t>Les précautions standard représentent les premières mesures barrières à mettre en œuvre pour prévenir la diffusion des micro-organismes. Ces mesures ont montré leur efficacité. Pour tout professionnel, il est nécessaire de les connaitre et de les appliquer pour tous les soins, pour tout patient/résident, quels que soient son statut infectieux et le lieu de soin.</w:t>
      </w:r>
    </w:p>
    <w:p w14:paraId="491BCF10" w14:textId="77777777" w:rsidR="00123745" w:rsidRDefault="00123745" w:rsidP="00123745">
      <w:pPr>
        <w:pStyle w:val="Textebrut"/>
      </w:pPr>
      <w:r>
        <w:t xml:space="preserve">La boîte à outils </w:t>
      </w:r>
      <w:proofErr w:type="spellStart"/>
      <w:r>
        <w:t>StopRisk</w:t>
      </w:r>
      <w:proofErr w:type="spellEnd"/>
      <w:r>
        <w:t xml:space="preserve"> a pour objectif de sensibiliser tous les acteurs de soins aux précautions standard et d'obtenir une observance plus élevée pour une prise en charge sécurisée des patients et des résidents. Elle s'adresse aux acteurs des soins dans les 3 secteurs (sanitaire, médico-social et soins de ville) ainsi qu'aux étudiants et enseignants des professions de santé</w:t>
      </w:r>
    </w:p>
    <w:p w14:paraId="4AE379D8" w14:textId="77777777" w:rsidR="00123745" w:rsidRDefault="00BB0F1B" w:rsidP="00123745">
      <w:pPr>
        <w:pStyle w:val="Textebrut"/>
      </w:pPr>
      <w:hyperlink r:id="rId125" w:history="1">
        <w:r w:rsidR="00123745" w:rsidRPr="008332AA">
          <w:rPr>
            <w:rStyle w:val="Lienhypertexte"/>
          </w:rPr>
          <w:t>https://www.cpias-auvergnerhonealpes.fr/stoprisk-boite-outils-precautions-standard</w:t>
        </w:r>
      </w:hyperlink>
    </w:p>
    <w:p w14:paraId="13C635ED" w14:textId="77777777" w:rsidR="00123745" w:rsidRDefault="00123745" w:rsidP="00123745">
      <w:pPr>
        <w:pStyle w:val="Textebrut"/>
      </w:pPr>
    </w:p>
    <w:p w14:paraId="6F7C8C66" w14:textId="34803B90" w:rsidR="00B83337" w:rsidRDefault="00B83337" w:rsidP="00B83337">
      <w:pPr>
        <w:pStyle w:val="Textebrut"/>
      </w:pPr>
      <w:r>
        <w:t>Flash Sécurité Patient - « Effet tunnel en santé. L'appel à un ami peut sauver des vies</w:t>
      </w:r>
      <w:r w:rsidR="008A0555">
        <w:t> »</w:t>
      </w:r>
      <w:r>
        <w:t xml:space="preserve"> (HAS, 17/12/2024).</w:t>
      </w:r>
    </w:p>
    <w:p w14:paraId="18232629" w14:textId="77777777" w:rsidR="00B83337" w:rsidRDefault="00B83337" w:rsidP="00B83337">
      <w:pPr>
        <w:pStyle w:val="Textebrut"/>
      </w:pPr>
      <w:r>
        <w:t xml:space="preserve">L'effet tunnel est un biais cognitif défini ici comme toute situation dans laquelle l'attention du professionnel est tellement focalisée sur un objectif qu’il n’entend, ni ne voit des signaux d’alerte qui devraient l’amener à modifier son approche, voire à l’arrêter avant que ne survienne un évènement indésirable associé aux soins. En effet, de tels évènements sont souvent à la fois graves et évitables. Une solution pour la sécurité du patient "Effet tunnel </w:t>
      </w:r>
      <w:r>
        <w:lastRenderedPageBreak/>
        <w:t>en santé: comment faire pour en voir le bout ?" a été publiée en 2023 sur ce phénomène, pour proposer des solutions pour mieux s'en prémunir</w:t>
      </w:r>
    </w:p>
    <w:p w14:paraId="3E896622" w14:textId="09F9C0F0" w:rsidR="00B83337" w:rsidRDefault="00BB0F1B" w:rsidP="00B83337">
      <w:pPr>
        <w:pStyle w:val="Textebrut"/>
      </w:pPr>
      <w:hyperlink r:id="rId126" w:history="1">
        <w:r w:rsidR="00B83337" w:rsidRPr="008332AA">
          <w:rPr>
            <w:rStyle w:val="Lienhypertexte"/>
          </w:rPr>
          <w:t>https://www.has-sante.fr/jcms/p_3563493/fr/flash-securite-patient-effet-tunnel-en-sante-l-appel-a-un-ami-peut-sauver-des-vies</w:t>
        </w:r>
      </w:hyperlink>
    </w:p>
    <w:p w14:paraId="7D7C5E40" w14:textId="473E5D2D" w:rsidR="00B83337" w:rsidRDefault="00B83337" w:rsidP="00B83337">
      <w:pPr>
        <w:pStyle w:val="Textebrut"/>
      </w:pPr>
      <w:r>
        <w:t>La fiche :</w:t>
      </w:r>
    </w:p>
    <w:p w14:paraId="62C48948" w14:textId="56F67876" w:rsidR="009E47DD" w:rsidRDefault="00BB0F1B" w:rsidP="00B83337">
      <w:pPr>
        <w:pStyle w:val="Textebrut"/>
      </w:pPr>
      <w:hyperlink r:id="rId127" w:history="1">
        <w:r w:rsidR="00B83337" w:rsidRPr="008332AA">
          <w:rPr>
            <w:rStyle w:val="Lienhypertexte"/>
          </w:rPr>
          <w:t>https://www.has-sante.fr/upload/docs/application/pdf/2024-12/fsp_effet_tunnel.pdf</w:t>
        </w:r>
      </w:hyperlink>
    </w:p>
    <w:p w14:paraId="058CC53A" w14:textId="77777777" w:rsidR="00B83337" w:rsidRDefault="00B83337" w:rsidP="00B83337">
      <w:pPr>
        <w:pStyle w:val="Textebrut"/>
      </w:pPr>
    </w:p>
    <w:p w14:paraId="28B3FFBD" w14:textId="77777777" w:rsidR="005F14D6" w:rsidRDefault="005F14D6" w:rsidP="005F14D6">
      <w:pPr>
        <w:pStyle w:val="Textebrut"/>
      </w:pPr>
      <w:r>
        <w:t>Où en est la qualité des soins en France en 2024 ? (HAS, 18/12/2024, dossier de presse).</w:t>
      </w:r>
    </w:p>
    <w:p w14:paraId="1C66C0BE" w14:textId="77777777" w:rsidR="005F14D6" w:rsidRDefault="005F14D6" w:rsidP="005F14D6">
      <w:pPr>
        <w:pStyle w:val="Textebrut"/>
      </w:pPr>
      <w:r>
        <w:t xml:space="preserve">En cette fin d’année, la Haute Autorité de santé publie, sur le service en ligne </w:t>
      </w:r>
      <w:proofErr w:type="spellStart"/>
      <w:r>
        <w:t>Qualiscope</w:t>
      </w:r>
      <w:proofErr w:type="spellEnd"/>
      <w:r>
        <w:t>, les résultats des indicateurs de qualité et de sécurité des soins recueillis en 2024. Par ailleurs, près de 70 % des décisions de certification des établissements de santé ont été rendues dans le cadre du cycle en cours. L’occasion pour la HAS de faire le point sur ce que disent ces deux dispositifs de l’évolution de la qualité des soins dans les hôpitaux et cliniques en France cette année.</w:t>
      </w:r>
    </w:p>
    <w:p w14:paraId="18147284" w14:textId="1FCEDABE" w:rsidR="005F14D6" w:rsidRDefault="00BB0F1B" w:rsidP="005F14D6">
      <w:pPr>
        <w:pStyle w:val="Textebrut"/>
      </w:pPr>
      <w:hyperlink r:id="rId128" w:history="1">
        <w:r w:rsidR="005F14D6" w:rsidRPr="008332AA">
          <w:rPr>
            <w:rStyle w:val="Lienhypertexte"/>
          </w:rPr>
          <w:t>https://www.has-sante.fr/jcms/p_3573566/fr/ou-en-est-la-qualite-des-soins-en-france-en-2024</w:t>
        </w:r>
      </w:hyperlink>
    </w:p>
    <w:p w14:paraId="33119128" w14:textId="77777777" w:rsidR="005F14D6" w:rsidRDefault="005F14D6" w:rsidP="005F14D6">
      <w:pPr>
        <w:pStyle w:val="Textebrut"/>
      </w:pPr>
    </w:p>
    <w:p w14:paraId="0C0DB2C1" w14:textId="41AD68D4" w:rsidR="004931CC" w:rsidRDefault="004931CC" w:rsidP="004931CC">
      <w:pPr>
        <w:pStyle w:val="Textebrut"/>
      </w:pPr>
      <w:r>
        <w:t>La gestion des indus à l’officine serait-elle la mission de trop ? (Le Quotidien du pharmacien, 13/12/2024).</w:t>
      </w:r>
    </w:p>
    <w:p w14:paraId="048F3B0F" w14:textId="77777777" w:rsidR="004931CC" w:rsidRDefault="004931CC" w:rsidP="004931CC">
      <w:pPr>
        <w:pStyle w:val="Textebrut"/>
      </w:pPr>
      <w:r>
        <w:t>Les volumes de rejets de facturation injustifiés ont atteint les limites du supportable. Les syndicats de pharmaciens réclament un « choc de simplification » comme viennent d’en bénéficier certains professionnels de santé. Quitte à mettre la pression sur l’assurance-maladie</w:t>
      </w:r>
    </w:p>
    <w:p w14:paraId="444948E4" w14:textId="44DC0B33" w:rsidR="00B83337" w:rsidRDefault="00BB0F1B" w:rsidP="004931CC">
      <w:pPr>
        <w:pStyle w:val="Textebrut"/>
      </w:pPr>
      <w:hyperlink r:id="rId129" w:history="1">
        <w:r w:rsidR="004931CC" w:rsidRPr="008332AA">
          <w:rPr>
            <w:rStyle w:val="Lienhypertexte"/>
          </w:rPr>
          <w:t>https://www.lequotidiendupharmacien.fr/exercice-pro/la-gestion-des-indus-lofficine-serait-elle-la-mission-de-trop</w:t>
        </w:r>
      </w:hyperlink>
    </w:p>
    <w:p w14:paraId="1A17DC37" w14:textId="77777777" w:rsidR="004931CC" w:rsidRDefault="004931CC" w:rsidP="004931CC">
      <w:pPr>
        <w:pStyle w:val="Textebrut"/>
      </w:pPr>
    </w:p>
    <w:p w14:paraId="0F310F00" w14:textId="77777777" w:rsidR="002F6BC8" w:rsidRDefault="002F6BC8" w:rsidP="002F6BC8">
      <w:pPr>
        <w:pStyle w:val="Textebrut"/>
      </w:pPr>
      <w:r>
        <w:t>Lancement d’une phase pilote proposant une notice dématérialisée et enrichie pour une meilleure information et un meilleur usage des médicaments (ANSM, 18/12/2024).</w:t>
      </w:r>
    </w:p>
    <w:p w14:paraId="681929C5" w14:textId="77777777" w:rsidR="002F6BC8" w:rsidRDefault="002F6BC8" w:rsidP="002F6BC8">
      <w:pPr>
        <w:pStyle w:val="Textebrut"/>
      </w:pPr>
      <w:r>
        <w:t>L’ANSM lance une phase pilote qui vise à faciliter l’accès des patients et des professionnels de santé aux versions numériques des notices de certains médicaments à usage humain. Ce dispositif devrait ainsi améliorer d’une part l’accès à des informations actualisées, d’autre part leur compréhension : les notices numériques seront accompagnées de nouveaux supports d’informations, telles que des vidéos qui expliquent comment bien utiliser le médicament. La phase pilote repose sur des laboratoires volontaires qui ont répondu à l’appel à candidatures lancé par l’ANSM en juillet dernier</w:t>
      </w:r>
    </w:p>
    <w:p w14:paraId="7BF29E4A" w14:textId="7AB2A354" w:rsidR="002F6BC8" w:rsidRDefault="00BB0F1B" w:rsidP="002F6BC8">
      <w:pPr>
        <w:pStyle w:val="Textebrut"/>
      </w:pPr>
      <w:hyperlink r:id="rId130" w:history="1">
        <w:r w:rsidR="002F6BC8" w:rsidRPr="008332AA">
          <w:rPr>
            <w:rStyle w:val="Lienhypertexte"/>
          </w:rPr>
          <w:t>https://ansm.sante.fr/actualites/lancement-dune-phase-pilote-proposant-une-notice-dematerialisee-et-enrichie-pour-une-meilleure-information-et-un-meilleur-usage-des-medicaments</w:t>
        </w:r>
      </w:hyperlink>
    </w:p>
    <w:p w14:paraId="046614E9" w14:textId="77777777" w:rsidR="002F6BC8" w:rsidRDefault="002F6BC8" w:rsidP="002F6BC8">
      <w:pPr>
        <w:pStyle w:val="Textebrut"/>
      </w:pPr>
    </w:p>
    <w:p w14:paraId="7766C077" w14:textId="77777777" w:rsidR="00D23FC0" w:rsidRDefault="00D23FC0" w:rsidP="00D23FC0">
      <w:pPr>
        <w:pStyle w:val="Textebrut"/>
      </w:pPr>
      <w:r>
        <w:t>Du poliovirus dans les eaux usées européennes (Le Quotidien du pharmacien, 18/12/2024).</w:t>
      </w:r>
    </w:p>
    <w:p w14:paraId="3BF2962F" w14:textId="77777777" w:rsidR="00D23FC0" w:rsidRDefault="00D23FC0" w:rsidP="00D23FC0">
      <w:pPr>
        <w:pStyle w:val="Textebrut"/>
      </w:pPr>
      <w:r>
        <w:t>Des analyses d’eaux usées ont mis en évidence la présence de poliovirus dans cinq pays européens. Si aucun cas de poliomyélite n’a été recensé, le Centre européen de prévention et de contrôle des maladies (ECDC) invite les États européens à poursuivre leurs efforts de surveillance et de vaccination</w:t>
      </w:r>
    </w:p>
    <w:p w14:paraId="647853C7" w14:textId="34067775" w:rsidR="00D23FC0" w:rsidRDefault="00BB0F1B" w:rsidP="00D23FC0">
      <w:pPr>
        <w:pStyle w:val="Textebrut"/>
      </w:pPr>
      <w:hyperlink r:id="rId131" w:history="1">
        <w:r w:rsidR="00D23FC0" w:rsidRPr="008332AA">
          <w:rPr>
            <w:rStyle w:val="Lienhypertexte"/>
          </w:rPr>
          <w:t>https://www.lequotidiendupharmacien.fr/du-poliovirus-dans-les-eaux-usees-europeennes</w:t>
        </w:r>
      </w:hyperlink>
    </w:p>
    <w:p w14:paraId="74676AAF" w14:textId="77777777" w:rsidR="00D23FC0" w:rsidRDefault="00D23FC0" w:rsidP="00D23FC0">
      <w:pPr>
        <w:pStyle w:val="Textebrut"/>
      </w:pPr>
    </w:p>
    <w:p w14:paraId="2BD2D9FD" w14:textId="77777777" w:rsidR="00A21BB1" w:rsidRDefault="00A21BB1" w:rsidP="00A21BB1">
      <w:pPr>
        <w:pStyle w:val="Textebrut"/>
      </w:pPr>
      <w:r>
        <w:t>Enrichir la farine en acide folique : une solution contre les malformations du tube neural chez les nouveau-nés (ANSES, 19/12/2024).</w:t>
      </w:r>
    </w:p>
    <w:p w14:paraId="53019C32" w14:textId="77777777" w:rsidR="00A21BB1" w:rsidRDefault="00A21BB1" w:rsidP="00A21BB1">
      <w:pPr>
        <w:pStyle w:val="Textebrut"/>
      </w:pPr>
      <w:r>
        <w:t>Les anomalies de fermeture du tube neural (AFTN) sont des malformations congénitales qui peuvent avoir des conséquences très graves sur le développement du cerveau et de la moelle épinière du nouveau-né. Afin d’améliorer la prévention de ces anomalies, l’Anses préconise un enrichissement des farines de blé en acide folique, la forme synthétique de la vitamine B9, en plus de la supplémentation en vitamine B9 des femmes ayant un projet de grossesse. Cette mesure permettrait de compenser les apports insuffisants en vitamine B9 chez ces femmes, qui constituent l’un des principaux facteurs de risque d’AFTN chez l’enfant à naître. L’expertise inclut une première analyse des enjeux socio-économiques de différentes options d’action, et recommande une consultation des acteurs. L’objectif de santé publique doit être le renforcement de la prévention</w:t>
      </w:r>
    </w:p>
    <w:p w14:paraId="72D0C5B2" w14:textId="57D29EC4" w:rsidR="00D23FC0" w:rsidRDefault="00BB0F1B" w:rsidP="00A21BB1">
      <w:pPr>
        <w:pStyle w:val="Textebrut"/>
      </w:pPr>
      <w:hyperlink r:id="rId132" w:history="1">
        <w:r w:rsidR="00A21BB1" w:rsidRPr="00006529">
          <w:rPr>
            <w:rStyle w:val="Lienhypertexte"/>
          </w:rPr>
          <w:t>https://www.anses.fr/fr/content/enrichir-la-farine-en-acide-folique-une-solution-contre-les-malformations-du-tube-neural</w:t>
        </w:r>
      </w:hyperlink>
    </w:p>
    <w:p w14:paraId="3281A0C1" w14:textId="77777777" w:rsidR="00A21BB1" w:rsidRDefault="00A21BB1" w:rsidP="00A21BB1">
      <w:pPr>
        <w:pStyle w:val="Textebrut"/>
      </w:pPr>
    </w:p>
    <w:p w14:paraId="38299362" w14:textId="77777777" w:rsidR="00017B73" w:rsidRDefault="00017B73" w:rsidP="00017B73">
      <w:pPr>
        <w:pStyle w:val="Textebrut"/>
      </w:pPr>
      <w:r>
        <w:lastRenderedPageBreak/>
        <w:t>Huiles essentielles : risques et précautions (ANSES, 17/12/2024).</w:t>
      </w:r>
    </w:p>
    <w:p w14:paraId="2E07E0EF" w14:textId="77777777" w:rsidR="00017B73" w:rsidRDefault="00017B73" w:rsidP="00017B73">
      <w:pPr>
        <w:pStyle w:val="Textebrut"/>
      </w:pPr>
      <w:r>
        <w:t>Appliquées sur la peau, utilisées dans des sprays et diffuseurs ou ingérées, les huiles essentielles sont des produits du quotidien. Pourtant, elles concentrent un mélange variable de substances pouvant s’avérer toxiques pour notre santé. Le tour de la question pour mieux comprendre les effets potentiels des huiles essentielles</w:t>
      </w:r>
    </w:p>
    <w:p w14:paraId="164252BB" w14:textId="65067C8A" w:rsidR="002F6BC8" w:rsidRDefault="00BB0F1B" w:rsidP="00017B73">
      <w:pPr>
        <w:pStyle w:val="Textebrut"/>
      </w:pPr>
      <w:hyperlink r:id="rId133" w:history="1">
        <w:r w:rsidR="00017B73" w:rsidRPr="00006529">
          <w:rPr>
            <w:rStyle w:val="Lienhypertexte"/>
          </w:rPr>
          <w:t>https://www.anses.fr/fr/content/huiles-essentielles-risques-et-precautions</w:t>
        </w:r>
      </w:hyperlink>
    </w:p>
    <w:p w14:paraId="3E9B5BFC" w14:textId="77777777" w:rsidR="00017B73" w:rsidRDefault="00017B73" w:rsidP="00017B73">
      <w:pPr>
        <w:pStyle w:val="Textebrut"/>
      </w:pPr>
    </w:p>
    <w:p w14:paraId="0571EE4A" w14:textId="77777777" w:rsidR="00324CAE" w:rsidRDefault="00324CAE" w:rsidP="00324CAE">
      <w:pPr>
        <w:pStyle w:val="Textebrut"/>
      </w:pPr>
      <w:r>
        <w:t>La vaccination rend-elle moins virulente la bactérie causant la coqueluche ? (Institut Pasteur, 17/12/2024).</w:t>
      </w:r>
    </w:p>
    <w:p w14:paraId="7ECF447A" w14:textId="77777777" w:rsidR="00324CAE" w:rsidRDefault="00324CAE" w:rsidP="00324CAE">
      <w:pPr>
        <w:pStyle w:val="Textebrut"/>
      </w:pPr>
      <w:r>
        <w:t xml:space="preserve">En analysant les échantillons bactériens issus de nourrissons atteints de coqueluche, des scientifiques du CNR de la coqueluche et autres </w:t>
      </w:r>
      <w:proofErr w:type="spellStart"/>
      <w:r>
        <w:t>bordetelloses</w:t>
      </w:r>
      <w:proofErr w:type="spellEnd"/>
      <w:r>
        <w:t xml:space="preserve"> ont mis en évidence que les formes les plus graves de la maladie étaient associées à des souches spécifiques, exprimant un antigène vaccinal clé. Cette découverte suggère que la vaccination de masse pourrait avoir favorisé l’évolution de la bactérie vers des formes moins virulentes et donc moins dangereuses</w:t>
      </w:r>
    </w:p>
    <w:p w14:paraId="4BBD787F" w14:textId="7EC9D7C5" w:rsidR="00324CAE" w:rsidRDefault="00BB0F1B" w:rsidP="00017B73">
      <w:pPr>
        <w:pStyle w:val="Textebrut"/>
      </w:pPr>
      <w:hyperlink r:id="rId134" w:history="1">
        <w:r w:rsidR="00324CAE" w:rsidRPr="00947EAE">
          <w:rPr>
            <w:rStyle w:val="Lienhypertexte"/>
          </w:rPr>
          <w:t>https://www.pasteur.fr/fr/journal-recherche/actualites/vaccination-rend-elle-moins-virulente-bacterie-causant-coqueluche</w:t>
        </w:r>
      </w:hyperlink>
    </w:p>
    <w:p w14:paraId="1BCFEB31" w14:textId="77777777" w:rsidR="00324CAE" w:rsidRDefault="00324CAE" w:rsidP="00017B73">
      <w:pPr>
        <w:pStyle w:val="Textebrut"/>
      </w:pPr>
    </w:p>
    <w:p w14:paraId="1844F3CA" w14:textId="77777777" w:rsidR="007B6A1A" w:rsidRDefault="007B6A1A" w:rsidP="007B6A1A">
      <w:pPr>
        <w:pStyle w:val="Textebrut"/>
      </w:pPr>
      <w:proofErr w:type="spellStart"/>
      <w:r>
        <w:t>Certibiocide</w:t>
      </w:r>
      <w:proofErr w:type="spellEnd"/>
      <w:r>
        <w:t xml:space="preserve"> : une formation encadrée pour un usage raisonné des produits biocides (</w:t>
      </w:r>
      <w:proofErr w:type="spellStart"/>
      <w:r>
        <w:t>RéPIA</w:t>
      </w:r>
      <w:proofErr w:type="spellEnd"/>
      <w:r>
        <w:t>, 18/12/2024)</w:t>
      </w:r>
    </w:p>
    <w:p w14:paraId="67BD40B9" w14:textId="7035A210" w:rsidR="007B6A1A" w:rsidRDefault="00BB0F1B" w:rsidP="007B6A1A">
      <w:pPr>
        <w:pStyle w:val="Textebrut"/>
      </w:pPr>
      <w:hyperlink r:id="rId135" w:history="1">
        <w:r w:rsidR="007B6A1A" w:rsidRPr="00947EAE">
          <w:rPr>
            <w:rStyle w:val="Lienhypertexte"/>
          </w:rPr>
          <w:t>https://www.preventioninfection.fr/actualites/certibiocide-une-formation-encadree-pour-un-usage-raisonne-des-produits-biocides/</w:t>
        </w:r>
      </w:hyperlink>
    </w:p>
    <w:p w14:paraId="6A2CD7DB" w14:textId="77777777" w:rsidR="007B6A1A" w:rsidRDefault="007B6A1A" w:rsidP="007B6A1A">
      <w:pPr>
        <w:pStyle w:val="Textebrut"/>
      </w:pPr>
    </w:p>
    <w:p w14:paraId="4EA2B89E" w14:textId="77777777" w:rsidR="00106B80" w:rsidRDefault="00106B80" w:rsidP="00106B80">
      <w:pPr>
        <w:pStyle w:val="Textebrut"/>
      </w:pPr>
      <w:r>
        <w:t>Création d’un comité scientifique temporaire pour définir les conditions de la substitution des médicaments biosimilaires (ANSM, actualisation du 19/12/2024).</w:t>
      </w:r>
    </w:p>
    <w:p w14:paraId="539163E2" w14:textId="77777777" w:rsidR="00106B80" w:rsidRDefault="00106B80" w:rsidP="00106B80">
      <w:pPr>
        <w:pStyle w:val="Textebrut"/>
      </w:pPr>
      <w:r>
        <w:t xml:space="preserve">Suite aux travaux du CST, l'ANSM a rendu un avis sur les médicaments composés de </w:t>
      </w:r>
      <w:proofErr w:type="spellStart"/>
      <w:r>
        <w:t>tériparatide</w:t>
      </w:r>
      <w:proofErr w:type="spellEnd"/>
      <w:r>
        <w:t>, d'</w:t>
      </w:r>
      <w:proofErr w:type="spellStart"/>
      <w:r>
        <w:t>étanercept</w:t>
      </w:r>
      <w:proofErr w:type="spellEnd"/>
      <w:r>
        <w:t xml:space="preserve"> et d'</w:t>
      </w:r>
      <w:proofErr w:type="spellStart"/>
      <w:r>
        <w:t>adamimumab</w:t>
      </w:r>
      <w:proofErr w:type="spellEnd"/>
      <w:r>
        <w:t>. Si le ministère souhaite mettre en place la substitution, elle deviendra possible uniquement après publication d'un arrêté du ministre chargé de la santé</w:t>
      </w:r>
    </w:p>
    <w:p w14:paraId="7853612A" w14:textId="4F2C00A8" w:rsidR="00106B80" w:rsidRDefault="00BB0F1B" w:rsidP="00106B80">
      <w:pPr>
        <w:pStyle w:val="Textebrut"/>
      </w:pPr>
      <w:hyperlink r:id="rId136" w:history="1">
        <w:r w:rsidR="00106B80" w:rsidRPr="00006529">
          <w:rPr>
            <w:rStyle w:val="Lienhypertexte"/>
          </w:rPr>
          <w:t>https://ansm.sante.fr/actualites/creation-dun-comite-scientifique-temporaire-pour-definir-les-conditions-de-la-substitution-des-medicaments-biosimilaires</w:t>
        </w:r>
      </w:hyperlink>
    </w:p>
    <w:p w14:paraId="3AD901FD" w14:textId="5F45156A" w:rsidR="00106B80" w:rsidRDefault="00106B80" w:rsidP="00106B80">
      <w:pPr>
        <w:pStyle w:val="Textebrut"/>
      </w:pPr>
      <w:r>
        <w:t xml:space="preserve">Avis de l’ANSM en date du 26/11/2024 les conditions de mise en œuvre de la substitution au sein des groupes biologiques similaires </w:t>
      </w:r>
      <w:proofErr w:type="spellStart"/>
      <w:r>
        <w:t>tériparatide</w:t>
      </w:r>
      <w:proofErr w:type="spellEnd"/>
      <w:r>
        <w:t xml:space="preserve">, </w:t>
      </w:r>
      <w:proofErr w:type="spellStart"/>
      <w:r>
        <w:t>étanercept</w:t>
      </w:r>
      <w:proofErr w:type="spellEnd"/>
      <w:r>
        <w:t xml:space="preserve"> et </w:t>
      </w:r>
      <w:proofErr w:type="spellStart"/>
      <w:r>
        <w:t>adalimumab</w:t>
      </w:r>
      <w:proofErr w:type="spellEnd"/>
      <w:r>
        <w:t xml:space="preserve"> (ANSM, 19/12/2024).</w:t>
      </w:r>
    </w:p>
    <w:p w14:paraId="11C55558" w14:textId="00394777" w:rsidR="00017B73" w:rsidRDefault="00BB0F1B" w:rsidP="00106B80">
      <w:pPr>
        <w:pStyle w:val="Textebrut"/>
      </w:pPr>
      <w:hyperlink r:id="rId137" w:history="1">
        <w:r w:rsidR="00106B80" w:rsidRPr="00006529">
          <w:rPr>
            <w:rStyle w:val="Lienhypertexte"/>
          </w:rPr>
          <w:t>https://ansm.sante.fr/actualites/avis-de-lansm-en-date-du-26-11-2024-les-conditions-de-mise-en-oeuvre-de-la-substitution-au-sein-des-groupes-biologiques-similaires-teriparatide-etanercept-et-adalimumab</w:t>
        </w:r>
      </w:hyperlink>
    </w:p>
    <w:p w14:paraId="3E1C20AD" w14:textId="77777777" w:rsidR="00106B80" w:rsidRDefault="00106B80" w:rsidP="00106B80">
      <w:pPr>
        <w:pStyle w:val="Textebrut"/>
      </w:pPr>
    </w:p>
    <w:p w14:paraId="659C4BDF" w14:textId="77777777" w:rsidR="00FF1099" w:rsidRDefault="00FF1099" w:rsidP="00FF1099">
      <w:pPr>
        <w:pStyle w:val="Textebrut"/>
      </w:pPr>
      <w:r>
        <w:t>Fluoroquinolones : sensibiliser les patients en pharmacie aux effets indésirables potentiels (ameli.fr, 19/12/2024).</w:t>
      </w:r>
    </w:p>
    <w:p w14:paraId="38179CE1" w14:textId="77777777" w:rsidR="00FF1099" w:rsidRDefault="00FF1099" w:rsidP="00FF1099">
      <w:pPr>
        <w:pStyle w:val="Textebrut"/>
      </w:pPr>
      <w:r>
        <w:t>L’utilisation des fluoroquinolones, classe d’antibiotiques prescrits pour traiter des infections bactériennes graves, peut être à l’origine d’effets secondaires parfois graves et invalidants. Il est donc essentiel, lors de la délivrance de ces médicaments en pharmacie, d’informer les patients sur les risques potentiels et le possible surgissement de certains symptômes</w:t>
      </w:r>
    </w:p>
    <w:p w14:paraId="782F965E" w14:textId="2AE10F07" w:rsidR="00106B80" w:rsidRDefault="00BB0F1B" w:rsidP="00FF1099">
      <w:pPr>
        <w:pStyle w:val="Textebrut"/>
      </w:pPr>
      <w:hyperlink r:id="rId138" w:history="1">
        <w:r w:rsidR="00FF1099" w:rsidRPr="00006529">
          <w:rPr>
            <w:rStyle w:val="Lienhypertexte"/>
          </w:rPr>
          <w:t>https://www.ameli.fr/pharmacien/actualites/fluoroquinolones-sensibiliser-les-patients-en-pharmacie-aux-effets-indesirables-potentiels</w:t>
        </w:r>
      </w:hyperlink>
    </w:p>
    <w:p w14:paraId="7FE3C2A7" w14:textId="77777777" w:rsidR="00FF1099" w:rsidRDefault="00FF1099" w:rsidP="00FF1099">
      <w:pPr>
        <w:pStyle w:val="Textebrut"/>
      </w:pPr>
    </w:p>
    <w:p w14:paraId="43C26942" w14:textId="77777777" w:rsidR="00FF1099" w:rsidRDefault="00FF1099" w:rsidP="00FF1099">
      <w:pPr>
        <w:pStyle w:val="Textebrut"/>
      </w:pPr>
      <w:r>
        <w:t>Contraception orale progestative et risque de méningiome intracrânien (EPI-PHARE, 19/12/2024).</w:t>
      </w:r>
    </w:p>
    <w:p w14:paraId="144CE823" w14:textId="77777777" w:rsidR="00FF1099" w:rsidRDefault="00FF1099" w:rsidP="00FF1099">
      <w:pPr>
        <w:pStyle w:val="Textebrut"/>
      </w:pPr>
      <w:r>
        <w:t>Cette étude nationale retrouve un risque de méningiome intracrânien opéré associé à l’utilisation prolongée, continue et en cours de la pilule progestative désogestrel 75 μg au-delà de cinq ans. Ce risque, significatif, reste très faible (soit 67 000 femmes utilisatrices pour un cas de méningiome opéré) par comparaison à celui observé pour les six progestatifs déjà connus pour être à risque de méningiome. Ce risque concerne plus particulièrement les femmes de plus de 45 ans et augmente avec la durée d’utilisation du désogestrel. Un risque est aussi observé en cas d’utilisation du désogestrel 75 μg dans les suites d’une utilisation d’un autre progestatif à risque, notamment les acétates de nomégestrol et chlormadinone. En revanche les résultats concernant le lévonorgestrel oral seul 30 μg ou combiné aux estrogènes (50-150 μg) sont rassurants et en faveur de l’absence de risque de méningiome</w:t>
      </w:r>
    </w:p>
    <w:p w14:paraId="7EE96640" w14:textId="43D8617E" w:rsidR="00FF1099" w:rsidRDefault="00BB0F1B" w:rsidP="00FF1099">
      <w:pPr>
        <w:pStyle w:val="Textebrut"/>
      </w:pPr>
      <w:hyperlink r:id="rId139" w:history="1">
        <w:r w:rsidR="00FF1099" w:rsidRPr="00006529">
          <w:rPr>
            <w:rStyle w:val="Lienhypertexte"/>
          </w:rPr>
          <w:t>https://www.epi-phare.fr/rapports-detudes-et-publications/contraception-orale-progestative-meningiome-intracranien/</w:t>
        </w:r>
      </w:hyperlink>
    </w:p>
    <w:p w14:paraId="761A1257" w14:textId="77777777" w:rsidR="00FF1099" w:rsidRDefault="00FF1099" w:rsidP="00FF1099">
      <w:pPr>
        <w:pStyle w:val="Textebrut"/>
      </w:pPr>
      <w:r>
        <w:lastRenderedPageBreak/>
        <w:t>De nouvelles données sur le risque de méningiome associé à la prise de progestatifs en contraception orale (ANSM, 19/12/2024).</w:t>
      </w:r>
    </w:p>
    <w:p w14:paraId="613E9860" w14:textId="77777777" w:rsidR="00FF1099" w:rsidRDefault="00FF1099" w:rsidP="00FF1099">
      <w:pPr>
        <w:pStyle w:val="Textebrut"/>
      </w:pPr>
      <w:r>
        <w:t xml:space="preserve">Le 18 décembre 2024, le groupement scientifique EPI-PHARE a présenté au comité scientifique temporaire (CST) “Contraception orale et risque méningiome” de l’ANSM, les résultats de sa dernière étude sur le risque de méningiome chez les femmes exposées à un progestatif en contraception orale. L’étude ne montre pas de </w:t>
      </w:r>
      <w:proofErr w:type="spellStart"/>
      <w:r>
        <w:t>sur-risque</w:t>
      </w:r>
      <w:proofErr w:type="spellEnd"/>
      <w:r>
        <w:t xml:space="preserve"> de méningiome pour les femmes utilisant une contraception contenant du lévonorgestrel seul ou combiné à l’</w:t>
      </w:r>
      <w:proofErr w:type="spellStart"/>
      <w:r>
        <w:t>éthinylestradiol</w:t>
      </w:r>
      <w:proofErr w:type="spellEnd"/>
      <w:r>
        <w:t>. Elle met en évidence une augmentation très faible du risque pour les contraceptions à base de désogestrel seul lors d’une utilisation prolongée chez les femmes de plus de 45 ans. Compte-tenu de ces résultats, et dans l’attente des mesures à venir début 2025, nous émettons des recommandations préliminaires d’utilisation de ces contraceptifs oraux et de surveillance des femmes qui y sont exposées</w:t>
      </w:r>
    </w:p>
    <w:p w14:paraId="0F969548" w14:textId="7AE239CC" w:rsidR="00FF1099" w:rsidRDefault="00BB0F1B" w:rsidP="00FF1099">
      <w:pPr>
        <w:pStyle w:val="Textebrut"/>
      </w:pPr>
      <w:hyperlink r:id="rId140" w:history="1">
        <w:r w:rsidR="00FF1099" w:rsidRPr="00006529">
          <w:rPr>
            <w:rStyle w:val="Lienhypertexte"/>
          </w:rPr>
          <w:t>https://ansm.sante.fr/actualites/de-nouvelles-donnees-sur-le-risque-de-meningiome-associe-a-la-prise-de-progestatifs-en-contraception-orale</w:t>
        </w:r>
      </w:hyperlink>
    </w:p>
    <w:p w14:paraId="306A1611" w14:textId="70ABF302" w:rsidR="00FF1099" w:rsidRDefault="00FF1099" w:rsidP="00FF1099">
      <w:pPr>
        <w:pStyle w:val="Textebrut"/>
      </w:pPr>
      <w:r>
        <w:t>Publication d’une étude d’EPI-PHARE sur le risque de méningiome associé à la contraception orale (ameli.fr, 19/12/2024).</w:t>
      </w:r>
    </w:p>
    <w:p w14:paraId="0CD4E8E5" w14:textId="1681F490" w:rsidR="00FF1099" w:rsidRDefault="00BB0F1B" w:rsidP="00FF1099">
      <w:pPr>
        <w:pStyle w:val="Textebrut"/>
      </w:pPr>
      <w:hyperlink r:id="rId141" w:history="1">
        <w:r w:rsidR="00FF1099" w:rsidRPr="00006529">
          <w:rPr>
            <w:rStyle w:val="Lienhypertexte"/>
          </w:rPr>
          <w:t>https://www.assurance-maladie.ameli.fr/presse/2024-12-19cpepi-phare-contraceptionoralerisquemeningiom</w:t>
        </w:r>
      </w:hyperlink>
    </w:p>
    <w:p w14:paraId="07C6C70E" w14:textId="77777777" w:rsidR="00FF1099" w:rsidRDefault="00FF1099" w:rsidP="00FF1099">
      <w:pPr>
        <w:pStyle w:val="Textebrut"/>
      </w:pPr>
    </w:p>
    <w:p w14:paraId="5411EAC8" w14:textId="77777777" w:rsidR="008F6EB3" w:rsidRDefault="008F6EB3" w:rsidP="008F6EB3">
      <w:pPr>
        <w:pStyle w:val="Textebrut"/>
      </w:pPr>
      <w:r>
        <w:t>Communiqué du 19/12/2024 - Vaccination : de nouvelles obligations à partir du 1er janvier 2025, pour protéger les nourrissons.</w:t>
      </w:r>
    </w:p>
    <w:p w14:paraId="4E68F038" w14:textId="77777777" w:rsidR="008F6EB3" w:rsidRDefault="008F6EB3" w:rsidP="008F6EB3">
      <w:pPr>
        <w:pStyle w:val="Textebrut"/>
      </w:pPr>
      <w:r>
        <w:t>À partir du 1er janvier 2025, la vaccination contre les infections à méningocoques ACWY et B devient obligatoire pour les nourrissons. La vaccination contre le méningocoque C, déjà obligatoire, sera remplacée par celle contre les méningocoques ACWY, tandis que la vaccination contre le méningocoque B, jusqu’ici fortement recommandée, devient également obligatoire.</w:t>
      </w:r>
    </w:p>
    <w:p w14:paraId="2AD46DF6" w14:textId="77777777" w:rsidR="008F6EB3" w:rsidRDefault="008F6EB3" w:rsidP="008F6EB3">
      <w:pPr>
        <w:pStyle w:val="Textebrut"/>
      </w:pPr>
      <w:r>
        <w:t>Cette évolution des obligations vaccinales fait suite aux recommandations de la Haute Autorité de santé et au décret du 5 juillet 2024 relatif à l’obligation vaccinale contre les méningocoques de type B et ACWY. Elle figure dans la mise à jour du nouveau calendrier vaccinal. Cette nouvelle obligation vise à mieux protéger les nourrissons contre ces infections graves, en réponse à une recrudescence préoccupante observée ces dernières années</w:t>
      </w:r>
    </w:p>
    <w:p w14:paraId="6D465AB0" w14:textId="0D9D3008" w:rsidR="00FF1099" w:rsidRDefault="00BB0F1B" w:rsidP="008F6EB3">
      <w:pPr>
        <w:pStyle w:val="Textebrut"/>
      </w:pPr>
      <w:hyperlink r:id="rId142" w:history="1">
        <w:r w:rsidR="008F6EB3" w:rsidRPr="00947EAE">
          <w:rPr>
            <w:rStyle w:val="Lienhypertexte"/>
          </w:rPr>
          <w:t>https://sante.gouv.fr/actualites/presse/communiques-de-presse/article/vaccination-de-nouvelles-obligations-a-partir-du-1er-janvier-2025-pour-proteger</w:t>
        </w:r>
      </w:hyperlink>
    </w:p>
    <w:p w14:paraId="1D4029EA" w14:textId="77777777" w:rsidR="008F6EB3" w:rsidRDefault="008F6EB3" w:rsidP="008F6EB3">
      <w:pPr>
        <w:pStyle w:val="Textebrut"/>
      </w:pPr>
    </w:p>
    <w:p w14:paraId="33A4413B" w14:textId="77777777" w:rsidR="00324CAE" w:rsidRDefault="00324CAE" w:rsidP="00324CAE">
      <w:pPr>
        <w:pStyle w:val="Textebrut"/>
      </w:pPr>
      <w:r>
        <w:t>Communiqué du 19/12/2024 - Vaccination : de nouvelles obligations à partir du 1er janvier 2025, pour protéger les nourrissons.</w:t>
      </w:r>
    </w:p>
    <w:p w14:paraId="3F674B6D" w14:textId="77777777" w:rsidR="00324CAE" w:rsidRDefault="00324CAE" w:rsidP="00324CAE">
      <w:pPr>
        <w:pStyle w:val="Textebrut"/>
      </w:pPr>
      <w:r>
        <w:t>À partir du 1er janvier 2025, la vaccination contre les infections à méningocoques ACWY et B devient obligatoire pour les nourrissons. La vaccination contre le méningocoque C, déjà obligatoire, sera remplacée par celle contre les méningocoques ACWY, tandis que la vaccination contre le méningocoque B, jusqu’ici fortement recommandée, devient également obligatoire.</w:t>
      </w:r>
    </w:p>
    <w:p w14:paraId="78C56A03" w14:textId="77777777" w:rsidR="00324CAE" w:rsidRDefault="00324CAE" w:rsidP="00324CAE">
      <w:pPr>
        <w:pStyle w:val="Textebrut"/>
      </w:pPr>
      <w:r>
        <w:t>Cette évolution des obligations vaccinales fait suite aux recommandations de la Haute Autorité de santé et au décret du 5 juillet 2024 relatif à l’obligation vaccinale contre les méningocoques de type B et ACWY. Elle figure dans la mise à jour du nouveau calendrier vaccinal. Cette nouvelle obligation vise à mieux protéger les nourrissons contre ces infections graves, en réponse à une recrudescence préoccupante observée ces dernières années</w:t>
      </w:r>
    </w:p>
    <w:p w14:paraId="6E2625CE" w14:textId="169BA834" w:rsidR="008F6EB3" w:rsidRDefault="00BB0F1B" w:rsidP="00324CAE">
      <w:pPr>
        <w:pStyle w:val="Textebrut"/>
      </w:pPr>
      <w:hyperlink r:id="rId143" w:history="1">
        <w:r w:rsidR="00324CAE" w:rsidRPr="00947EAE">
          <w:rPr>
            <w:rStyle w:val="Lienhypertexte"/>
          </w:rPr>
          <w:t>https://sante.gouv.fr/actualites/presse/communiques-de-presse/article/vaccination-de-nouvelles-obligations-a-partir-du-1er-janvier-2025-pour-proteger</w:t>
        </w:r>
      </w:hyperlink>
    </w:p>
    <w:p w14:paraId="740C47B1" w14:textId="77777777" w:rsidR="00324CAE" w:rsidRDefault="00324CAE" w:rsidP="00324CAE">
      <w:pPr>
        <w:pStyle w:val="Textebrut"/>
      </w:pPr>
    </w:p>
    <w:p w14:paraId="5D5128DA" w14:textId="77777777" w:rsidR="008816F3" w:rsidRDefault="008816F3" w:rsidP="008816F3">
      <w:pPr>
        <w:pStyle w:val="Textebrut"/>
      </w:pPr>
      <w:r>
        <w:t>Signature d’un accord entre l’Assurance Maladie et 3 syndicats de biologistes médicaux (ameli.fr, 20/12/2024).</w:t>
      </w:r>
    </w:p>
    <w:p w14:paraId="0D99155B" w14:textId="77777777" w:rsidR="008816F3" w:rsidRDefault="008816F3" w:rsidP="008816F3">
      <w:pPr>
        <w:pStyle w:val="Textebrut"/>
      </w:pPr>
      <w:r>
        <w:t>Ce 20 décembre, l’Assurance Maladie et 3 syndicats de biologistes médicaux ont signé un accord qui précise les conditions de la mise en œuvre sur 2025-2026 du protocole signé en juillet 2023. Cet accord maintient les trajectoires financières conformes à celles sur lesquelles les parties signataires se sont engagées en 2023</w:t>
      </w:r>
    </w:p>
    <w:p w14:paraId="4DB432A5" w14:textId="1F89EE23" w:rsidR="008816F3" w:rsidRDefault="00BB0F1B" w:rsidP="008816F3">
      <w:pPr>
        <w:pStyle w:val="Textebrut"/>
      </w:pPr>
      <w:hyperlink r:id="rId144" w:history="1">
        <w:r w:rsidR="008816F3" w:rsidRPr="00947EAE">
          <w:rPr>
            <w:rStyle w:val="Lienhypertexte"/>
          </w:rPr>
          <w:t>https://www.ameli.fr/laboratoire-d-analyses-medicales/actualites/signature-d-un-accord-entre-l-assurance-maladie-et-3-syndicats-de-biologistes-medicaux</w:t>
        </w:r>
      </w:hyperlink>
    </w:p>
    <w:p w14:paraId="06A9244B" w14:textId="33D0009C" w:rsidR="00324CAE" w:rsidRDefault="00B01F54" w:rsidP="008816F3">
      <w:pPr>
        <w:pStyle w:val="Textebrut"/>
      </w:pPr>
      <w:r w:rsidRPr="00B01F54">
        <w:lastRenderedPageBreak/>
        <w:t xml:space="preserve">Communiqué </w:t>
      </w:r>
      <w:r w:rsidR="00E152D3" w:rsidRPr="00E152D3">
        <w:t xml:space="preserve">d’une intersyndicale de biologistes </w:t>
      </w:r>
      <w:r w:rsidRPr="00B01F54">
        <w:t>du 20/12/2024 - L’Assurance Maladie et trois syndicats de biologistes médicaux signent un accord pour stabiliser la trajectoire économique des laboratoires de biologie médicale pendant deux ans</w:t>
      </w:r>
    </w:p>
    <w:p w14:paraId="31214C20" w14:textId="72E9CE91" w:rsidR="00B01F54" w:rsidRDefault="00BB0F1B" w:rsidP="00324CAE">
      <w:pPr>
        <w:pStyle w:val="Textebrut"/>
      </w:pPr>
      <w:hyperlink r:id="rId145" w:history="1">
        <w:r w:rsidR="00B01F54" w:rsidRPr="00947EAE">
          <w:rPr>
            <w:rStyle w:val="Lienhypertexte"/>
          </w:rPr>
          <w:t>https://www.sdbio.eu/component/acym/archive/2236-sdbio-communique-20-12-2024-signature-d-un-accord-pour-stabiliser-la-trajectoire-economique-des-laboratoires-de-biologie-medicale-pendant-deux-ans</w:t>
        </w:r>
      </w:hyperlink>
    </w:p>
    <w:p w14:paraId="78CD826C" w14:textId="77777777" w:rsidR="00B01F54" w:rsidRDefault="00B01F54" w:rsidP="00324CAE">
      <w:pPr>
        <w:pStyle w:val="Textebrut"/>
      </w:pPr>
    </w:p>
    <w:p w14:paraId="451D8BF7" w14:textId="2B609F77" w:rsidR="00B01F54" w:rsidRDefault="00E152D3" w:rsidP="00324CAE">
      <w:pPr>
        <w:pStyle w:val="Textebrut"/>
      </w:pPr>
      <w:r w:rsidRPr="00E152D3">
        <w:t>Message de la DGOS du 20/12/2024 concernant le lancement de travaux sur l’organisation territoriale des PUI</w:t>
      </w:r>
    </w:p>
    <w:p w14:paraId="03FB49FA" w14:textId="379E8C95" w:rsidR="00E152D3" w:rsidRDefault="00BB0F1B" w:rsidP="00324CAE">
      <w:pPr>
        <w:pStyle w:val="Textebrut"/>
      </w:pPr>
      <w:hyperlink r:id="rId146" w:history="1">
        <w:r w:rsidR="00E152D3" w:rsidRPr="00947EAE">
          <w:rPr>
            <w:rStyle w:val="Lienhypertexte"/>
          </w:rPr>
          <w:t>https://peps.sante.gouv.fr/actu/2024/24_dgos_lancement-travaux-reorg-territoriale-pui_20122024.pdf</w:t>
        </w:r>
      </w:hyperlink>
    </w:p>
    <w:p w14:paraId="7FFA475E" w14:textId="2F484E94" w:rsidR="00E152D3" w:rsidRDefault="00E152D3" w:rsidP="00324CAE">
      <w:pPr>
        <w:pStyle w:val="Textebrut"/>
      </w:pPr>
      <w:r>
        <w:t>Et la présentation :</w:t>
      </w:r>
    </w:p>
    <w:p w14:paraId="22A922BD" w14:textId="4A466E61" w:rsidR="00E152D3" w:rsidRDefault="00BB0F1B" w:rsidP="00324CAE">
      <w:pPr>
        <w:pStyle w:val="Textebrut"/>
      </w:pPr>
      <w:hyperlink r:id="rId147" w:history="1">
        <w:r w:rsidR="00E152D3" w:rsidRPr="00947EAE">
          <w:rPr>
            <w:rStyle w:val="Lienhypertexte"/>
          </w:rPr>
          <w:t>https://peps.sante.gouv.fr/actu/2024/24_dgos_lancement-travaux-reorg-territoriale-pui-pj_20122024.pptx</w:t>
        </w:r>
      </w:hyperlink>
    </w:p>
    <w:p w14:paraId="5F270874" w14:textId="77777777" w:rsidR="00E152D3" w:rsidRDefault="00E152D3" w:rsidP="00324CAE">
      <w:pPr>
        <w:pStyle w:val="Textebrut"/>
      </w:pPr>
    </w:p>
    <w:p w14:paraId="60A33D51" w14:textId="77777777" w:rsidR="00C46BA5" w:rsidRDefault="00C46BA5" w:rsidP="00C46BA5">
      <w:pPr>
        <w:pStyle w:val="Textebrut"/>
      </w:pPr>
      <w:proofErr w:type="spellStart"/>
      <w:r>
        <w:t>Alofisel</w:t>
      </w:r>
      <w:proofErr w:type="spellEnd"/>
      <w:r>
        <w:t xml:space="preserve"> (</w:t>
      </w:r>
      <w:proofErr w:type="spellStart"/>
      <w:r>
        <w:t>darvadstrocel</w:t>
      </w:r>
      <w:proofErr w:type="spellEnd"/>
      <w:r>
        <w:t>) : retrait du marché de l’Union européenne en raison de l'absence de démonstration d’un bénéfice clinique suffisant justifiant le maintien de son utilisation (ANSM, 20/12/2024).</w:t>
      </w:r>
    </w:p>
    <w:p w14:paraId="71742C8E" w14:textId="77777777" w:rsidR="00C46BA5" w:rsidRDefault="00C46BA5" w:rsidP="00C46BA5">
      <w:pPr>
        <w:pStyle w:val="Textebrut"/>
      </w:pPr>
      <w:r>
        <w:t>Information destinée aux médecins spécialisés en hépato-gastro-entérologie ou en chirurgie viscérale et digestive et aux pharmaciens hospitaliers des centres habilités</w:t>
      </w:r>
    </w:p>
    <w:p w14:paraId="10DE4584" w14:textId="77777777" w:rsidR="00C46BA5" w:rsidRDefault="00C46BA5" w:rsidP="00C46BA5">
      <w:pPr>
        <w:pStyle w:val="Textebrut"/>
      </w:pPr>
      <w:proofErr w:type="spellStart"/>
      <w:r>
        <w:t>Alofisel</w:t>
      </w:r>
      <w:proofErr w:type="spellEnd"/>
      <w:r>
        <w:t xml:space="preserve"> est retiré du marché dans l’Union européenne. L'ensemble des données applicables à l'autorisation de mise sur le marché européenne, y compris les résultats de l'étude Admire-CD II, indique que le bénéfice clinique d'</w:t>
      </w:r>
      <w:proofErr w:type="spellStart"/>
      <w:r>
        <w:t>Alofisel</w:t>
      </w:r>
      <w:proofErr w:type="spellEnd"/>
      <w:r>
        <w:t xml:space="preserve"> n'est plus démontré pour justifier le maintien de son utilisation dans l'UE que les risques liés à son utilisation l'emportent désormais sur ses bénéfices</w:t>
      </w:r>
    </w:p>
    <w:p w14:paraId="170998A4" w14:textId="7F91FF1C" w:rsidR="00E152D3" w:rsidRDefault="00BB0F1B" w:rsidP="00C46BA5">
      <w:pPr>
        <w:pStyle w:val="Textebrut"/>
      </w:pPr>
      <w:hyperlink r:id="rId148" w:history="1">
        <w:r w:rsidR="00C46BA5" w:rsidRPr="00947EAE">
          <w:rPr>
            <w:rStyle w:val="Lienhypertexte"/>
          </w:rPr>
          <w:t>https://ansm.sante.fr/informations-de-securite/alofisel-darvadstrocel-retrait-du-marche-de-lunion-europeenne-en-raison-de-labsence-de-demonstration-dun-benefice-clinique-suffisant-justifiant-le-maintien-de-son-utilisation</w:t>
        </w:r>
      </w:hyperlink>
    </w:p>
    <w:p w14:paraId="4F6066FD" w14:textId="77777777" w:rsidR="00C46BA5" w:rsidRDefault="00C46BA5" w:rsidP="00C46BA5">
      <w:pPr>
        <w:pStyle w:val="Textebrut"/>
      </w:pPr>
    </w:p>
    <w:p w14:paraId="4C8018C2" w14:textId="77777777" w:rsidR="008816F3" w:rsidRDefault="008816F3" w:rsidP="008816F3">
      <w:pPr>
        <w:pStyle w:val="Textebrut"/>
      </w:pPr>
      <w:r>
        <w:t xml:space="preserve">Accessibilité aux soins de premier recours en 2023 Dégradation de l’accessibilité aux médecins généralistes et aux infirmières, amélioration de l’accessibilité aux kinésithérapeutes, aux </w:t>
      </w:r>
      <w:proofErr w:type="spellStart"/>
      <w:r>
        <w:t>sages-femmes</w:t>
      </w:r>
      <w:proofErr w:type="spellEnd"/>
      <w:r>
        <w:t xml:space="preserve"> et aux chirurgiens-dentistes (DREES, 20/12/2024).</w:t>
      </w:r>
    </w:p>
    <w:p w14:paraId="6942AE47" w14:textId="7ADEF76A" w:rsidR="008816F3" w:rsidRDefault="008816F3" w:rsidP="008816F3">
      <w:pPr>
        <w:pStyle w:val="Textebrut"/>
      </w:pPr>
      <w:r>
        <w:t xml:space="preserve">La Direction de la recherche, des études, de l’évaluation et des statistiques (DREES) met à disposition les données actualisées de l’indicateur d’accessibilité potentielle localisée (APL) en 2022 et 2023 pour les médecins généralistes, les infirmières, les </w:t>
      </w:r>
      <w:proofErr w:type="spellStart"/>
      <w:r>
        <w:t>sages-femmes</w:t>
      </w:r>
      <w:proofErr w:type="spellEnd"/>
      <w:r>
        <w:t>, les kinésithérapeutes et les chirurgiens-dentistes</w:t>
      </w:r>
    </w:p>
    <w:p w14:paraId="3373A123" w14:textId="65CB1650" w:rsidR="00C46BA5" w:rsidRDefault="00BB0F1B" w:rsidP="008816F3">
      <w:pPr>
        <w:pStyle w:val="Textebrut"/>
      </w:pPr>
      <w:hyperlink r:id="rId149" w:history="1">
        <w:r w:rsidR="008816F3" w:rsidRPr="00947EAE">
          <w:rPr>
            <w:rStyle w:val="Lienhypertexte"/>
          </w:rPr>
          <w:t>https://drees.solidarites-sante.gouv.fr/communique-de-presse-jeux-de-donnees/jeux-de-donnees/241220_DATA_accessibilite-aux-soins</w:t>
        </w:r>
      </w:hyperlink>
    </w:p>
    <w:p w14:paraId="66426426" w14:textId="77777777" w:rsidR="008816F3" w:rsidRDefault="008816F3" w:rsidP="008816F3">
      <w:pPr>
        <w:pStyle w:val="Textebrut"/>
      </w:pPr>
    </w:p>
    <w:p w14:paraId="1F337E8E" w14:textId="77777777" w:rsidR="001E349E" w:rsidRDefault="001E349E" w:rsidP="001E349E">
      <w:pPr>
        <w:pStyle w:val="Textebrut"/>
      </w:pPr>
      <w:r>
        <w:t>Avis du HCSP du 31/10/2024 relatif au stock stratégique de l'État d'antiviraux contre la grippe</w:t>
      </w:r>
    </w:p>
    <w:p w14:paraId="3CEA12C5" w14:textId="7574DF50" w:rsidR="008816F3" w:rsidRDefault="00BB0F1B" w:rsidP="001E349E">
      <w:pPr>
        <w:pStyle w:val="Textebrut"/>
      </w:pPr>
      <w:hyperlink r:id="rId150" w:history="1">
        <w:r w:rsidR="001E349E" w:rsidRPr="005E258C">
          <w:rPr>
            <w:rStyle w:val="Lienhypertexte"/>
          </w:rPr>
          <w:t>https://www.hcsp.fr/Explore.cgi/avisrapportsdomaine?clefr=1410</w:t>
        </w:r>
      </w:hyperlink>
    </w:p>
    <w:p w14:paraId="74DDC873" w14:textId="77777777" w:rsidR="001E349E" w:rsidRDefault="001E349E" w:rsidP="001E349E">
      <w:pPr>
        <w:pStyle w:val="Textebrut"/>
      </w:pPr>
    </w:p>
    <w:p w14:paraId="7B245248" w14:textId="77777777" w:rsidR="001E349E" w:rsidRDefault="001E349E" w:rsidP="001E349E">
      <w:pPr>
        <w:pStyle w:val="Textebrut"/>
      </w:pPr>
      <w:r>
        <w:t>Nouvelle fiche REB sur la fièvre de Lassa (SPILF, 20/12/2024)</w:t>
      </w:r>
    </w:p>
    <w:p w14:paraId="0B3BC129" w14:textId="4A3629C0" w:rsidR="001E349E" w:rsidRDefault="00BB0F1B" w:rsidP="001E349E">
      <w:pPr>
        <w:pStyle w:val="Textebrut"/>
      </w:pPr>
      <w:hyperlink r:id="rId151" w:history="1">
        <w:r w:rsidR="001E349E" w:rsidRPr="005E258C">
          <w:rPr>
            <w:rStyle w:val="Lienhypertexte"/>
          </w:rPr>
          <w:t>https://www.infectiologie.com/UserFiles/File/emergences/fiche-reb-lassa-dn-cc-sb-mj-sb3.pdf</w:t>
        </w:r>
      </w:hyperlink>
    </w:p>
    <w:p w14:paraId="588ED6A3" w14:textId="77777777" w:rsidR="001E349E" w:rsidRDefault="001E349E" w:rsidP="001E349E">
      <w:pPr>
        <w:pStyle w:val="Textebrut"/>
      </w:pPr>
    </w:p>
    <w:p w14:paraId="1B1AF341" w14:textId="77777777" w:rsidR="00957B08" w:rsidRDefault="00957B08" w:rsidP="00957B08">
      <w:pPr>
        <w:pStyle w:val="Textebrut"/>
      </w:pPr>
      <w:r>
        <w:t>Comité d'interface avec les représentants des industries du médicament - Médicaments de thérapie innovante (MTI), compte rendu de la séance du 20/06/2024 (ANSM, 23/12/2024)</w:t>
      </w:r>
    </w:p>
    <w:p w14:paraId="73F2CBB8" w14:textId="77777777" w:rsidR="00957B08" w:rsidRDefault="00957B08" w:rsidP="00957B08">
      <w:pPr>
        <w:pStyle w:val="Textebrut"/>
      </w:pPr>
      <w:r>
        <w:t>Concerne notamment les monographies de la Pharmacopée européenne (avec d’intéressantes questions juridiques), une analyse prospective du LEEM sur les MTI, le développement de CAR-T dans de nouvelles indications, etc.</w:t>
      </w:r>
    </w:p>
    <w:p w14:paraId="147FDA97" w14:textId="07917F61" w:rsidR="001E349E" w:rsidRDefault="00BB0F1B" w:rsidP="00957B08">
      <w:pPr>
        <w:pStyle w:val="Textebrut"/>
      </w:pPr>
      <w:hyperlink r:id="rId152" w:history="1">
        <w:r w:rsidR="00957B08" w:rsidRPr="005E258C">
          <w:rPr>
            <w:rStyle w:val="Lienhypertexte"/>
          </w:rPr>
          <w:t>https://ansm.sante.fr/evenements/comite-dinterface-avec-les-representants-des-industries-du-medicament-medicaments-de-therapie-innovante-12</w:t>
        </w:r>
      </w:hyperlink>
    </w:p>
    <w:p w14:paraId="68CBE12C" w14:textId="77777777" w:rsidR="00957B08" w:rsidRDefault="00957B08" w:rsidP="00957B08">
      <w:pPr>
        <w:pStyle w:val="Textebrut"/>
      </w:pPr>
    </w:p>
    <w:p w14:paraId="095444EE" w14:textId="77777777" w:rsidR="00BB0F1B" w:rsidRDefault="00BB0F1B" w:rsidP="00957B08">
      <w:pPr>
        <w:pStyle w:val="Textebrut"/>
      </w:pPr>
    </w:p>
    <w:p w14:paraId="3FC9B87E" w14:textId="77777777" w:rsidR="00E85AE0" w:rsidRDefault="00E85AE0" w:rsidP="00E85AE0">
      <w:pPr>
        <w:pStyle w:val="Textebrut"/>
      </w:pPr>
      <w:r>
        <w:t>Intérêt des techniques d’amplification des acides nucléiques (TAAN) multiplex dans la prise en charge médicale des infections respiratoires basses (HAS, 23/12/2024).</w:t>
      </w:r>
    </w:p>
    <w:p w14:paraId="38B7938A" w14:textId="77777777" w:rsidR="00E85AE0" w:rsidRDefault="00E85AE0" w:rsidP="00E85AE0">
      <w:pPr>
        <w:pStyle w:val="Textebrut"/>
      </w:pPr>
      <w:r>
        <w:t xml:space="preserve">Les TAAN ne sont pas recommandées en ambulatoire pour la pneumonie aiguë communautaire. Elles sont toutefois indiquées à l’hôpital dans des contextes spécifiques telles que les périodes épidémiques, l’immunodépression ou les pneumonies graves. Pour la bronchite aiguë, leur utilisation n’est pas recommandée. </w:t>
      </w:r>
      <w:r>
        <w:lastRenderedPageBreak/>
        <w:t>Pour les exacerbations aiguës de BPCO, ces techniques sont réservées aux soins critiques. Enfin, pour la bronchiolite aiguë du nourrisson, les TAAN ne sont pas recommandées en routine</w:t>
      </w:r>
    </w:p>
    <w:p w14:paraId="1CA13965" w14:textId="2431DE6F" w:rsidR="00957B08" w:rsidRDefault="00BB0F1B" w:rsidP="00E85AE0">
      <w:pPr>
        <w:pStyle w:val="Textebrut"/>
      </w:pPr>
      <w:hyperlink r:id="rId153" w:history="1">
        <w:r w:rsidR="00E85AE0" w:rsidRPr="005E258C">
          <w:rPr>
            <w:rStyle w:val="Lienhypertexte"/>
          </w:rPr>
          <w:t>https://www.has-sante.fr/jcms/p_3573729/fr/interet-des-techniques-d-amplification-des-acides-nucleiques-taan-multiplex-dans-la-prise-en-charge-medicale-des-infections-respiratoires-basses</w:t>
        </w:r>
      </w:hyperlink>
    </w:p>
    <w:p w14:paraId="60307576" w14:textId="77777777" w:rsidR="00E85AE0" w:rsidRDefault="00E85AE0" w:rsidP="00E85AE0">
      <w:pPr>
        <w:pStyle w:val="Textebrut"/>
      </w:pPr>
    </w:p>
    <w:p w14:paraId="4EBB2DB2" w14:textId="77777777" w:rsidR="004904D5" w:rsidRDefault="004904D5" w:rsidP="004904D5">
      <w:pPr>
        <w:pStyle w:val="Textebrut"/>
      </w:pPr>
      <w:r>
        <w:t>Gastro-entérites aiguës. Bulletin du 26 décembre 2024 (</w:t>
      </w:r>
      <w:proofErr w:type="spellStart"/>
      <w:r>
        <w:t>SpF</w:t>
      </w:r>
      <w:proofErr w:type="spellEnd"/>
      <w:r>
        <w:t>, 26/12/2024)</w:t>
      </w:r>
    </w:p>
    <w:p w14:paraId="30DFF238" w14:textId="42C8B1ED" w:rsidR="00E85AE0" w:rsidRDefault="00BB0F1B" w:rsidP="004904D5">
      <w:pPr>
        <w:pStyle w:val="Textebrut"/>
      </w:pPr>
      <w:hyperlink r:id="rId154" w:history="1">
        <w:r w:rsidR="004904D5" w:rsidRPr="00391D0D">
          <w:rPr>
            <w:rStyle w:val="Lienhypertexte"/>
          </w:rPr>
          <w:t>https://www.santepubliquefrance.fr/maladies-et-traumatismes/maladies-infectieuses-d-origine-alimentaire/gastro-enterites-aigues/documents/bulletin-national/gastro-enterites-aigues.-bulletin-du-26-decembre-2024</w:t>
        </w:r>
      </w:hyperlink>
    </w:p>
    <w:p w14:paraId="342FFDF3" w14:textId="77777777" w:rsidR="004904D5" w:rsidRDefault="004904D5" w:rsidP="004904D5">
      <w:pPr>
        <w:pStyle w:val="Textebrut"/>
      </w:pPr>
    </w:p>
    <w:p w14:paraId="52B4A808" w14:textId="77777777" w:rsidR="00572A83" w:rsidRDefault="00572A83" w:rsidP="00572A83">
      <w:pPr>
        <w:pStyle w:val="Textebrut"/>
      </w:pPr>
      <w:r>
        <w:t>Création d’un comité scientifique temporaire pour définir les conditions de la substitution des médicaments biosimilaires (ANSM, actualisation du 26/12/2024).</w:t>
      </w:r>
    </w:p>
    <w:p w14:paraId="779F2993" w14:textId="77777777" w:rsidR="00572A83" w:rsidRDefault="00572A83" w:rsidP="00572A83">
      <w:pPr>
        <w:pStyle w:val="Textebrut"/>
      </w:pPr>
      <w:r>
        <w:t>Suite aux travaux du CST, l'ANSM a rendu des avis sur les médicaments composés d'</w:t>
      </w:r>
      <w:proofErr w:type="spellStart"/>
      <w:r>
        <w:t>enoxaparine</w:t>
      </w:r>
      <w:proofErr w:type="spellEnd"/>
      <w:r>
        <w:t>, d'</w:t>
      </w:r>
      <w:proofErr w:type="spellStart"/>
      <w:r>
        <w:t>epoiétine</w:t>
      </w:r>
      <w:proofErr w:type="spellEnd"/>
      <w:r>
        <w:t xml:space="preserve">, de </w:t>
      </w:r>
      <w:proofErr w:type="spellStart"/>
      <w:r>
        <w:t>follitropine</w:t>
      </w:r>
      <w:proofErr w:type="spellEnd"/>
      <w:r>
        <w:t xml:space="preserve"> et d'insuline.</w:t>
      </w:r>
    </w:p>
    <w:p w14:paraId="300AD11B" w14:textId="77777777" w:rsidR="00572A83" w:rsidRDefault="00572A83" w:rsidP="00572A83">
      <w:pPr>
        <w:pStyle w:val="Textebrut"/>
      </w:pPr>
      <w:r>
        <w:t>Si le ministère souhaite mettre en place la substitution pour les médicaments composés d'</w:t>
      </w:r>
      <w:proofErr w:type="spellStart"/>
      <w:r>
        <w:t>enoxaparine</w:t>
      </w:r>
      <w:proofErr w:type="spellEnd"/>
      <w:r>
        <w:t>, d'</w:t>
      </w:r>
      <w:proofErr w:type="spellStart"/>
      <w:r>
        <w:t>epoiétine</w:t>
      </w:r>
      <w:proofErr w:type="spellEnd"/>
      <w:r>
        <w:t xml:space="preserve"> ou de </w:t>
      </w:r>
      <w:proofErr w:type="spellStart"/>
      <w:r>
        <w:t>follitropine</w:t>
      </w:r>
      <w:proofErr w:type="spellEnd"/>
      <w:r>
        <w:t xml:space="preserve">, elle deviendra possible uniquement après publication d'un arrêté du ministre chargé de la santé. S'agissant des groupes biologiques similaires insuline </w:t>
      </w:r>
      <w:proofErr w:type="spellStart"/>
      <w:r>
        <w:t>asparte</w:t>
      </w:r>
      <w:proofErr w:type="spellEnd"/>
      <w:r>
        <w:t xml:space="preserve">, insuline </w:t>
      </w:r>
      <w:proofErr w:type="spellStart"/>
      <w:r>
        <w:t>glargine</w:t>
      </w:r>
      <w:proofErr w:type="spellEnd"/>
      <w:r>
        <w:t xml:space="preserve"> et insuline </w:t>
      </w:r>
      <w:proofErr w:type="spellStart"/>
      <w:r>
        <w:t>lispro</w:t>
      </w:r>
      <w:proofErr w:type="spellEnd"/>
      <w:r>
        <w:t>, l'ANSM exclut la substitution au sein de ces groupes</w:t>
      </w:r>
    </w:p>
    <w:p w14:paraId="553D6EED" w14:textId="02C78574" w:rsidR="004904D5" w:rsidRDefault="00BB0F1B" w:rsidP="00572A83">
      <w:pPr>
        <w:pStyle w:val="Textebrut"/>
      </w:pPr>
      <w:hyperlink r:id="rId155" w:history="1">
        <w:r w:rsidR="00572A83" w:rsidRPr="003A6E19">
          <w:rPr>
            <w:rStyle w:val="Lienhypertexte"/>
          </w:rPr>
          <w:t>https://ansm.sante.fr/actualites/creation-dun-comite-scientifique-temporaire-pour-definir-les-conditions-de-la-substitution-des-medicaments-biosimilaires</w:t>
        </w:r>
      </w:hyperlink>
    </w:p>
    <w:p w14:paraId="5C96F836" w14:textId="77777777" w:rsidR="00572A83" w:rsidRDefault="00572A83" w:rsidP="00572A83">
      <w:pPr>
        <w:pStyle w:val="Textebrut"/>
      </w:pPr>
    </w:p>
    <w:p w14:paraId="24787C85" w14:textId="3C65EC83" w:rsidR="00572A83" w:rsidRDefault="008E2D16" w:rsidP="00572A83">
      <w:pPr>
        <w:pStyle w:val="Textebrut"/>
      </w:pPr>
      <w:r w:rsidRPr="008E2D16">
        <w:t>Message du CORRUSS du 26/12/2024 concernant la diffusion du message ANSM-Urgent n°2024-03 du 26/12/2024</w:t>
      </w:r>
    </w:p>
    <w:p w14:paraId="73CFF9BD" w14:textId="5D65F76B" w:rsidR="008E2D16" w:rsidRDefault="00BB0F1B" w:rsidP="00572A83">
      <w:pPr>
        <w:pStyle w:val="Textebrut"/>
      </w:pPr>
      <w:hyperlink r:id="rId156" w:history="1">
        <w:r w:rsidR="008E2D16" w:rsidRPr="003A6E19">
          <w:rPr>
            <w:rStyle w:val="Lienhypertexte"/>
          </w:rPr>
          <w:t>https://peps.sante.gouv.fr/actu/2024/24_corruss_message-ansm-urgent-coloplast_26122024.pdf</w:t>
        </w:r>
      </w:hyperlink>
    </w:p>
    <w:p w14:paraId="073D6AD6" w14:textId="6335A4EB" w:rsidR="008E2D16" w:rsidRDefault="008E2D16" w:rsidP="00572A83">
      <w:pPr>
        <w:pStyle w:val="Textebrut"/>
      </w:pPr>
      <w:r>
        <w:t xml:space="preserve">et sa pièce jointe : </w:t>
      </w:r>
      <w:r w:rsidRPr="008E2D16">
        <w:t xml:space="preserve">Message ANSM-Urgent n°2024-03 du 26/12/2024 : Rupture dans la disponibilité de dispositifs médicaux de la gamme d’urologie de la société </w:t>
      </w:r>
      <w:proofErr w:type="spellStart"/>
      <w:r w:rsidRPr="008E2D16">
        <w:t>Coloplast</w:t>
      </w:r>
      <w:proofErr w:type="spellEnd"/>
      <w:r w:rsidRPr="008E2D16">
        <w:t xml:space="preserve"> et conduite à tenir</w:t>
      </w:r>
    </w:p>
    <w:p w14:paraId="04583E28" w14:textId="5CD8FA79" w:rsidR="00E152D3" w:rsidRDefault="00BB0F1B" w:rsidP="00324CAE">
      <w:pPr>
        <w:pStyle w:val="Textebrut"/>
      </w:pPr>
      <w:hyperlink r:id="rId157" w:history="1">
        <w:r w:rsidR="008E2D16" w:rsidRPr="003A6E19">
          <w:rPr>
            <w:rStyle w:val="Lienhypertexte"/>
          </w:rPr>
          <w:t>https://peps.sante.gouv.fr/actu/2024/24_ansm-urgent-2024-03_coloplast.pdf</w:t>
        </w:r>
      </w:hyperlink>
    </w:p>
    <w:p w14:paraId="06997B4E" w14:textId="7E3CDB2D" w:rsidR="008E2D16" w:rsidRDefault="008E2D16" w:rsidP="00324CAE">
      <w:pPr>
        <w:pStyle w:val="Textebrut"/>
      </w:pPr>
      <w:r w:rsidRPr="008E2D16">
        <w:t xml:space="preserve">MARS-ANSM du 26/12/2024 : Rupture dans la disponibilité de dispositifs médicaux de la gamme d’urologie de la société </w:t>
      </w:r>
      <w:proofErr w:type="spellStart"/>
      <w:r w:rsidRPr="008E2D16">
        <w:t>Coloplast</w:t>
      </w:r>
      <w:proofErr w:type="spellEnd"/>
      <w:r w:rsidRPr="008E2D16">
        <w:t xml:space="preserve"> et conduite à tenir</w:t>
      </w:r>
    </w:p>
    <w:p w14:paraId="50776647" w14:textId="74F577B0" w:rsidR="008E2D16" w:rsidRDefault="00BB0F1B" w:rsidP="00324CAE">
      <w:pPr>
        <w:pStyle w:val="Textebrut"/>
      </w:pPr>
      <w:hyperlink r:id="rId158" w:history="1">
        <w:r w:rsidR="008E2D16" w:rsidRPr="003A6E19">
          <w:rPr>
            <w:rStyle w:val="Lienhypertexte"/>
          </w:rPr>
          <w:t>https://peps.sante.gouv.fr/actu/2024/24_mars-ansm_coloplast_26122024.pdf</w:t>
        </w:r>
      </w:hyperlink>
    </w:p>
    <w:p w14:paraId="2389F8E3" w14:textId="77777777" w:rsidR="008E2D16" w:rsidRDefault="008E2D16" w:rsidP="00324CAE">
      <w:pPr>
        <w:pStyle w:val="Textebrut"/>
      </w:pPr>
    </w:p>
    <w:p w14:paraId="5300226D" w14:textId="77777777" w:rsidR="004C47BE" w:rsidRDefault="004C47BE" w:rsidP="004C47BE">
      <w:pPr>
        <w:pStyle w:val="Textebrut"/>
      </w:pPr>
      <w:r>
        <w:t>Newsletter BUA (Bon Usage des Anti(infectieux) n° 1 (SPILF, décembre 2024)</w:t>
      </w:r>
    </w:p>
    <w:p w14:paraId="473595A6" w14:textId="77777777" w:rsidR="004C47BE" w:rsidRDefault="004C47BE" w:rsidP="004C47BE">
      <w:pPr>
        <w:pStyle w:val="Textebrut"/>
      </w:pPr>
      <w:hyperlink r:id="rId159" w:history="1">
        <w:r w:rsidRPr="004E0D85">
          <w:rPr>
            <w:rStyle w:val="Lienhypertexte"/>
          </w:rPr>
          <w:t>https://www.infectiologie.com/UserFiles/File/groupe-atb/nl-bua-decembre-2024.pdf</w:t>
        </w:r>
      </w:hyperlink>
    </w:p>
    <w:p w14:paraId="22EE572D" w14:textId="77777777" w:rsidR="008E2D16" w:rsidRDefault="008E2D16" w:rsidP="00324CAE">
      <w:pPr>
        <w:pStyle w:val="Textebrut"/>
      </w:pPr>
    </w:p>
    <w:p w14:paraId="75AC06F4" w14:textId="77777777" w:rsidR="008E2D16" w:rsidRDefault="008E2D16" w:rsidP="00324CAE">
      <w:pPr>
        <w:pStyle w:val="Textebrut"/>
      </w:pPr>
    </w:p>
    <w:p w14:paraId="34C5A099" w14:textId="77777777" w:rsidR="004931CC" w:rsidRDefault="004931CC" w:rsidP="004931CC">
      <w:pPr>
        <w:pStyle w:val="Textebrut"/>
      </w:pPr>
    </w:p>
    <w:p w14:paraId="371A01A7" w14:textId="77777777" w:rsidR="00C73E01" w:rsidRDefault="00C73E01" w:rsidP="00361AD6">
      <w:pPr>
        <w:pStyle w:val="Textebrut"/>
      </w:pPr>
    </w:p>
    <w:p w14:paraId="7BBE41ED" w14:textId="77777777" w:rsidR="00C73E01" w:rsidRDefault="00C73E01" w:rsidP="00361AD6">
      <w:pPr>
        <w:pStyle w:val="Textebrut"/>
      </w:pPr>
    </w:p>
    <w:p w14:paraId="4CF40E45" w14:textId="77777777" w:rsidR="00C73E01" w:rsidRDefault="00C73E01" w:rsidP="00C73E01">
      <w:pPr>
        <w:pStyle w:val="PEPS"/>
      </w:pPr>
      <w:r>
        <w:t>Rubrique ruptures :</w:t>
      </w:r>
    </w:p>
    <w:p w14:paraId="49D43991"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6DB15AF8" w14:textId="77777777" w:rsidR="005C757B" w:rsidRDefault="005C757B" w:rsidP="00361AD6">
      <w:pPr>
        <w:pStyle w:val="Textebrut"/>
      </w:pPr>
      <w:r>
        <w:t>L’information complète et actualisée de la situation de toutes les spécialités est disponible sur le site de l’ANSM :</w:t>
      </w:r>
    </w:p>
    <w:p w14:paraId="47FBE07E" w14:textId="77777777" w:rsidR="00C73E01" w:rsidRDefault="00BB0F1B" w:rsidP="00361AD6">
      <w:pPr>
        <w:pStyle w:val="Textebrut"/>
      </w:pPr>
      <w:hyperlink r:id="rId160" w:history="1">
        <w:r w:rsidR="005C757B" w:rsidRPr="003C18E1">
          <w:rPr>
            <w:rStyle w:val="Lienhypertexte"/>
          </w:rPr>
          <w:t>https://ansm.sante.fr/disponibilites-des-produits-de-sante/medicaments</w:t>
        </w:r>
      </w:hyperlink>
    </w:p>
    <w:p w14:paraId="24E01A1E" w14:textId="77777777" w:rsidR="005C757B" w:rsidRDefault="005C757B" w:rsidP="00361AD6">
      <w:pPr>
        <w:pStyle w:val="Textebrut"/>
      </w:pPr>
    </w:p>
    <w:p w14:paraId="45294FFB" w14:textId="77777777" w:rsidR="00572A83" w:rsidRDefault="00572A83" w:rsidP="00572A83">
      <w:pPr>
        <w:pStyle w:val="Textebrut"/>
      </w:pPr>
      <w:r>
        <w:t>Plan hivernal : point de situation sur l’approvisionnement de certains médicaments majeurs de l’hiver (ANSM, 26/12/2024).</w:t>
      </w:r>
    </w:p>
    <w:p w14:paraId="5CEE1A23" w14:textId="77777777" w:rsidR="00572A83" w:rsidRDefault="00572A83" w:rsidP="00572A83">
      <w:pPr>
        <w:pStyle w:val="Textebrut"/>
      </w:pPr>
      <w:r>
        <w:t xml:space="preserve">Dans le cadre du suivi du plan hivernal 2024-25, nous avons réuni le 19 décembre 2024 les représentants des associations de patients, des professionnels de santé de ville et hospitaliers ainsi que les acteurs de la chaîne du médicament pour leur partager un point de situation sur l’approvisionnement des médicaments surveillés, et échanger sur les actions menées. Pour mémoire, ce plan est déployé pour la deuxième année consécutive. Il </w:t>
      </w:r>
      <w:r>
        <w:lastRenderedPageBreak/>
        <w:t>s’inscrit notamment dans le respect des principes de la charte signée le 22 novembre 2023 par les acteurs de la chaîne du médicament</w:t>
      </w:r>
    </w:p>
    <w:p w14:paraId="0008A5E5" w14:textId="08BE9BF1" w:rsidR="00572A83" w:rsidRDefault="00BB0F1B" w:rsidP="00572A83">
      <w:pPr>
        <w:pStyle w:val="Textebrut"/>
      </w:pPr>
      <w:hyperlink r:id="rId161" w:history="1">
        <w:r w:rsidR="00572A83" w:rsidRPr="003A6E19">
          <w:rPr>
            <w:rStyle w:val="Lienhypertexte"/>
          </w:rPr>
          <w:t>https://ansm.sante.fr/actualites/plan-hivernal-point-de-situation-sur-lapprovisionnement-de-certains-medicaments-majeurs-de-lhiver-1</w:t>
        </w:r>
      </w:hyperlink>
    </w:p>
    <w:p w14:paraId="676852BB" w14:textId="77777777" w:rsidR="00572A83" w:rsidRDefault="00572A83" w:rsidP="00572A83">
      <w:pPr>
        <w:pStyle w:val="Textebrut"/>
      </w:pPr>
    </w:p>
    <w:p w14:paraId="665C6354" w14:textId="77777777" w:rsidR="006F60DF" w:rsidRDefault="006F60DF" w:rsidP="006F60DF">
      <w:pPr>
        <w:pStyle w:val="Textebrut"/>
      </w:pPr>
      <w:r>
        <w:t xml:space="preserve">Arrêt de commercialisation de l’antirétroviral </w:t>
      </w:r>
      <w:proofErr w:type="spellStart"/>
      <w:r>
        <w:t>Fuzeon</w:t>
      </w:r>
      <w:proofErr w:type="spellEnd"/>
      <w:r>
        <w:t xml:space="preserve"> (</w:t>
      </w:r>
      <w:proofErr w:type="spellStart"/>
      <w:r>
        <w:t>enfuvirtide</w:t>
      </w:r>
      <w:proofErr w:type="spellEnd"/>
      <w:r>
        <w:t>) (ANSM, 02/12/2024).</w:t>
      </w:r>
    </w:p>
    <w:p w14:paraId="015B8ACD" w14:textId="77777777" w:rsidR="006F60DF" w:rsidRDefault="006F60DF" w:rsidP="006F60DF">
      <w:pPr>
        <w:pStyle w:val="Textebrut"/>
      </w:pPr>
      <w:r>
        <w:t>Nous avons été informés par le laboratoire Roche de l’arrêt de commercialisation du médicament à base d’</w:t>
      </w:r>
      <w:proofErr w:type="spellStart"/>
      <w:r>
        <w:t>enfuvirtide</w:t>
      </w:r>
      <w:proofErr w:type="spellEnd"/>
      <w:r>
        <w:t xml:space="preserve"> </w:t>
      </w:r>
      <w:proofErr w:type="spellStart"/>
      <w:r>
        <w:t>Fuzeon</w:t>
      </w:r>
      <w:proofErr w:type="spellEnd"/>
      <w:r>
        <w:t xml:space="preserve"> 90 mg/ml (poudre et solvant pour solution injectable). En France, moins de dix patients sont actuellement traités par </w:t>
      </w:r>
      <w:proofErr w:type="spellStart"/>
      <w:r>
        <w:t>Fuzeon</w:t>
      </w:r>
      <w:proofErr w:type="spellEnd"/>
      <w:r>
        <w:t>.</w:t>
      </w:r>
    </w:p>
    <w:p w14:paraId="2FE88290" w14:textId="77777777" w:rsidR="006F60DF" w:rsidRDefault="006F60DF" w:rsidP="006F60DF">
      <w:pPr>
        <w:pStyle w:val="Textebrut"/>
      </w:pPr>
      <w:r>
        <w:t xml:space="preserve">Afin de laisser le temps aux patients de consulter leur médecin et d’échanger avec lui sur les alternatives adaptées à leur situation, cet arrêt de commercialisation prendra effet le 30 septembre 2025. Désormais, </w:t>
      </w:r>
      <w:proofErr w:type="spellStart"/>
      <w:r>
        <w:t>Fuzeon</w:t>
      </w:r>
      <w:proofErr w:type="spellEnd"/>
      <w:r>
        <w:t xml:space="preserve"> ne doit plus être prescrit en initiation de traitement</w:t>
      </w:r>
    </w:p>
    <w:p w14:paraId="4456AA4B" w14:textId="10025549" w:rsidR="005C757B" w:rsidRDefault="00BB0F1B" w:rsidP="006F60DF">
      <w:pPr>
        <w:pStyle w:val="Textebrut"/>
      </w:pPr>
      <w:hyperlink r:id="rId162" w:history="1">
        <w:r w:rsidR="006F60DF" w:rsidRPr="00265341">
          <w:rPr>
            <w:rStyle w:val="Lienhypertexte"/>
          </w:rPr>
          <w:t>https://ansm.sante.fr/actualites/arret-de-commercialisation-de-lantiretroviral-fuzeon-enfuvirtide</w:t>
        </w:r>
      </w:hyperlink>
    </w:p>
    <w:p w14:paraId="15A54692" w14:textId="77777777" w:rsidR="006F60DF" w:rsidRDefault="006F60DF" w:rsidP="006F60DF">
      <w:pPr>
        <w:pStyle w:val="Textebrut"/>
      </w:pPr>
    </w:p>
    <w:p w14:paraId="22E09C79" w14:textId="3653E974" w:rsidR="009C7329" w:rsidRDefault="009C7329" w:rsidP="006F60DF">
      <w:pPr>
        <w:pStyle w:val="Textebrut"/>
      </w:pPr>
      <w:r w:rsidRPr="009C7329">
        <w:t xml:space="preserve">Divers dispositifs d'urologie dont sondes de Foley, sondes prostatiques, bougies urétrales* - Laboratoires </w:t>
      </w:r>
      <w:proofErr w:type="spellStart"/>
      <w:r w:rsidRPr="009C7329">
        <w:t>Coloplast</w:t>
      </w:r>
      <w:proofErr w:type="spellEnd"/>
      <w:r>
        <w:t xml:space="preserve"> (ANSM, actualisation du 31/12/2024).</w:t>
      </w:r>
    </w:p>
    <w:p w14:paraId="614D378C" w14:textId="0EA8D158" w:rsidR="009C7329" w:rsidRDefault="009C7329" w:rsidP="009C7329">
      <w:pPr>
        <w:pStyle w:val="Textebrut"/>
      </w:pPr>
      <w:r>
        <w:t>*Produits concernés</w:t>
      </w:r>
      <w:r>
        <w:t xml:space="preserve"> : </w:t>
      </w:r>
      <w:r>
        <w:t xml:space="preserve">Sondes de Foley - Sondes prostatiques - Dispositifs de dérivation urinaire - Sondes urétrales </w:t>
      </w:r>
      <w:proofErr w:type="spellStart"/>
      <w:r>
        <w:t>Neoplex</w:t>
      </w:r>
      <w:proofErr w:type="spellEnd"/>
      <w:r>
        <w:t xml:space="preserve"> sans ballonnet - Bougies urétrales - Sondes urodynamiques - Sondes pour néphrostomie percutanée - Set de drainage sus-pubien - Dispositifs de drainage chirurgical</w:t>
      </w:r>
    </w:p>
    <w:p w14:paraId="38DB1DB7" w14:textId="18B4AB48" w:rsidR="009C7329" w:rsidRDefault="009C7329" w:rsidP="006F60DF">
      <w:pPr>
        <w:pStyle w:val="Textebrut"/>
      </w:pPr>
      <w:hyperlink r:id="rId163" w:history="1">
        <w:r w:rsidRPr="004E0D85">
          <w:rPr>
            <w:rStyle w:val="Lienhypertexte"/>
          </w:rPr>
          <w:t>https://ansm.sante.fr/disponibilites-des-produits-de-sante/dispositifs-medicaux/divers-dispositifs-durologie-dont-sondes-de-foley-sondes-prostatiques-bougies-uretrales-laboratoires-coloplast</w:t>
        </w:r>
      </w:hyperlink>
    </w:p>
    <w:p w14:paraId="04BFD3D7" w14:textId="1AD9CE45" w:rsidR="009C7329" w:rsidRDefault="009C7329" w:rsidP="006F60DF">
      <w:pPr>
        <w:pStyle w:val="Textebrut"/>
      </w:pPr>
      <w:r w:rsidRPr="009C7329">
        <w:t xml:space="preserve">Sondes d'urologie – Diverses références* – Laboratoires </w:t>
      </w:r>
      <w:proofErr w:type="spellStart"/>
      <w:r w:rsidRPr="009C7329">
        <w:t>Coloplast</w:t>
      </w:r>
      <w:proofErr w:type="spellEnd"/>
      <w:r>
        <w:t xml:space="preserve"> (ANSM, 13/12/2024).</w:t>
      </w:r>
    </w:p>
    <w:p w14:paraId="0A7A06C8" w14:textId="77777777" w:rsidR="009C7329" w:rsidRDefault="009C7329" w:rsidP="009C7329">
      <w:pPr>
        <w:pStyle w:val="Textebrut"/>
      </w:pPr>
      <w:r>
        <w:t xml:space="preserve">L'ANSM a été informée de la mise en œuvre d’une action de rappel de produits effectuée par la société </w:t>
      </w:r>
      <w:proofErr w:type="spellStart"/>
      <w:r>
        <w:t>Coloplast</w:t>
      </w:r>
      <w:proofErr w:type="spellEnd"/>
      <w:r>
        <w:t>.</w:t>
      </w:r>
    </w:p>
    <w:p w14:paraId="73EC70F5" w14:textId="0662E66D" w:rsidR="009C7329" w:rsidRDefault="009C7329" w:rsidP="009C7329">
      <w:pPr>
        <w:pStyle w:val="Textebrut"/>
      </w:pPr>
      <w:r>
        <w:t>Les utilisateurs concernés ont reçu le courrier ci-joint</w:t>
      </w:r>
    </w:p>
    <w:p w14:paraId="62F6C1A3" w14:textId="12209EF3" w:rsidR="009C7329" w:rsidRDefault="009C7329" w:rsidP="009C7329">
      <w:pPr>
        <w:pStyle w:val="Textebrut"/>
      </w:pPr>
      <w:hyperlink r:id="rId164" w:history="1">
        <w:r w:rsidRPr="004E0D85">
          <w:rPr>
            <w:rStyle w:val="Lienhypertexte"/>
          </w:rPr>
          <w:t>https://ansm.sante.fr/informations-de-securite/sondes-durologie-diverses-references-laboratoires-coloplast</w:t>
        </w:r>
      </w:hyperlink>
    </w:p>
    <w:p w14:paraId="61AE1B74" w14:textId="77777777" w:rsidR="009C7329" w:rsidRDefault="009C7329" w:rsidP="009C7329">
      <w:pPr>
        <w:pStyle w:val="Textebrut"/>
      </w:pPr>
    </w:p>
    <w:p w14:paraId="78C04B9B" w14:textId="77777777" w:rsidR="00694ADC" w:rsidRDefault="00694ADC" w:rsidP="00694ADC">
      <w:pPr>
        <w:pStyle w:val="Textebrut"/>
      </w:pPr>
      <w:r>
        <w:t>Fibrinogène humain : l’ANSM a élaboré un guide pratique pour favoriser le bon usage des produits disponibles (ANSM, actualisation du 04/12/2024).</w:t>
      </w:r>
    </w:p>
    <w:p w14:paraId="04216715" w14:textId="77777777" w:rsidR="00694ADC" w:rsidRDefault="00694ADC" w:rsidP="00694ADC">
      <w:pPr>
        <w:pStyle w:val="Textebrut"/>
      </w:pPr>
      <w:r>
        <w:t>Mise à jour du guide de bon usage</w:t>
      </w:r>
    </w:p>
    <w:p w14:paraId="09D31266" w14:textId="71AF7FE3" w:rsidR="00694ADC" w:rsidRDefault="00BB0F1B" w:rsidP="00694ADC">
      <w:pPr>
        <w:pStyle w:val="Textebrut"/>
      </w:pPr>
      <w:hyperlink r:id="rId165" w:history="1">
        <w:r w:rsidR="00694ADC" w:rsidRPr="002813FC">
          <w:rPr>
            <w:rStyle w:val="Lienhypertexte"/>
          </w:rPr>
          <w:t>https://ansm.sante.fr/actualites/fibrinogene-humain-lansm-a-elabore-un-guide-pratique-pour-favoriser-le-bon-usage-des-produits-disponibles</w:t>
        </w:r>
      </w:hyperlink>
    </w:p>
    <w:p w14:paraId="1FAD4B2C" w14:textId="77777777" w:rsidR="00694ADC" w:rsidRDefault="00694ADC" w:rsidP="00694ADC">
      <w:pPr>
        <w:pStyle w:val="Textebrut"/>
      </w:pPr>
    </w:p>
    <w:p w14:paraId="5394E80C" w14:textId="77777777" w:rsidR="005E1103" w:rsidRDefault="005E1103" w:rsidP="005E1103">
      <w:pPr>
        <w:pStyle w:val="Textebrut"/>
      </w:pPr>
      <w:proofErr w:type="spellStart"/>
      <w:r>
        <w:t>Tcaps</w:t>
      </w:r>
      <w:proofErr w:type="spellEnd"/>
      <w:r>
        <w:t xml:space="preserve"> 62,5 microgrammes, capsule molle – [lévothyroxine] – Remise à disposition à partir du 03/12/2024 (ANSM, 03/12/2024)</w:t>
      </w:r>
    </w:p>
    <w:p w14:paraId="6C1BE319" w14:textId="50F2953D" w:rsidR="005E1103" w:rsidRDefault="00BB0F1B" w:rsidP="005E1103">
      <w:pPr>
        <w:pStyle w:val="Textebrut"/>
      </w:pPr>
      <w:hyperlink r:id="rId166" w:history="1">
        <w:r w:rsidR="005E1103" w:rsidRPr="00880C32">
          <w:rPr>
            <w:rStyle w:val="Lienhypertexte"/>
          </w:rPr>
          <w:t>https://ansm.sante.fr/disponibilites-des-produits-de-sante/medicaments/tcaps-62-5-microgrammes-capsule-molle-levothyroxine</w:t>
        </w:r>
      </w:hyperlink>
    </w:p>
    <w:p w14:paraId="09977942" w14:textId="77777777" w:rsidR="005E1103" w:rsidRDefault="005E1103" w:rsidP="005E1103">
      <w:pPr>
        <w:pStyle w:val="Textebrut"/>
      </w:pPr>
    </w:p>
    <w:p w14:paraId="1A26A854" w14:textId="77777777" w:rsidR="00B904B9" w:rsidRDefault="00B904B9" w:rsidP="00B904B9">
      <w:pPr>
        <w:pStyle w:val="Textebrut"/>
      </w:pPr>
      <w:r>
        <w:t>Clarithromycine 50 mg/ml, granulés pour suspension buvable – [clarithromycine] – Tension d’approvisionnement depuis le 12/08/2022 (ANSM, actualisation du 05/12/2024).</w:t>
      </w:r>
    </w:p>
    <w:p w14:paraId="58146D44" w14:textId="77777777" w:rsidR="00B904B9" w:rsidRDefault="00B904B9" w:rsidP="00B904B9">
      <w:pPr>
        <w:pStyle w:val="Textebrut"/>
      </w:pPr>
      <w:r>
        <w:t>Distribution contingentée. Recommandations de bon usage pour contribuer à garantir la couverture des besoins des patients. Date de remise à disposition prévue : indéterminée</w:t>
      </w:r>
    </w:p>
    <w:p w14:paraId="247A57BE" w14:textId="5703579C" w:rsidR="00B904B9" w:rsidRDefault="00BB0F1B" w:rsidP="00B904B9">
      <w:pPr>
        <w:pStyle w:val="Textebrut"/>
      </w:pPr>
      <w:hyperlink r:id="rId167" w:history="1">
        <w:r w:rsidR="00B904B9" w:rsidRPr="00F96FBA">
          <w:rPr>
            <w:rStyle w:val="Lienhypertexte"/>
          </w:rPr>
          <w:t>https://ansm.sante.fr/disponibilites-des-produits-de-sante/medicaments/clarithromycine-50-mg-ml-granules-pour-suspension-buvable-clarithromycine</w:t>
        </w:r>
      </w:hyperlink>
    </w:p>
    <w:p w14:paraId="1B7D4F5F" w14:textId="77777777" w:rsidR="00B904B9" w:rsidRDefault="00B904B9" w:rsidP="00B904B9">
      <w:pPr>
        <w:pStyle w:val="Textebrut"/>
      </w:pPr>
    </w:p>
    <w:p w14:paraId="288504F5" w14:textId="77777777" w:rsidR="00BD6C11" w:rsidRDefault="00BD6C11" w:rsidP="00BD6C11">
      <w:pPr>
        <w:pStyle w:val="Textebrut"/>
      </w:pPr>
      <w:r>
        <w:t>Clarithromycine Arrow 25 mg/ml, granulés pour suspension buvable – [clarithromycine] – Rupture de stock depuis le 25/04/2024 (ANSM, 05/12/2024).</w:t>
      </w:r>
    </w:p>
    <w:p w14:paraId="121C060B" w14:textId="77777777" w:rsidR="00BD6C11" w:rsidRDefault="00BD6C11" w:rsidP="00BD6C11">
      <w:pPr>
        <w:pStyle w:val="Textebrut"/>
      </w:pPr>
      <w:r>
        <w:t>Situation en ville : rupture. Situation à l'hôpital : rupture. Recommandations de bon usage pour contribuer à garantir la couverture des besoins des patients. Date de remise à disposition prévue : début février 2025</w:t>
      </w:r>
    </w:p>
    <w:p w14:paraId="0CB3D241" w14:textId="792D1826" w:rsidR="00B904B9" w:rsidRDefault="00BB0F1B" w:rsidP="00BD6C11">
      <w:pPr>
        <w:pStyle w:val="Textebrut"/>
      </w:pPr>
      <w:hyperlink r:id="rId168" w:history="1">
        <w:r w:rsidR="00BD6C11" w:rsidRPr="00F96FBA">
          <w:rPr>
            <w:rStyle w:val="Lienhypertexte"/>
          </w:rPr>
          <w:t>https://ansm.sante.fr/disponibilites-des-produits-de-sante/medicaments/clarithromycine-arrow-25-mg-ml-granules-pour-suspension-buvable-clarithromycine</w:t>
        </w:r>
      </w:hyperlink>
    </w:p>
    <w:p w14:paraId="674F1710" w14:textId="77777777" w:rsidR="00BD6C11" w:rsidRDefault="00BD6C11" w:rsidP="00BD6C11">
      <w:pPr>
        <w:pStyle w:val="Textebrut"/>
      </w:pPr>
    </w:p>
    <w:p w14:paraId="5AC12D02" w14:textId="77777777" w:rsidR="00C31DD4" w:rsidRDefault="00C31DD4" w:rsidP="00C31DD4">
      <w:pPr>
        <w:pStyle w:val="Textebrut"/>
      </w:pPr>
      <w:proofErr w:type="spellStart"/>
      <w:r>
        <w:lastRenderedPageBreak/>
        <w:t>Rythmodan</w:t>
      </w:r>
      <w:proofErr w:type="spellEnd"/>
      <w:r>
        <w:t xml:space="preserve"> 250 mg à libération prolongée, comprimé enrobé – [</w:t>
      </w:r>
      <w:proofErr w:type="spellStart"/>
      <w:r>
        <w:t>disopyramide</w:t>
      </w:r>
      <w:proofErr w:type="spellEnd"/>
      <w:r>
        <w:t xml:space="preserve"> (phosphate de)] – Tension d’approvisionnement depuis le 16/08/2024 (ANSM, actualisation du 09/12/2024).</w:t>
      </w:r>
    </w:p>
    <w:p w14:paraId="3FE879CC" w14:textId="77777777" w:rsidR="00C31DD4" w:rsidRDefault="00C31DD4" w:rsidP="00C31DD4">
      <w:pPr>
        <w:pStyle w:val="Textebrut"/>
      </w:pPr>
      <w:r>
        <w:t xml:space="preserve">Tension d’approvisionnement en ville. Mise à disposition à titre exceptionnel et transitoire de </w:t>
      </w:r>
      <w:proofErr w:type="spellStart"/>
      <w:r>
        <w:t>Ritmodan</w:t>
      </w:r>
      <w:proofErr w:type="spellEnd"/>
      <w:r>
        <w:t xml:space="preserve"> 250MG </w:t>
      </w:r>
      <w:proofErr w:type="spellStart"/>
      <w:r>
        <w:t>Tabco</w:t>
      </w:r>
      <w:proofErr w:type="spellEnd"/>
      <w:r>
        <w:t xml:space="preserve"> BL2X10 initialement destinés à l’Italie. Lettre du laboratoire en date du 11 Octobre 2024 à destination des professionnels de santé. Lettre du laboratoire en date du 11 Octobre 2024 à destination des patients. Remise à disposition normale indéterminée</w:t>
      </w:r>
    </w:p>
    <w:p w14:paraId="3C649ADF" w14:textId="36AD7956" w:rsidR="00C31DD4" w:rsidRDefault="00BB0F1B" w:rsidP="00C31DD4">
      <w:pPr>
        <w:pStyle w:val="Textebrut"/>
      </w:pPr>
      <w:hyperlink r:id="rId169" w:history="1">
        <w:r w:rsidR="00C31DD4" w:rsidRPr="00FF10BB">
          <w:rPr>
            <w:rStyle w:val="Lienhypertexte"/>
          </w:rPr>
          <w:t>https://ansm.sante.fr/disponibilites-des-produits-de-sante/medicaments/rythmodan-250-mg-a-liberation-prolongee-comprime-enrobe-disopyramide-phosphate-de</w:t>
        </w:r>
      </w:hyperlink>
    </w:p>
    <w:p w14:paraId="2BEFE1D2" w14:textId="77777777" w:rsidR="00C31DD4" w:rsidRDefault="00C31DD4" w:rsidP="00C31DD4">
      <w:pPr>
        <w:pStyle w:val="Textebrut"/>
      </w:pPr>
    </w:p>
    <w:p w14:paraId="44E1FBA2" w14:textId="77777777" w:rsidR="001B74D4" w:rsidRDefault="001B74D4" w:rsidP="001B74D4">
      <w:pPr>
        <w:pStyle w:val="Textebrut"/>
      </w:pPr>
      <w:proofErr w:type="spellStart"/>
      <w:r>
        <w:t>Fucithalmic</w:t>
      </w:r>
      <w:proofErr w:type="spellEnd"/>
      <w:r>
        <w:t xml:space="preserve"> 1%, gel ophtalmique – [acide fusidique] – Tension d’approvisionnement depuis le 07/02/2023 (ANSM, actualisation du 10/12/2024).</w:t>
      </w:r>
    </w:p>
    <w:p w14:paraId="2C7F426E" w14:textId="77777777" w:rsidR="001B74D4" w:rsidRDefault="001B74D4" w:rsidP="001B74D4">
      <w:pPr>
        <w:pStyle w:val="Textebrut"/>
      </w:pPr>
      <w:r>
        <w:t xml:space="preserve">Situation en ville : tension ; Situation à l'hôpital : non impactée ; Contingentement quantitatif en ville ; Date de remise à disposition prévue : </w:t>
      </w:r>
      <w:proofErr w:type="spellStart"/>
      <w:r>
        <w:t>deuxieme</w:t>
      </w:r>
      <w:proofErr w:type="spellEnd"/>
      <w:r>
        <w:t xml:space="preserve"> trimestre 2025</w:t>
      </w:r>
    </w:p>
    <w:p w14:paraId="73A771E0" w14:textId="7DD2A177" w:rsidR="001B74D4" w:rsidRDefault="00BB0F1B" w:rsidP="001B74D4">
      <w:pPr>
        <w:pStyle w:val="Textebrut"/>
      </w:pPr>
      <w:hyperlink r:id="rId170" w:history="1">
        <w:r w:rsidR="001B74D4" w:rsidRPr="00BE1A5B">
          <w:rPr>
            <w:rStyle w:val="Lienhypertexte"/>
          </w:rPr>
          <w:t>https://ansm.sante.fr/disponibilites-des-produits-de-sante/medicaments/fucithalmic-1-gel-ophtalmique-acide-fusidique</w:t>
        </w:r>
      </w:hyperlink>
    </w:p>
    <w:p w14:paraId="5E0B9E2A" w14:textId="77777777" w:rsidR="001B74D4" w:rsidRDefault="001B74D4" w:rsidP="001B74D4">
      <w:pPr>
        <w:pStyle w:val="Textebrut"/>
      </w:pPr>
    </w:p>
    <w:p w14:paraId="1922B85A" w14:textId="77777777" w:rsidR="001B74D4" w:rsidRDefault="001B74D4" w:rsidP="001B74D4">
      <w:pPr>
        <w:pStyle w:val="Textebrut"/>
      </w:pPr>
      <w:proofErr w:type="spellStart"/>
      <w:r>
        <w:t>Atracurium</w:t>
      </w:r>
      <w:proofErr w:type="spellEnd"/>
      <w:r>
        <w:t xml:space="preserve"> Pfizer 10 mg/</w:t>
      </w:r>
      <w:proofErr w:type="spellStart"/>
      <w:r>
        <w:t>mL</w:t>
      </w:r>
      <w:proofErr w:type="spellEnd"/>
      <w:r>
        <w:t>, solution injectable/pour perfusion (boîte de 5 ampoules de 50 mg/5 ml) – [</w:t>
      </w:r>
      <w:proofErr w:type="spellStart"/>
      <w:r>
        <w:t>atracurium</w:t>
      </w:r>
      <w:proofErr w:type="spellEnd"/>
      <w:r>
        <w:t>] – Rupture de stock depuis le 18/09/2024 (ANSM, actualisation du 10/12/2024).</w:t>
      </w:r>
    </w:p>
    <w:p w14:paraId="640724B8" w14:textId="77777777" w:rsidR="001B74D4" w:rsidRDefault="001B74D4" w:rsidP="001B74D4">
      <w:pPr>
        <w:pStyle w:val="Textebrut"/>
      </w:pPr>
      <w:r>
        <w:t>Arrêt de commercialisation de la boite de 5 ampoules de 25 mg/2,5 ml. Reprise d’une distribution normale de la boite de 1 flacon de 250 mg/25 ml depuis début décembre 2024. Rupture de stock de la boite de 5 ampoules de 50 mg/5 ml : remise à disposition normale indéterminée</w:t>
      </w:r>
    </w:p>
    <w:p w14:paraId="72E5D146" w14:textId="5F0EFAAB" w:rsidR="001B74D4" w:rsidRDefault="00BB0F1B" w:rsidP="001B74D4">
      <w:pPr>
        <w:pStyle w:val="Textebrut"/>
      </w:pPr>
      <w:hyperlink r:id="rId171" w:history="1">
        <w:r w:rsidR="001B74D4" w:rsidRPr="00BE1A5B">
          <w:rPr>
            <w:rStyle w:val="Lienhypertexte"/>
          </w:rPr>
          <w:t>https://ansm.sante.fr/disponibilites-des-produits-de-sante/medicaments/atracurium-pfizer-10-mg-ml-solution-injectable-pour-perfusion-boite-de-5-ampoules-de-50-mg-5-ml-atracurium</w:t>
        </w:r>
      </w:hyperlink>
    </w:p>
    <w:p w14:paraId="7D8A21B6" w14:textId="77777777" w:rsidR="001B74D4" w:rsidRDefault="001B74D4" w:rsidP="001B74D4">
      <w:pPr>
        <w:pStyle w:val="Textebrut"/>
      </w:pPr>
    </w:p>
    <w:p w14:paraId="5C56298B" w14:textId="77777777" w:rsidR="00B00F2C" w:rsidRDefault="00B00F2C" w:rsidP="00B00F2C">
      <w:pPr>
        <w:pStyle w:val="Textebrut"/>
      </w:pPr>
      <w:r>
        <w:t>Vitamine B12 Gerda 1000 µg/4 ml, solution injectable (IM) et buvable – [cyanocobalamine] – Tension d’approvisionnement depuis le 03/07/2024 (ANSM, actualisation du 12/12/2024).</w:t>
      </w:r>
    </w:p>
    <w:p w14:paraId="70848E3D" w14:textId="77777777" w:rsidR="00B00F2C" w:rsidRDefault="00B00F2C" w:rsidP="00B00F2C">
      <w:pPr>
        <w:pStyle w:val="Textebrut"/>
      </w:pPr>
      <w:r>
        <w:t>Tension d'approvisionnement de la spécialité Vitamine B12 Gerda 1000 µg/4 ml, solution injectable (IM) et buvable. Contingentement qualitatif. La distribution depuis le dépositaire vers les hôpitaux reste assurée à hauteur des besoins. Lettre d'information destinée aux pharmaciens d’officine et Pharmaciens des PUI, médecins généralistes et hématologues en date du 20/11/2024. Remise à disposition normale indéterminée. Vitamine B12 injectable et buvable : préférez les comprimés aux ampoules pour l’usage par voie orale</w:t>
      </w:r>
    </w:p>
    <w:p w14:paraId="3EF3025E" w14:textId="613E5A8B" w:rsidR="00B00F2C" w:rsidRDefault="00BB0F1B" w:rsidP="00B00F2C">
      <w:pPr>
        <w:pStyle w:val="Textebrut"/>
      </w:pPr>
      <w:hyperlink r:id="rId172" w:history="1">
        <w:r w:rsidR="00B00F2C" w:rsidRPr="00995B50">
          <w:rPr>
            <w:rStyle w:val="Lienhypertexte"/>
          </w:rPr>
          <w:t>https://ansm.sante.fr/disponibilites-des-produits-de-sante/medicaments/vitamine-b12-gerda-1000-ug-4-ml-solution-injectable-im-et-buvable-cyanocobalamine</w:t>
        </w:r>
      </w:hyperlink>
    </w:p>
    <w:p w14:paraId="3381BE3C" w14:textId="77777777" w:rsidR="00B00F2C" w:rsidRDefault="00B00F2C" w:rsidP="00B00F2C">
      <w:pPr>
        <w:pStyle w:val="Textebrut"/>
      </w:pPr>
    </w:p>
    <w:p w14:paraId="6A50FF20" w14:textId="77777777" w:rsidR="00B00F2C" w:rsidRDefault="00B00F2C" w:rsidP="00B00F2C">
      <w:pPr>
        <w:pStyle w:val="Textebrut"/>
      </w:pPr>
      <w:r>
        <w:t>Méthylphénidate Arrow LP, gélule à libération prolongée – [méthylphénidate (chlorhydrate de)] – Tension d’approvisionnement depuis le 15/02/2024 (ANSM, actualisation du 12/12/2024).</w:t>
      </w:r>
    </w:p>
    <w:p w14:paraId="40584DA2" w14:textId="77777777" w:rsidR="00B00F2C" w:rsidRDefault="00B00F2C" w:rsidP="00B00F2C">
      <w:pPr>
        <w:pStyle w:val="Textebrut"/>
      </w:pPr>
      <w:r>
        <w:t>Tension d'approvisionnement des spécialités Méthylphénidate Arrow LP 10 mg, LP 20 mg, LP 30 mg et LP 40 mg, gélule à libération prolongée. Distribution contingentée. Consultez les recommandations pour les pharmaciens. Date de remise à disposition indéterminée</w:t>
      </w:r>
    </w:p>
    <w:p w14:paraId="0067FFB5" w14:textId="22B8405F" w:rsidR="00B00F2C" w:rsidRDefault="00BB0F1B" w:rsidP="00B00F2C">
      <w:pPr>
        <w:pStyle w:val="Textebrut"/>
      </w:pPr>
      <w:hyperlink r:id="rId173" w:history="1">
        <w:r w:rsidR="00B00F2C" w:rsidRPr="00995B50">
          <w:rPr>
            <w:rStyle w:val="Lienhypertexte"/>
          </w:rPr>
          <w:t>https://ansm.sante.fr/disponibilites-des-produits-de-sante/medicaments/methylphenidate-arrow-lp-gelule-a-liberation-prolongee-methylphenidate-chlorhydrate-de</w:t>
        </w:r>
      </w:hyperlink>
    </w:p>
    <w:p w14:paraId="422A3BEA" w14:textId="77777777" w:rsidR="00B00F2C" w:rsidRDefault="00B00F2C" w:rsidP="00B00F2C">
      <w:pPr>
        <w:pStyle w:val="Textebrut"/>
      </w:pPr>
    </w:p>
    <w:p w14:paraId="728F3E12" w14:textId="77777777" w:rsidR="00C903CB" w:rsidRDefault="00C903CB" w:rsidP="00C903CB">
      <w:pPr>
        <w:pStyle w:val="Textebrut"/>
      </w:pPr>
      <w:r>
        <w:t>Vitamine B12 Delagrange 1000 microgrammes/2 ml, solution injectable (IM) et buvable – [cyanocobalamine] – Rupture de stock depuis le 17/07/2024 (ANSM, actualisation du 13/12/2024).</w:t>
      </w:r>
    </w:p>
    <w:p w14:paraId="7C4D27A8" w14:textId="77777777" w:rsidR="00C903CB" w:rsidRDefault="00C903CB" w:rsidP="00C903CB">
      <w:pPr>
        <w:pStyle w:val="Textebrut"/>
      </w:pPr>
      <w:r>
        <w:t xml:space="preserve">Rupture de stock de la spécialité VITAMINE B12 DELAGRANGE 1000 microgrammes/2 ml, solution injectable (IM) et buvable. Mise à disposition exceptionnelle et transitoire d’unités de la spécialité </w:t>
      </w:r>
      <w:proofErr w:type="spellStart"/>
      <w:r>
        <w:t>Vitamin</w:t>
      </w:r>
      <w:proofErr w:type="spellEnd"/>
      <w:r>
        <w:t xml:space="preserve"> B12 </w:t>
      </w:r>
      <w:proofErr w:type="spellStart"/>
      <w:r>
        <w:t>Léciva</w:t>
      </w:r>
      <w:proofErr w:type="spellEnd"/>
      <w:r>
        <w:t xml:space="preserve"> 1000 μg, </w:t>
      </w:r>
      <w:proofErr w:type="spellStart"/>
      <w:r>
        <w:t>injekcný</w:t>
      </w:r>
      <w:proofErr w:type="spellEnd"/>
      <w:r>
        <w:t xml:space="preserve"> </w:t>
      </w:r>
      <w:proofErr w:type="spellStart"/>
      <w:r>
        <w:t>roztok</w:t>
      </w:r>
      <w:proofErr w:type="spellEnd"/>
      <w:r>
        <w:t xml:space="preserve">, initialement destinées aux marchés slovaque et tchèque à partir du 13/12/2024. Ces unités importées sont réservées à l’usage hospitalier et ne peuvent pas être rétrocédées. Lettre d'information du laboratoire </w:t>
      </w:r>
      <w:proofErr w:type="spellStart"/>
      <w:r>
        <w:t>Zentiva</w:t>
      </w:r>
      <w:proofErr w:type="spellEnd"/>
      <w:r>
        <w:t xml:space="preserve"> à l'attention des pharmaciens hospitaliers.</w:t>
      </w:r>
    </w:p>
    <w:p w14:paraId="36F74042" w14:textId="77777777" w:rsidR="00C903CB" w:rsidRDefault="00C903CB" w:rsidP="00C903CB">
      <w:pPr>
        <w:pStyle w:val="Textebrut"/>
      </w:pPr>
      <w:r>
        <w:t>Contingentement qualitatif. Lettre d'information destinée aux pharmaciens d’officine et pharmaciens des PUI, médecins généralistes et hématologues en date du 20/11/2024. Remise à disposition normale indéterminée. Vitamine B12 injectable et buvable : préférez les comprimés aux ampoules pour l’usage par voie orale</w:t>
      </w:r>
    </w:p>
    <w:p w14:paraId="28002D05" w14:textId="7E8EFD64" w:rsidR="00C903CB" w:rsidRDefault="00BB0F1B" w:rsidP="00C903CB">
      <w:pPr>
        <w:pStyle w:val="Textebrut"/>
      </w:pPr>
      <w:hyperlink r:id="rId174" w:history="1">
        <w:r w:rsidR="00C903CB" w:rsidRPr="008220B9">
          <w:rPr>
            <w:rStyle w:val="Lienhypertexte"/>
          </w:rPr>
          <w:t>https://ansm.sante.fr/disponibilites-des-produits-de-sante/medicaments/vitamine-b12-delagrange-1000-microgrammes-2-ml-solution-injectable-im-et-buvable-cyanocobalamine</w:t>
        </w:r>
      </w:hyperlink>
    </w:p>
    <w:p w14:paraId="7E46FDC6" w14:textId="77777777" w:rsidR="00C903CB" w:rsidRDefault="00C903CB" w:rsidP="00C903CB">
      <w:pPr>
        <w:pStyle w:val="Textebrut"/>
      </w:pPr>
    </w:p>
    <w:p w14:paraId="1551182B" w14:textId="77777777" w:rsidR="000845E8" w:rsidRDefault="000845E8" w:rsidP="000845E8">
      <w:pPr>
        <w:pStyle w:val="Textebrut"/>
      </w:pPr>
      <w:r>
        <w:t xml:space="preserve">Héparine calcique </w:t>
      </w:r>
      <w:proofErr w:type="spellStart"/>
      <w:r>
        <w:t>Panpharma</w:t>
      </w:r>
      <w:proofErr w:type="spellEnd"/>
      <w:r>
        <w:t xml:space="preserve"> 25 000 UI/</w:t>
      </w:r>
      <w:proofErr w:type="spellStart"/>
      <w:r>
        <w:t>mL</w:t>
      </w:r>
      <w:proofErr w:type="spellEnd"/>
      <w:r>
        <w:t xml:space="preserve">, solution injectable en seringue </w:t>
      </w:r>
      <w:proofErr w:type="spellStart"/>
      <w:r>
        <w:t>pré-remplie</w:t>
      </w:r>
      <w:proofErr w:type="spellEnd"/>
      <w:r>
        <w:t xml:space="preserve"> (S.C.) de 0,2 </w:t>
      </w:r>
      <w:proofErr w:type="spellStart"/>
      <w:r>
        <w:t>mL</w:t>
      </w:r>
      <w:proofErr w:type="spellEnd"/>
      <w:r>
        <w:t>, 0,3 ml et solution injectable en ampoule 0,5 ml – [héparine calcique] – Tension d’approvisionnement depuis le 01/09/2024 (ANSM, 20/12/2024).</w:t>
      </w:r>
    </w:p>
    <w:p w14:paraId="6318E663" w14:textId="77777777" w:rsidR="000845E8" w:rsidRDefault="000845E8" w:rsidP="000845E8">
      <w:pPr>
        <w:pStyle w:val="Textebrut"/>
      </w:pPr>
      <w:r>
        <w:t xml:space="preserve">Marché ville : </w:t>
      </w:r>
      <w:proofErr w:type="spellStart"/>
      <w:r>
        <w:t>Chéplapharm</w:t>
      </w:r>
      <w:proofErr w:type="spellEnd"/>
      <w:r>
        <w:t xml:space="preserve"> est en mesure de répondre aux éventuels besoins en Calciparine 12 500 UI/0,5 ml.</w:t>
      </w:r>
    </w:p>
    <w:p w14:paraId="4D4B49B8" w14:textId="77777777" w:rsidR="000845E8" w:rsidRDefault="000845E8" w:rsidP="000845E8">
      <w:pPr>
        <w:pStyle w:val="Textebrut"/>
      </w:pPr>
      <w:r>
        <w:t xml:space="preserve">Marché hospitalier : En cas de besoin : Stock encore disponible chez </w:t>
      </w:r>
      <w:proofErr w:type="spellStart"/>
      <w:r>
        <w:t>Cheplapharm</w:t>
      </w:r>
      <w:proofErr w:type="spellEnd"/>
      <w:r>
        <w:t xml:space="preserve"> de la Calciparine 5 000 UI/0,2 ml, solution injectable en seringue </w:t>
      </w:r>
      <w:proofErr w:type="spellStart"/>
      <w:r>
        <w:t>pré-remplie</w:t>
      </w:r>
      <w:proofErr w:type="spellEnd"/>
      <w:r>
        <w:t xml:space="preserve"> (S.C.) et de la Calciparine 7 500 UI/0,3 ml, solution injectable en seringue </w:t>
      </w:r>
      <w:proofErr w:type="spellStart"/>
      <w:r>
        <w:t>pré-remplie</w:t>
      </w:r>
      <w:proofErr w:type="spellEnd"/>
      <w:r>
        <w:t xml:space="preserve"> (S.C.) ainsi que Calciparine 12500 UI/0.5ml solution injectable en ampoules ;  À titre exceptionnel, ces spécialités disponibles à l'hôpital peuvent être rétrocédées unitairement par les pharmacies hospitalières aux patients ambulatoires, en application des dispositions de l'article L.5121-30 du code de la santé publique</w:t>
      </w:r>
    </w:p>
    <w:p w14:paraId="74871CC3" w14:textId="40C70812" w:rsidR="00C903CB" w:rsidRDefault="00BB0F1B" w:rsidP="000845E8">
      <w:pPr>
        <w:pStyle w:val="Textebrut"/>
      </w:pPr>
      <w:hyperlink r:id="rId175" w:history="1">
        <w:r w:rsidR="000845E8" w:rsidRPr="00947EAE">
          <w:rPr>
            <w:rStyle w:val="Lienhypertexte"/>
          </w:rPr>
          <w:t>https://ansm.sante.fr/disponibilites-des-produits-de-sante/medicaments/heparine-calcique-panpharma-25-000-ui-ml-solution-injectable-en-seringue-pre-remplie-s-c-de-0-2-ml-0-3-ml-et-solution-injectable-en-ampoule-0-5-ml-heparine-calcique</w:t>
        </w:r>
      </w:hyperlink>
    </w:p>
    <w:p w14:paraId="461E30DD" w14:textId="77777777" w:rsidR="000845E8" w:rsidRDefault="000845E8" w:rsidP="000845E8">
      <w:pPr>
        <w:pStyle w:val="Textebrut"/>
      </w:pPr>
    </w:p>
    <w:p w14:paraId="68DF2768" w14:textId="77777777" w:rsidR="000845E8" w:rsidRDefault="000845E8" w:rsidP="000845E8">
      <w:pPr>
        <w:pStyle w:val="Textebrut"/>
      </w:pPr>
      <w:r>
        <w:t>Concerta LP, comprimé à libération prolongée – [méthylphénidate (chlorhydrate de)] – Tension d’approvisionnement depuis le 09/06/2022 (ANSM, actualisation du 20/12/2024).</w:t>
      </w:r>
    </w:p>
    <w:p w14:paraId="53F7B4D8" w14:textId="77777777" w:rsidR="000845E8" w:rsidRDefault="000845E8" w:rsidP="000845E8">
      <w:pPr>
        <w:pStyle w:val="Textebrut"/>
      </w:pPr>
      <w:r>
        <w:t>Situation en ville : tension. Situation à l'hôpital : non impactée. Contingentement quantitatif en ville. Remise à disposition normale indéterminée. Consultez les recommandations pour les pharmaciens</w:t>
      </w:r>
    </w:p>
    <w:p w14:paraId="14090851" w14:textId="517CAEDC" w:rsidR="000845E8" w:rsidRDefault="00BB0F1B" w:rsidP="000845E8">
      <w:pPr>
        <w:pStyle w:val="Textebrut"/>
      </w:pPr>
      <w:hyperlink r:id="rId176" w:history="1">
        <w:r w:rsidR="000845E8" w:rsidRPr="00947EAE">
          <w:rPr>
            <w:rStyle w:val="Lienhypertexte"/>
          </w:rPr>
          <w:t>https://ansm.sante.fr/disponibilites-des-produits-de-sante/medicaments/concerta-lp-comprime-a-liberation-prolongee-methylphenidate-chlorhydrate-de</w:t>
        </w:r>
      </w:hyperlink>
    </w:p>
    <w:p w14:paraId="52321FAC" w14:textId="77777777" w:rsidR="000845E8" w:rsidRDefault="000845E8" w:rsidP="000845E8">
      <w:pPr>
        <w:pStyle w:val="Textebrut"/>
      </w:pPr>
    </w:p>
    <w:p w14:paraId="74B464EB" w14:textId="77777777" w:rsidR="004C47BE" w:rsidRDefault="004C47BE" w:rsidP="004C47BE">
      <w:pPr>
        <w:pStyle w:val="Textebrut"/>
      </w:pPr>
      <w:proofErr w:type="spellStart"/>
      <w:r>
        <w:t>Boostrixtetra</w:t>
      </w:r>
      <w:proofErr w:type="spellEnd"/>
      <w:r>
        <w:t xml:space="preserve">, suspension injectable en seringue préremplie. Vaccin diphtérique, tétanique, coquelucheux (acellulaire </w:t>
      </w:r>
      <w:proofErr w:type="spellStart"/>
      <w:r>
        <w:t>multicomposé</w:t>
      </w:r>
      <w:proofErr w:type="spellEnd"/>
      <w:r>
        <w:t>) et poliomyélitique (inactivé), (adsorbé, à teneur réduite en antigènes) - Remise à disposition normale à partir du 26 décembre 2024 (ANSM, 26/12/2024)</w:t>
      </w:r>
    </w:p>
    <w:p w14:paraId="479074B8" w14:textId="77777777" w:rsidR="004C47BE" w:rsidRDefault="004C47BE" w:rsidP="004C47BE">
      <w:pPr>
        <w:pStyle w:val="Textebrut"/>
      </w:pPr>
      <w:hyperlink r:id="rId177" w:history="1">
        <w:r w:rsidRPr="004E0D85">
          <w:rPr>
            <w:rStyle w:val="Lienhypertexte"/>
          </w:rPr>
          <w:t>https://ansm.sante.fr/disponibilites-des-produits-de-sante/vaccins/boostrixtetra-suspension-injectable-en-seringue-preremplie-vaccin-diphterique-tetanique-coquelucheux-acellulaire-multicompose-et-poliomyelitique-inactive-adsorbe-a-teneur-reduite-en-antigenes</w:t>
        </w:r>
      </w:hyperlink>
    </w:p>
    <w:p w14:paraId="0BDA9FAC" w14:textId="77777777" w:rsidR="004C47BE" w:rsidRDefault="004C47BE" w:rsidP="004C47BE">
      <w:pPr>
        <w:pStyle w:val="Textebrut"/>
      </w:pPr>
    </w:p>
    <w:p w14:paraId="5D2C4161" w14:textId="77777777" w:rsidR="004C47BE" w:rsidRDefault="004C47BE" w:rsidP="004C47BE">
      <w:pPr>
        <w:pStyle w:val="Textebrut"/>
      </w:pPr>
      <w:proofErr w:type="spellStart"/>
      <w:r>
        <w:t>Repevax</w:t>
      </w:r>
      <w:proofErr w:type="spellEnd"/>
      <w:r>
        <w:t xml:space="preserve">, suspension injectable en seringue préremplie. Vaccin diphtérique, tétanique, coquelucheux (acellulaire, </w:t>
      </w:r>
      <w:proofErr w:type="spellStart"/>
      <w:r>
        <w:t>multicomposé</w:t>
      </w:r>
      <w:proofErr w:type="spellEnd"/>
      <w:r>
        <w:t>) et poliomyélitique (inactivé), (adsorbé, à teneur réduite en antigène(s)) (ANSM, publié le 09/10/2024 – mis à jour le 26/10/2024).</w:t>
      </w:r>
    </w:p>
    <w:p w14:paraId="05D5136A" w14:textId="77777777" w:rsidR="004C47BE" w:rsidRDefault="004C47BE" w:rsidP="004C47BE">
      <w:pPr>
        <w:pStyle w:val="Textebrut"/>
      </w:pPr>
      <w:r>
        <w:t>Tension d'approvisionnement en ville. Mise en place d’un contingentement quantitatif en ville. Les hôpitaux et les DROM ne sont pas impactés par ce contingentement. Remise à disposition normale prévue en juin 2025</w:t>
      </w:r>
    </w:p>
    <w:p w14:paraId="5A566F92" w14:textId="77777777" w:rsidR="004C47BE" w:rsidRDefault="004C47BE" w:rsidP="004C47BE">
      <w:pPr>
        <w:pStyle w:val="Textebrut"/>
      </w:pPr>
      <w:hyperlink r:id="rId178" w:history="1">
        <w:r w:rsidRPr="004E0D85">
          <w:rPr>
            <w:rStyle w:val="Lienhypertexte"/>
          </w:rPr>
          <w:t>https://ansm.sante.fr/disponibilites-des-produits-de-sante/vaccins/repevax-suspension-injectable-en-seringue-preremplie-vaccin-diphterique-tetanique-coquelucheux-acellulaire-multicompose-et-poliomyelitique-inactive-adsorbe-a-teneur-reduite-en-antigene-s</w:t>
        </w:r>
      </w:hyperlink>
    </w:p>
    <w:p w14:paraId="4103185E" w14:textId="77777777" w:rsidR="004C47BE" w:rsidRDefault="004C47BE" w:rsidP="004C47BE">
      <w:pPr>
        <w:pStyle w:val="Textebrut"/>
      </w:pPr>
    </w:p>
    <w:p w14:paraId="2ECAB04E" w14:textId="77777777" w:rsidR="004C47BE" w:rsidRDefault="004C47BE" w:rsidP="004C47BE">
      <w:pPr>
        <w:pStyle w:val="Textebrut"/>
      </w:pPr>
      <w:proofErr w:type="spellStart"/>
      <w:r>
        <w:t>Fluorouracile</w:t>
      </w:r>
      <w:proofErr w:type="spellEnd"/>
      <w:r>
        <w:t xml:space="preserve"> </w:t>
      </w:r>
      <w:proofErr w:type="spellStart"/>
      <w:r>
        <w:t>Teva</w:t>
      </w:r>
      <w:proofErr w:type="spellEnd"/>
      <w:r>
        <w:t xml:space="preserve"> 50 mg/ml, solution à diluer pour perfusion, flacon de 100 ml – [</w:t>
      </w:r>
      <w:proofErr w:type="spellStart"/>
      <w:r>
        <w:t>fluorouracile</w:t>
      </w:r>
      <w:proofErr w:type="spellEnd"/>
      <w:r>
        <w:t>] (ANSM, mis à jour le 30/12/2024)</w:t>
      </w:r>
    </w:p>
    <w:p w14:paraId="30DA783A" w14:textId="77777777" w:rsidR="004C47BE" w:rsidRDefault="004C47BE" w:rsidP="004C47BE">
      <w:pPr>
        <w:pStyle w:val="Textebrut"/>
      </w:pPr>
      <w:r>
        <w:t>Rupture de stock depuis le 07/11/2024. Situation à l'hôpital : Rupture. Date de remise à disposition prévue indéterminée.</w:t>
      </w:r>
    </w:p>
    <w:p w14:paraId="48432562" w14:textId="77777777" w:rsidR="004C47BE" w:rsidRDefault="004C47BE" w:rsidP="004C47BE">
      <w:pPr>
        <w:pStyle w:val="Textebrut"/>
      </w:pPr>
      <w:hyperlink r:id="rId179" w:history="1">
        <w:r w:rsidRPr="004E0D85">
          <w:rPr>
            <w:rStyle w:val="Lienhypertexte"/>
          </w:rPr>
          <w:t>https://ansm.sante.fr/disponibilites-des-produits-de-sante/medicaments/fluorouracile-teva-50-mg-ml-solution-a-diluer-pour-perfusion-flacon-de-100-ml-fluorouracile</w:t>
        </w:r>
      </w:hyperlink>
    </w:p>
    <w:p w14:paraId="61493F2F" w14:textId="77777777" w:rsidR="004C47BE" w:rsidRDefault="004C47BE" w:rsidP="000845E8">
      <w:pPr>
        <w:pStyle w:val="Textebrut"/>
      </w:pPr>
    </w:p>
    <w:sectPr w:rsidR="004C47BE" w:rsidSect="004568FE">
      <w:headerReference w:type="even" r:id="rId180"/>
      <w:headerReference w:type="default" r:id="rId181"/>
      <w:footerReference w:type="even" r:id="rId182"/>
      <w:footerReference w:type="default" r:id="rId183"/>
      <w:headerReference w:type="first" r:id="rId184"/>
      <w:footerReference w:type="first" r:id="rId185"/>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464EC" w14:textId="77777777" w:rsidR="00297F61" w:rsidRDefault="00297F61">
      <w:r>
        <w:separator/>
      </w:r>
    </w:p>
  </w:endnote>
  <w:endnote w:type="continuationSeparator" w:id="0">
    <w:p w14:paraId="5EF0591B" w14:textId="77777777" w:rsidR="00297F61" w:rsidRDefault="00297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09615"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45FA6" w14:textId="77777777" w:rsidR="00987053" w:rsidRDefault="00987053">
    <w:pPr>
      <w:pStyle w:val="Pieddepage"/>
    </w:pPr>
  </w:p>
  <w:p w14:paraId="16D64B15" w14:textId="77777777" w:rsidR="008B3189" w:rsidRDefault="008B3189">
    <w:pPr>
      <w:pStyle w:val="Pieddepage"/>
    </w:pPr>
    <w:r>
      <w:t xml:space="preserve">Contact : </w:t>
    </w:r>
    <w:hyperlink r:id="rId1" w:history="1">
      <w:r w:rsidRPr="009D2627">
        <w:rPr>
          <w:rStyle w:val="Lienhypertexte"/>
        </w:rPr>
        <w:t>ars-bfc-peps@ars.sante.fr</w:t>
      </w:r>
    </w:hyperlink>
  </w:p>
  <w:p w14:paraId="360B2E0F" w14:textId="77777777" w:rsidR="008B3189" w:rsidRDefault="008B3189">
    <w:pPr>
      <w:pStyle w:val="Pieddepage"/>
    </w:pPr>
  </w:p>
  <w:p w14:paraId="65F2CF96"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9AD97"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0EF7A" w14:textId="77777777" w:rsidR="00297F61" w:rsidRDefault="00297F61">
      <w:r>
        <w:separator/>
      </w:r>
    </w:p>
  </w:footnote>
  <w:footnote w:type="continuationSeparator" w:id="0">
    <w:p w14:paraId="3D1A6891" w14:textId="77777777" w:rsidR="00297F61" w:rsidRDefault="00297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914BD9"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508D9"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29789"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A40479D"/>
    <w:multiLevelType w:val="hybridMultilevel"/>
    <w:tmpl w:val="46A0BA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6702457"/>
    <w:multiLevelType w:val="multilevel"/>
    <w:tmpl w:val="AA7E5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8"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3"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7"/>
  </w:num>
  <w:num w:numId="2" w16cid:durableId="1892185552">
    <w:abstractNumId w:val="6"/>
  </w:num>
  <w:num w:numId="3" w16cid:durableId="1366295517">
    <w:abstractNumId w:val="0"/>
  </w:num>
  <w:num w:numId="4" w16cid:durableId="1869682685">
    <w:abstractNumId w:val="1"/>
  </w:num>
  <w:num w:numId="5" w16cid:durableId="483862807">
    <w:abstractNumId w:val="13"/>
  </w:num>
  <w:num w:numId="6" w16cid:durableId="106702296">
    <w:abstractNumId w:val="15"/>
  </w:num>
  <w:num w:numId="7" w16cid:durableId="211118289">
    <w:abstractNumId w:val="3"/>
  </w:num>
  <w:num w:numId="8" w16cid:durableId="2127459736">
    <w:abstractNumId w:val="12"/>
  </w:num>
  <w:num w:numId="9" w16cid:durableId="1835490178">
    <w:abstractNumId w:val="2"/>
  </w:num>
  <w:num w:numId="10" w16cid:durableId="358509021">
    <w:abstractNumId w:val="19"/>
  </w:num>
  <w:num w:numId="11" w16cid:durableId="802238835">
    <w:abstractNumId w:val="7"/>
  </w:num>
  <w:num w:numId="12" w16cid:durableId="1119682966">
    <w:abstractNumId w:val="4"/>
  </w:num>
  <w:num w:numId="13" w16cid:durableId="1384252903">
    <w:abstractNumId w:val="22"/>
  </w:num>
  <w:num w:numId="14" w16cid:durableId="624848701">
    <w:abstractNumId w:val="18"/>
  </w:num>
  <w:num w:numId="15" w16cid:durableId="758873685">
    <w:abstractNumId w:val="23"/>
  </w:num>
  <w:num w:numId="16" w16cid:durableId="1294290176">
    <w:abstractNumId w:val="21"/>
  </w:num>
  <w:num w:numId="17" w16cid:durableId="534585621">
    <w:abstractNumId w:val="20"/>
  </w:num>
  <w:num w:numId="18" w16cid:durableId="1675378248">
    <w:abstractNumId w:val="5"/>
  </w:num>
  <w:num w:numId="19" w16cid:durableId="974604461">
    <w:abstractNumId w:val="10"/>
  </w:num>
  <w:num w:numId="20" w16cid:durableId="886448293">
    <w:abstractNumId w:val="8"/>
  </w:num>
  <w:num w:numId="21" w16cid:durableId="2009556170">
    <w:abstractNumId w:val="9"/>
  </w:num>
  <w:num w:numId="22" w16cid:durableId="10105033">
    <w:abstractNumId w:val="14"/>
  </w:num>
  <w:num w:numId="23" w16cid:durableId="803281040">
    <w:abstractNumId w:val="24"/>
  </w:num>
  <w:num w:numId="24" w16cid:durableId="2076662381">
    <w:abstractNumId w:val="11"/>
  </w:num>
  <w:num w:numId="25" w16cid:durableId="19274967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F61"/>
    <w:rsid w:val="0000124D"/>
    <w:rsid w:val="000019A9"/>
    <w:rsid w:val="00003243"/>
    <w:rsid w:val="000041FF"/>
    <w:rsid w:val="000100AD"/>
    <w:rsid w:val="000109A8"/>
    <w:rsid w:val="000109BE"/>
    <w:rsid w:val="00010FF1"/>
    <w:rsid w:val="0001329F"/>
    <w:rsid w:val="00016D9E"/>
    <w:rsid w:val="00017B73"/>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0E8"/>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E8"/>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6B80"/>
    <w:rsid w:val="0010711F"/>
    <w:rsid w:val="00107ABA"/>
    <w:rsid w:val="00107AFE"/>
    <w:rsid w:val="00111F2F"/>
    <w:rsid w:val="001124EF"/>
    <w:rsid w:val="00113CA0"/>
    <w:rsid w:val="00114E75"/>
    <w:rsid w:val="00116275"/>
    <w:rsid w:val="001175D8"/>
    <w:rsid w:val="0011781D"/>
    <w:rsid w:val="00117BB3"/>
    <w:rsid w:val="00117DAA"/>
    <w:rsid w:val="0012012F"/>
    <w:rsid w:val="00122229"/>
    <w:rsid w:val="001227EE"/>
    <w:rsid w:val="00123745"/>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4D0"/>
    <w:rsid w:val="001828BF"/>
    <w:rsid w:val="00183C3B"/>
    <w:rsid w:val="00184223"/>
    <w:rsid w:val="0018464A"/>
    <w:rsid w:val="00184852"/>
    <w:rsid w:val="00191201"/>
    <w:rsid w:val="00191380"/>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CD9"/>
    <w:rsid w:val="001B3F35"/>
    <w:rsid w:val="001B5625"/>
    <w:rsid w:val="001B5903"/>
    <w:rsid w:val="001B5CF6"/>
    <w:rsid w:val="001B5FAB"/>
    <w:rsid w:val="001B69E3"/>
    <w:rsid w:val="001B74D4"/>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349E"/>
    <w:rsid w:val="001E45D7"/>
    <w:rsid w:val="001E68AC"/>
    <w:rsid w:val="001E75EF"/>
    <w:rsid w:val="001E7D1B"/>
    <w:rsid w:val="001E7D69"/>
    <w:rsid w:val="001F0206"/>
    <w:rsid w:val="001F06F3"/>
    <w:rsid w:val="001F12B1"/>
    <w:rsid w:val="001F18E1"/>
    <w:rsid w:val="001F2484"/>
    <w:rsid w:val="001F535A"/>
    <w:rsid w:val="001F5360"/>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3F25"/>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97F61"/>
    <w:rsid w:val="002A14A9"/>
    <w:rsid w:val="002A1906"/>
    <w:rsid w:val="002A1A06"/>
    <w:rsid w:val="002A263F"/>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16D1"/>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2F6BC8"/>
    <w:rsid w:val="0030053E"/>
    <w:rsid w:val="00301108"/>
    <w:rsid w:val="00301448"/>
    <w:rsid w:val="00304E06"/>
    <w:rsid w:val="00305CB2"/>
    <w:rsid w:val="00306396"/>
    <w:rsid w:val="0030725F"/>
    <w:rsid w:val="00307FD2"/>
    <w:rsid w:val="0031111D"/>
    <w:rsid w:val="00314AB7"/>
    <w:rsid w:val="00314B33"/>
    <w:rsid w:val="00315F8A"/>
    <w:rsid w:val="00317010"/>
    <w:rsid w:val="003179F9"/>
    <w:rsid w:val="00317A93"/>
    <w:rsid w:val="0032096E"/>
    <w:rsid w:val="00320FB9"/>
    <w:rsid w:val="0032104D"/>
    <w:rsid w:val="0032158C"/>
    <w:rsid w:val="00324CAE"/>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D75"/>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4977"/>
    <w:rsid w:val="003C5679"/>
    <w:rsid w:val="003C7D38"/>
    <w:rsid w:val="003D0611"/>
    <w:rsid w:val="003D0624"/>
    <w:rsid w:val="003D0E62"/>
    <w:rsid w:val="003D225D"/>
    <w:rsid w:val="003D3E5C"/>
    <w:rsid w:val="003D70D5"/>
    <w:rsid w:val="003D7119"/>
    <w:rsid w:val="003E28FC"/>
    <w:rsid w:val="003E3826"/>
    <w:rsid w:val="003E3A44"/>
    <w:rsid w:val="003E408E"/>
    <w:rsid w:val="003E69CF"/>
    <w:rsid w:val="003E7F72"/>
    <w:rsid w:val="003F024E"/>
    <w:rsid w:val="003F1C56"/>
    <w:rsid w:val="003F2779"/>
    <w:rsid w:val="003F344A"/>
    <w:rsid w:val="003F37EA"/>
    <w:rsid w:val="003F41F6"/>
    <w:rsid w:val="003F4613"/>
    <w:rsid w:val="003F46CC"/>
    <w:rsid w:val="003F534F"/>
    <w:rsid w:val="003F7F3C"/>
    <w:rsid w:val="00402BA6"/>
    <w:rsid w:val="00404838"/>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2484"/>
    <w:rsid w:val="004436AF"/>
    <w:rsid w:val="0044388F"/>
    <w:rsid w:val="00443CB7"/>
    <w:rsid w:val="00444416"/>
    <w:rsid w:val="00445041"/>
    <w:rsid w:val="0044514A"/>
    <w:rsid w:val="00445254"/>
    <w:rsid w:val="00445A81"/>
    <w:rsid w:val="0044723D"/>
    <w:rsid w:val="004473F7"/>
    <w:rsid w:val="00451CA0"/>
    <w:rsid w:val="004520D8"/>
    <w:rsid w:val="004524B3"/>
    <w:rsid w:val="00453017"/>
    <w:rsid w:val="0045412F"/>
    <w:rsid w:val="00454EC9"/>
    <w:rsid w:val="00455197"/>
    <w:rsid w:val="004556F6"/>
    <w:rsid w:val="00455F24"/>
    <w:rsid w:val="004568FE"/>
    <w:rsid w:val="00456972"/>
    <w:rsid w:val="00457A99"/>
    <w:rsid w:val="00460CFB"/>
    <w:rsid w:val="004613C0"/>
    <w:rsid w:val="004625B5"/>
    <w:rsid w:val="004629FE"/>
    <w:rsid w:val="00462B24"/>
    <w:rsid w:val="00465561"/>
    <w:rsid w:val="004665D6"/>
    <w:rsid w:val="00467D4C"/>
    <w:rsid w:val="00471D9B"/>
    <w:rsid w:val="00472AC1"/>
    <w:rsid w:val="004730C8"/>
    <w:rsid w:val="00474007"/>
    <w:rsid w:val="00475175"/>
    <w:rsid w:val="00476D29"/>
    <w:rsid w:val="004776D0"/>
    <w:rsid w:val="00480920"/>
    <w:rsid w:val="00481907"/>
    <w:rsid w:val="004830BB"/>
    <w:rsid w:val="004837F1"/>
    <w:rsid w:val="00484403"/>
    <w:rsid w:val="004849F8"/>
    <w:rsid w:val="00487537"/>
    <w:rsid w:val="004904D5"/>
    <w:rsid w:val="00491744"/>
    <w:rsid w:val="004923C1"/>
    <w:rsid w:val="00492660"/>
    <w:rsid w:val="004931CC"/>
    <w:rsid w:val="00494AF4"/>
    <w:rsid w:val="00494F55"/>
    <w:rsid w:val="0049571E"/>
    <w:rsid w:val="00495B81"/>
    <w:rsid w:val="004961AB"/>
    <w:rsid w:val="004970EB"/>
    <w:rsid w:val="004A026F"/>
    <w:rsid w:val="004A043C"/>
    <w:rsid w:val="004A18A5"/>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7BE"/>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27B3"/>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A83"/>
    <w:rsid w:val="00572FA3"/>
    <w:rsid w:val="00573305"/>
    <w:rsid w:val="00573630"/>
    <w:rsid w:val="00573B00"/>
    <w:rsid w:val="0057466C"/>
    <w:rsid w:val="00574ED5"/>
    <w:rsid w:val="005764FC"/>
    <w:rsid w:val="00577F3A"/>
    <w:rsid w:val="00582CD4"/>
    <w:rsid w:val="00583583"/>
    <w:rsid w:val="00583DCB"/>
    <w:rsid w:val="00584697"/>
    <w:rsid w:val="005857AF"/>
    <w:rsid w:val="00585BF3"/>
    <w:rsid w:val="00586917"/>
    <w:rsid w:val="005906A0"/>
    <w:rsid w:val="00591156"/>
    <w:rsid w:val="00592039"/>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2B0B"/>
    <w:rsid w:val="005B388B"/>
    <w:rsid w:val="005B3A86"/>
    <w:rsid w:val="005B3D52"/>
    <w:rsid w:val="005B452C"/>
    <w:rsid w:val="005B4844"/>
    <w:rsid w:val="005B60E3"/>
    <w:rsid w:val="005B6417"/>
    <w:rsid w:val="005B69AE"/>
    <w:rsid w:val="005B6DCE"/>
    <w:rsid w:val="005B7C96"/>
    <w:rsid w:val="005C00E8"/>
    <w:rsid w:val="005C010E"/>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1103"/>
    <w:rsid w:val="005E2CC8"/>
    <w:rsid w:val="005E3C40"/>
    <w:rsid w:val="005E4670"/>
    <w:rsid w:val="005E520C"/>
    <w:rsid w:val="005E586A"/>
    <w:rsid w:val="005E6120"/>
    <w:rsid w:val="005E6A8D"/>
    <w:rsid w:val="005E7297"/>
    <w:rsid w:val="005E7E8F"/>
    <w:rsid w:val="005F0DA9"/>
    <w:rsid w:val="005F14D6"/>
    <w:rsid w:val="005F3682"/>
    <w:rsid w:val="005F41D7"/>
    <w:rsid w:val="005F4A21"/>
    <w:rsid w:val="005F5169"/>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141"/>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1F26"/>
    <w:rsid w:val="00685819"/>
    <w:rsid w:val="00686A2B"/>
    <w:rsid w:val="00686DF7"/>
    <w:rsid w:val="006948F9"/>
    <w:rsid w:val="00694ADC"/>
    <w:rsid w:val="006962F9"/>
    <w:rsid w:val="0069787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2C6"/>
    <w:rsid w:val="006B7B81"/>
    <w:rsid w:val="006C1A2A"/>
    <w:rsid w:val="006C26C2"/>
    <w:rsid w:val="006C4B48"/>
    <w:rsid w:val="006C5101"/>
    <w:rsid w:val="006C6266"/>
    <w:rsid w:val="006C6F13"/>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2D1F"/>
    <w:rsid w:val="006F3281"/>
    <w:rsid w:val="006F4ED6"/>
    <w:rsid w:val="006F5FE6"/>
    <w:rsid w:val="006F60DF"/>
    <w:rsid w:val="006F61DD"/>
    <w:rsid w:val="006F6736"/>
    <w:rsid w:val="006F7288"/>
    <w:rsid w:val="006F7B62"/>
    <w:rsid w:val="00700B55"/>
    <w:rsid w:val="00700C29"/>
    <w:rsid w:val="00700CC2"/>
    <w:rsid w:val="00700D2C"/>
    <w:rsid w:val="007014B2"/>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6A1A"/>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17F21"/>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36DD"/>
    <w:rsid w:val="008649A7"/>
    <w:rsid w:val="0086580B"/>
    <w:rsid w:val="00871D7B"/>
    <w:rsid w:val="00871E3F"/>
    <w:rsid w:val="00872E02"/>
    <w:rsid w:val="00872F82"/>
    <w:rsid w:val="008756F4"/>
    <w:rsid w:val="008759C4"/>
    <w:rsid w:val="008768E0"/>
    <w:rsid w:val="00877680"/>
    <w:rsid w:val="0087777D"/>
    <w:rsid w:val="00881549"/>
    <w:rsid w:val="008816BF"/>
    <w:rsid w:val="008816F3"/>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555"/>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2D16"/>
    <w:rsid w:val="008E5B52"/>
    <w:rsid w:val="008E6063"/>
    <w:rsid w:val="008E726F"/>
    <w:rsid w:val="008E7598"/>
    <w:rsid w:val="008F0CCC"/>
    <w:rsid w:val="008F0E39"/>
    <w:rsid w:val="008F36F6"/>
    <w:rsid w:val="008F3CD3"/>
    <w:rsid w:val="008F4681"/>
    <w:rsid w:val="008F5265"/>
    <w:rsid w:val="008F5AEF"/>
    <w:rsid w:val="008F64CD"/>
    <w:rsid w:val="008F6EB3"/>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541"/>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57B08"/>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7265"/>
    <w:rsid w:val="009C72BF"/>
    <w:rsid w:val="009C7329"/>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7DD"/>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A2E"/>
    <w:rsid w:val="00A03CEB"/>
    <w:rsid w:val="00A043C8"/>
    <w:rsid w:val="00A044F6"/>
    <w:rsid w:val="00A04C3F"/>
    <w:rsid w:val="00A07230"/>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BB1"/>
    <w:rsid w:val="00A21CC9"/>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21D8"/>
    <w:rsid w:val="00A3395F"/>
    <w:rsid w:val="00A34E6D"/>
    <w:rsid w:val="00A35B01"/>
    <w:rsid w:val="00A41D94"/>
    <w:rsid w:val="00A42521"/>
    <w:rsid w:val="00A434D6"/>
    <w:rsid w:val="00A453DD"/>
    <w:rsid w:val="00A45C22"/>
    <w:rsid w:val="00A469AA"/>
    <w:rsid w:val="00A469BA"/>
    <w:rsid w:val="00A5107A"/>
    <w:rsid w:val="00A51B0A"/>
    <w:rsid w:val="00A52015"/>
    <w:rsid w:val="00A533E0"/>
    <w:rsid w:val="00A534FC"/>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48FF"/>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E3C8F"/>
    <w:rsid w:val="00AE5D23"/>
    <w:rsid w:val="00AE614B"/>
    <w:rsid w:val="00AE6FB0"/>
    <w:rsid w:val="00AF17BE"/>
    <w:rsid w:val="00AF21A9"/>
    <w:rsid w:val="00AF3791"/>
    <w:rsid w:val="00AF413D"/>
    <w:rsid w:val="00AF486D"/>
    <w:rsid w:val="00AF6380"/>
    <w:rsid w:val="00AF6DFA"/>
    <w:rsid w:val="00AF7190"/>
    <w:rsid w:val="00AF7FD1"/>
    <w:rsid w:val="00B00F2C"/>
    <w:rsid w:val="00B01092"/>
    <w:rsid w:val="00B01EF1"/>
    <w:rsid w:val="00B01F54"/>
    <w:rsid w:val="00B02EDF"/>
    <w:rsid w:val="00B045BB"/>
    <w:rsid w:val="00B05293"/>
    <w:rsid w:val="00B06205"/>
    <w:rsid w:val="00B070CF"/>
    <w:rsid w:val="00B0716F"/>
    <w:rsid w:val="00B10906"/>
    <w:rsid w:val="00B11450"/>
    <w:rsid w:val="00B1295B"/>
    <w:rsid w:val="00B12AE0"/>
    <w:rsid w:val="00B12E11"/>
    <w:rsid w:val="00B13223"/>
    <w:rsid w:val="00B14BBE"/>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5761"/>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337"/>
    <w:rsid w:val="00B83F52"/>
    <w:rsid w:val="00B851BA"/>
    <w:rsid w:val="00B9018C"/>
    <w:rsid w:val="00B904B9"/>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1B"/>
    <w:rsid w:val="00BB0F27"/>
    <w:rsid w:val="00BB124D"/>
    <w:rsid w:val="00BB13DF"/>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6C11"/>
    <w:rsid w:val="00BD73D8"/>
    <w:rsid w:val="00BD7537"/>
    <w:rsid w:val="00BE2139"/>
    <w:rsid w:val="00BE4C1C"/>
    <w:rsid w:val="00BE53E6"/>
    <w:rsid w:val="00BF02A0"/>
    <w:rsid w:val="00BF0DD5"/>
    <w:rsid w:val="00BF142B"/>
    <w:rsid w:val="00BF2172"/>
    <w:rsid w:val="00BF2844"/>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1DD4"/>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6BA5"/>
    <w:rsid w:val="00C470ED"/>
    <w:rsid w:val="00C47128"/>
    <w:rsid w:val="00C47252"/>
    <w:rsid w:val="00C50F05"/>
    <w:rsid w:val="00C52055"/>
    <w:rsid w:val="00C53387"/>
    <w:rsid w:val="00C53FE8"/>
    <w:rsid w:val="00C54204"/>
    <w:rsid w:val="00C54EAF"/>
    <w:rsid w:val="00C55DF0"/>
    <w:rsid w:val="00C56CDB"/>
    <w:rsid w:val="00C56E18"/>
    <w:rsid w:val="00C60325"/>
    <w:rsid w:val="00C61036"/>
    <w:rsid w:val="00C6219E"/>
    <w:rsid w:val="00C63014"/>
    <w:rsid w:val="00C63441"/>
    <w:rsid w:val="00C63A6F"/>
    <w:rsid w:val="00C6419B"/>
    <w:rsid w:val="00C641AD"/>
    <w:rsid w:val="00C64424"/>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3CB"/>
    <w:rsid w:val="00C90E10"/>
    <w:rsid w:val="00C90F55"/>
    <w:rsid w:val="00C91361"/>
    <w:rsid w:val="00C9191C"/>
    <w:rsid w:val="00C91A93"/>
    <w:rsid w:val="00C92022"/>
    <w:rsid w:val="00C92961"/>
    <w:rsid w:val="00C92A26"/>
    <w:rsid w:val="00C92EF3"/>
    <w:rsid w:val="00C93E28"/>
    <w:rsid w:val="00C942BE"/>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C0"/>
    <w:rsid w:val="00D23FDE"/>
    <w:rsid w:val="00D25BE8"/>
    <w:rsid w:val="00D26EB9"/>
    <w:rsid w:val="00D26F7A"/>
    <w:rsid w:val="00D2718B"/>
    <w:rsid w:val="00D271E3"/>
    <w:rsid w:val="00D3042D"/>
    <w:rsid w:val="00D305BB"/>
    <w:rsid w:val="00D310D9"/>
    <w:rsid w:val="00D312C3"/>
    <w:rsid w:val="00D31377"/>
    <w:rsid w:val="00D3219B"/>
    <w:rsid w:val="00D3228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67FD1"/>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747"/>
    <w:rsid w:val="00D80C15"/>
    <w:rsid w:val="00D81956"/>
    <w:rsid w:val="00D81E10"/>
    <w:rsid w:val="00D82342"/>
    <w:rsid w:val="00D82BEE"/>
    <w:rsid w:val="00D84FB6"/>
    <w:rsid w:val="00D8567A"/>
    <w:rsid w:val="00D85C84"/>
    <w:rsid w:val="00D8602A"/>
    <w:rsid w:val="00D86765"/>
    <w:rsid w:val="00D87BC3"/>
    <w:rsid w:val="00D87EB2"/>
    <w:rsid w:val="00D90944"/>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2E2"/>
    <w:rsid w:val="00DB46E1"/>
    <w:rsid w:val="00DB4A21"/>
    <w:rsid w:val="00DB54D9"/>
    <w:rsid w:val="00DB70A2"/>
    <w:rsid w:val="00DB717A"/>
    <w:rsid w:val="00DB7463"/>
    <w:rsid w:val="00DC09AC"/>
    <w:rsid w:val="00DC15A6"/>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2F3"/>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094D"/>
    <w:rsid w:val="00E02A56"/>
    <w:rsid w:val="00E04C76"/>
    <w:rsid w:val="00E06468"/>
    <w:rsid w:val="00E06E3D"/>
    <w:rsid w:val="00E0790C"/>
    <w:rsid w:val="00E07982"/>
    <w:rsid w:val="00E1012A"/>
    <w:rsid w:val="00E10A71"/>
    <w:rsid w:val="00E11460"/>
    <w:rsid w:val="00E115DC"/>
    <w:rsid w:val="00E1182B"/>
    <w:rsid w:val="00E13736"/>
    <w:rsid w:val="00E138D4"/>
    <w:rsid w:val="00E152D3"/>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D86"/>
    <w:rsid w:val="00E842F0"/>
    <w:rsid w:val="00E8524D"/>
    <w:rsid w:val="00E8595A"/>
    <w:rsid w:val="00E85AE0"/>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85C"/>
    <w:rsid w:val="00EE24C1"/>
    <w:rsid w:val="00EE475F"/>
    <w:rsid w:val="00EE48F5"/>
    <w:rsid w:val="00EE4D91"/>
    <w:rsid w:val="00EE688D"/>
    <w:rsid w:val="00EE779C"/>
    <w:rsid w:val="00EF1CC7"/>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5E88"/>
    <w:rsid w:val="00F06B81"/>
    <w:rsid w:val="00F07C59"/>
    <w:rsid w:val="00F10594"/>
    <w:rsid w:val="00F10D9B"/>
    <w:rsid w:val="00F10E95"/>
    <w:rsid w:val="00F11A82"/>
    <w:rsid w:val="00F1281B"/>
    <w:rsid w:val="00F14C34"/>
    <w:rsid w:val="00F14FA2"/>
    <w:rsid w:val="00F15CAE"/>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90"/>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099"/>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6E4E23"/>
  <w15:chartTrackingRefBased/>
  <w15:docId w15:val="{AB077DC3-B806-483B-96C1-F952E8F51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18647340">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380491">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3661073">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6791120">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075322">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7426468">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6915225">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0834568">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7160635">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294288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5710084">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3289350">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5598373">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lequotidiendupharmacien.fr/exercice-pro/justification-des-prescriptions-la-nouveaute-du-debut-de-lanne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portail.tessadoc.social.gouv.fr/recherche/viewnotice/clef/NOTEDINFORMATIONINTERMINISTERIELLENDGOSSDRHSSDGCS4B2024162DU30NOVEMBRE202-----2024-17/id/967790/" TargetMode="External"/><Relationship Id="rId63" Type="http://schemas.openxmlformats.org/officeDocument/2006/relationships/hyperlink" Target="https://www.legifrance.gouv.fr/jorf/id/JORFTEXT000050935068" TargetMode="External"/><Relationship Id="rId84" Type="http://schemas.openxmlformats.org/officeDocument/2006/relationships/hyperlink" Target="https://www.ordre.pharmacien.fr/les-communications/focus-sur/la-revue/tous-pharmaciens-la-revue-n-26-novembre-2024/sobriete-des-produits-de-sante-vers-une-necessaire-transition" TargetMode="External"/><Relationship Id="rId138" Type="http://schemas.openxmlformats.org/officeDocument/2006/relationships/hyperlink" Target="https://www.ameli.fr/pharmacien/actualites/fluoroquinolones-sensibiliser-les-patients-en-pharmacie-aux-effets-indesirables-potentiels" TargetMode="External"/><Relationship Id="rId159" Type="http://schemas.openxmlformats.org/officeDocument/2006/relationships/hyperlink" Target="https://www.infectiologie.com/UserFiles/File/groupe-atb/nl-bua-decembre-2024.pdf" TargetMode="External"/><Relationship Id="rId170" Type="http://schemas.openxmlformats.org/officeDocument/2006/relationships/hyperlink" Target="https://ansm.sante.fr/disponibilites-des-produits-de-sante/medicaments/fucithalmic-1-gel-ophtalmique-acide-fusidique" TargetMode="External"/><Relationship Id="rId107" Type="http://schemas.openxmlformats.org/officeDocument/2006/relationships/hyperlink" Target="https://www.ccomptes.fr/fr/publications/lacces-aux-etudes-de-sant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jorf/id/JORFTEXT000050731480" TargetMode="External"/><Relationship Id="rId53" Type="http://schemas.openxmlformats.org/officeDocument/2006/relationships/hyperlink" Target="https://www.legifrance.gouv.fr/jorf/id/JORFTEXT000050831182" TargetMode="External"/><Relationship Id="rId74" Type="http://schemas.openxmlformats.org/officeDocument/2006/relationships/hyperlink" Target="https://www.mayotte.gouv.fr/" TargetMode="External"/><Relationship Id="rId128" Type="http://schemas.openxmlformats.org/officeDocument/2006/relationships/hyperlink" Target="https://www.has-sante.fr/jcms/p_3573566/fr/ou-en-est-la-qualite-des-soins-en-france-en-2024" TargetMode="External"/><Relationship Id="rId149" Type="http://schemas.openxmlformats.org/officeDocument/2006/relationships/hyperlink" Target="https://drees.solidarites-sante.gouv.fr/communique-de-presse-jeux-de-donnees/jeux-de-donnees/241220_DATA_accessibilite-aux-soins" TargetMode="External"/><Relationship Id="rId5" Type="http://schemas.openxmlformats.org/officeDocument/2006/relationships/footnotes" Target="footnotes.xml"/><Relationship Id="rId95" Type="http://schemas.openxmlformats.org/officeDocument/2006/relationships/hyperlink" Target="https://sante.gouv.fr/IMG/pdf/rapport_au_parlement_article_51_2023.pdf" TargetMode="External"/><Relationship Id="rId160" Type="http://schemas.openxmlformats.org/officeDocument/2006/relationships/hyperlink" Target="https://ansm.sante.fr/disponibilites-des-produits-de-sante/medicaments" TargetMode="External"/><Relationship Id="rId181" Type="http://schemas.openxmlformats.org/officeDocument/2006/relationships/header" Target="header2.xm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50784919" TargetMode="External"/><Relationship Id="rId64" Type="http://schemas.openxmlformats.org/officeDocument/2006/relationships/hyperlink" Target="https://www.insee.fr/fr/statistiques/8290669" TargetMode="External"/><Relationship Id="rId118" Type="http://schemas.openxmlformats.org/officeDocument/2006/relationships/hyperlink" Target="https://www.has-sante.fr/jcms/p_3573125/fr/vaccination-contre-la-dengue-la-has-publie-ses-recommandations" TargetMode="External"/><Relationship Id="rId139" Type="http://schemas.openxmlformats.org/officeDocument/2006/relationships/hyperlink" Target="https://www.epi-phare.fr/rapports-detudes-et-publications/contraception-orale-progestative-meningiome-intracranien/" TargetMode="External"/><Relationship Id="rId85" Type="http://schemas.openxmlformats.org/officeDocument/2006/relationships/hyperlink" Target="https://www.ameli.fr/pharmacien/actualites/soins-ecoresponsables-de-nouveaux-memos-pour-favoriser-l-adoption-de-bonnes-pratiques" TargetMode="External"/><Relationship Id="rId150" Type="http://schemas.openxmlformats.org/officeDocument/2006/relationships/hyperlink" Target="https://www.hcsp.fr/Explore.cgi/avisrapportsdomaine?clefr=1410" TargetMode="External"/><Relationship Id="rId171" Type="http://schemas.openxmlformats.org/officeDocument/2006/relationships/hyperlink" Target="https://ansm.sante.fr/disponibilites-des-produits-de-sante/medicaments/atracurium-pfizer-10-mg-ml-solution-injectable-pour-perfusion-boite-de-5-ampoules-de-50-mg-5-ml-atracurium"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50731165" TargetMode="External"/><Relationship Id="rId108" Type="http://schemas.openxmlformats.org/officeDocument/2006/relationships/hyperlink" Target="https://www.lequotidiendupharmacien.fr/exercice-pro/etudes-formation-continue/lacces-direct-aux-etudes-de-pharmacie-des-la-sortie-du-bac-encourage-par-la-cour-des-comptes" TargetMode="External"/><Relationship Id="rId129" Type="http://schemas.openxmlformats.org/officeDocument/2006/relationships/hyperlink" Target="https://www.lequotidiendupharmacien.fr/exercice-pro/la-gestion-des-indus-lofficine-serait-elle-la-mission-de-trop" TargetMode="External"/><Relationship Id="rId54" Type="http://schemas.openxmlformats.org/officeDocument/2006/relationships/hyperlink" Target="https://www.legifrance.gouv.fr/jorf/id/JORFTEXT000050831185" TargetMode="External"/><Relationship Id="rId75" Type="http://schemas.openxmlformats.org/officeDocument/2006/relationships/hyperlink" Target="https://sante.gouv.fr/actualites/actualites-du-ministere/article/cyclone-chido-les-autorites-sanitaires-mobilisees-pour-la-sante-des-habitants" TargetMode="External"/><Relationship Id="rId96" Type="http://schemas.openxmlformats.org/officeDocument/2006/relationships/hyperlink" Target="https://www.ordre.pharmacien.fr/les-communications/focus-sur/les-actualites/radiation-de-l-ordre-des-pharmaciens-d-une-societe-et-d-un-titulaire-d-officine-suite-a-la-perte-de-leur-licence-d-exploitation" TargetMode="External"/><Relationship Id="rId140" Type="http://schemas.openxmlformats.org/officeDocument/2006/relationships/hyperlink" Target="https://ansm.sante.fr/actualites/de-nouvelles-donnees-sur-le-risque-de-meningiome-associe-a-la-prise-de-progestatifs-en-contraception-orale" TargetMode="External"/><Relationship Id="rId161" Type="http://schemas.openxmlformats.org/officeDocument/2006/relationships/hyperlink" Target="https://ansm.sante.fr/actualites/plan-hivernal-point-de-situation-sur-lapprovisionnement-de-certains-medicaments-majeurs-de-lhiver-1" TargetMode="External"/><Relationship Id="rId182" Type="http://schemas.openxmlformats.org/officeDocument/2006/relationships/footer" Target="footer1.xml"/><Relationship Id="rId6" Type="http://schemas.openxmlformats.org/officeDocument/2006/relationships/endnotes" Target="endnotes.xml"/><Relationship Id="rId23" Type="http://schemas.openxmlformats.org/officeDocument/2006/relationships/hyperlink" Target="https://peps.sante.gouv.fr/outils/guide_proced/guide.html" TargetMode="External"/><Relationship Id="rId119" Type="http://schemas.openxmlformats.org/officeDocument/2006/relationships/hyperlink" Target="https://peps.sante.gouv.fr/actu/2024/24_mmpia_antibioresistance-tdb-indicateurs_18122024.pdf" TargetMode="External"/><Relationship Id="rId44" Type="http://schemas.openxmlformats.org/officeDocument/2006/relationships/hyperlink" Target="https://www.ordre.pharmacien.fr/les-communications/focus-sur/les-actualites/dispensation-de-medicaments-suite-a-un-trod-a-l-officine-evolution-des-modalites-de-prise-en-charge-et-de-formation" TargetMode="External"/><Relationship Id="rId65" Type="http://schemas.openxmlformats.org/officeDocument/2006/relationships/hyperlink" Target="http://peps.intranet.sante.gouv.fr/actu/actualites.html" TargetMode="External"/><Relationship Id="rId86" Type="http://schemas.openxmlformats.org/officeDocument/2006/relationships/hyperlink" Target="https://www.dastri.fr/wp-content/uploads/2024/11/CP-DASTRI-Barometre-IFOP-VIH-et-DATAWIZ-2024.pdf" TargetMode="External"/><Relationship Id="rId130" Type="http://schemas.openxmlformats.org/officeDocument/2006/relationships/hyperlink" Target="https://ansm.sante.fr/actualites/lancement-dune-phase-pilote-proposant-une-notice-dematerialisee-et-enrichie-pour-une-meilleure-information-et-un-meilleur-usage-des-medicaments" TargetMode="External"/><Relationship Id="rId151" Type="http://schemas.openxmlformats.org/officeDocument/2006/relationships/hyperlink" Target="https://www.infectiologie.com/UserFiles/File/emergences/fiche-reb-lassa-dn-cc-sb-mj-sb3.pdf" TargetMode="External"/><Relationship Id="rId172" Type="http://schemas.openxmlformats.org/officeDocument/2006/relationships/hyperlink" Target="https://ansm.sante.fr/disponibilites-des-produits-de-sante/medicaments/vitamine-b12-gerda-1000-ug-4-ml-solution-injectable-im-et-buvable-cyanocobalamine" TargetMode="External"/><Relationship Id="rId13" Type="http://schemas.openxmlformats.org/officeDocument/2006/relationships/hyperlink" Target="https://peps.sante.gouv.fr/themes/subst_ven/subst.htm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0771378" TargetMode="External"/><Relationship Id="rId109" Type="http://schemas.openxmlformats.org/officeDocument/2006/relationships/hyperlink" Target="https://www.acadpharm.org/dos_public/COMMUNIQUE___RAPPORT_COUR_DES_COMPTES___VF.PDF" TargetMode="External"/><Relationship Id="rId34" Type="http://schemas.openxmlformats.org/officeDocument/2006/relationships/hyperlink" Target="https://www.legifrance.gouv.fr/jorf/id/JORFTEXT000050755280" TargetMode="External"/><Relationship Id="rId50" Type="http://schemas.openxmlformats.org/officeDocument/2006/relationships/hyperlink" Target="https://portail.tessadoc.social.gouv.fr/recherche/viewnotice/id/967914" TargetMode="External"/><Relationship Id="rId55" Type="http://schemas.openxmlformats.org/officeDocument/2006/relationships/hyperlink" Target="https://www.legifrance.gouv.fr/jorf/id/JORFTEXT000050831188" TargetMode="External"/><Relationship Id="rId76" Type="http://schemas.openxmlformats.org/officeDocument/2006/relationships/hyperlink" Target="https://www.interieur.gouv.fr/actualites/actualites-du-ministere/mayotte-apres-cyclone-chido-renforts-sont-a-loeuvre" TargetMode="External"/><Relationship Id="rId97" Type="http://schemas.openxmlformats.org/officeDocument/2006/relationships/hyperlink" Target="https://www.hcsp.fr/Explore.cgi/avisrapportsdomaine?clefr=1406" TargetMode="External"/><Relationship Id="rId104" Type="http://schemas.openxmlformats.org/officeDocument/2006/relationships/hyperlink" Target="https://www.anses.fr/fr/content/influenza-D-une-transmission-possible-des-bovins-aux-porcs" TargetMode="External"/><Relationship Id="rId120" Type="http://schemas.openxmlformats.org/officeDocument/2006/relationships/hyperlink" Target="https://peps.sante.gouv.fr/actu/2024/24_tdb-indicateurs_12122024.xlsx" TargetMode="External"/><Relationship Id="rId125" Type="http://schemas.openxmlformats.org/officeDocument/2006/relationships/hyperlink" Target="https://www.cpias-auvergnerhonealpes.fr/stoprisk-boite-outils-precautions-standard" TargetMode="External"/><Relationship Id="rId141" Type="http://schemas.openxmlformats.org/officeDocument/2006/relationships/hyperlink" Target="https://www.assurance-maladie.ameli.fr/presse/2024-12-19cpepi-phare-contraceptionoralerisquemeningiom" TargetMode="External"/><Relationship Id="rId146" Type="http://schemas.openxmlformats.org/officeDocument/2006/relationships/hyperlink" Target="https://peps.sante.gouv.fr/actu/2024/24_dgos_lancement-travaux-reorg-territoriale-pui_20122024.pdf" TargetMode="External"/><Relationship Id="rId167" Type="http://schemas.openxmlformats.org/officeDocument/2006/relationships/hyperlink" Target="https://ansm.sante.fr/disponibilites-des-produits-de-sante/medicaments/clarithromycine-50-mg-ml-granules-pour-suspension-buvable-clarithromycine" TargetMode="External"/><Relationship Id="rId188" Type="http://schemas.openxmlformats.org/officeDocument/2006/relationships/customXml" Target="../customXml/item1.xml"/><Relationship Id="rId7" Type="http://schemas.openxmlformats.org/officeDocument/2006/relationships/image" Target="media/image1.jpeg"/><Relationship Id="rId71" Type="http://schemas.openxmlformats.org/officeDocument/2006/relationships/hyperlink" Target="https://www.lemonde.fr/societe/article/2024/12/30/covid-19-l-enquete-sur-la-gestion-de-la-crise-sanitaire-par-le-gouvernement-est-close-aucune-mise-en-examen_6473743_3224.html" TargetMode="External"/><Relationship Id="rId92" Type="http://schemas.openxmlformats.org/officeDocument/2006/relationships/hyperlink" Target="https://www.has-sante.fr/jcms/p_3562976/fr/wegovy-semaglutide-obesite" TargetMode="External"/><Relationship Id="rId162" Type="http://schemas.openxmlformats.org/officeDocument/2006/relationships/hyperlink" Target="https://ansm.sante.fr/actualites/arret-de-commercialisation-de-lantiretroviral-fuzeon-enfuvirtide" TargetMode="External"/><Relationship Id="rId183" Type="http://schemas.openxmlformats.org/officeDocument/2006/relationships/footer" Target="footer2.xml"/><Relationship Id="rId2" Type="http://schemas.openxmlformats.org/officeDocument/2006/relationships/styles" Target="styles.xml"/><Relationship Id="rId29" Type="http://schemas.openxmlformats.org/officeDocument/2006/relationships/hyperlink" Target="https://www.legifrance.gouv.fr/jorf/id/JORFTEXT000050731463" TargetMode="External"/><Relationship Id="rId24" Type="http://schemas.openxmlformats.org/officeDocument/2006/relationships/hyperlink" Target="https://peps.sante.gouv.fr/textes_projets/projets.html" TargetMode="External"/><Relationship Id="rId40" Type="http://schemas.openxmlformats.org/officeDocument/2006/relationships/hyperlink" Target="https://www.legifrance.gouv.fr/jorf/id/JORFTEXT000050777441" TargetMode="External"/><Relationship Id="rId45" Type="http://schemas.openxmlformats.org/officeDocument/2006/relationships/hyperlink" Target="https://www.legifrance.gouv.fr/jorf/id/JORFTEXT000050785189" TargetMode="External"/><Relationship Id="rId66" Type="http://schemas.openxmlformats.org/officeDocument/2006/relationships/hyperlink" Target="https://peps.sante.gouv.fr/actu/ncov/actus_2019-ncov.html" TargetMode="External"/><Relationship Id="rId87" Type="http://schemas.openxmlformats.org/officeDocument/2006/relationships/hyperlink" Target="https://www.ordre-chirurgiens-dentistes.fr/actualites/pas-de-certibiocide/" TargetMode="External"/><Relationship Id="rId110" Type="http://schemas.openxmlformats.org/officeDocument/2006/relationships/hyperlink" Target="https://www.agence-biomedecine.fr/AMP-Vigilance-914" TargetMode="External"/><Relationship Id="rId115" Type="http://schemas.openxmlformats.org/officeDocument/2006/relationships/hyperlink" Target="https://ansm.sante.fr/actualites/topiramate-epitomax-et-generiques-evolution-des-conditions-de-prescription-et-de-delivrance-pour-ameliorer-lacces-aux-soins-des-femmes-souffrant-de-migraine" TargetMode="External"/><Relationship Id="rId131" Type="http://schemas.openxmlformats.org/officeDocument/2006/relationships/hyperlink" Target="https://www.lequotidiendupharmacien.fr/du-poliovirus-dans-les-eaux-usees-europeennes" TargetMode="External"/><Relationship Id="rId136" Type="http://schemas.openxmlformats.org/officeDocument/2006/relationships/hyperlink" Target="https://ansm.sante.fr/actualites/creation-dun-comite-scientifique-temporaire-pour-definir-les-conditions-de-la-substitution-des-medicaments-biosimilaires" TargetMode="External"/><Relationship Id="rId157" Type="http://schemas.openxmlformats.org/officeDocument/2006/relationships/hyperlink" Target="https://peps.sante.gouv.fr/actu/2024/24_ansm-urgent-2024-03_coloplast.pdf" TargetMode="External"/><Relationship Id="rId178" Type="http://schemas.openxmlformats.org/officeDocument/2006/relationships/hyperlink" Target="https://ansm.sante.fr/disponibilites-des-produits-de-sante/vaccins/repevax-suspension-injectable-en-seringue-preremplie-vaccin-diphterique-tetanique-coquelucheux-acellulaire-multicompose-et-poliomyelitique-inactive-adsorbe-a-teneur-reduite-en-antigene-s" TargetMode="External"/><Relationship Id="rId61" Type="http://schemas.openxmlformats.org/officeDocument/2006/relationships/hyperlink" Target="https://www.legifrance.gouv.fr/jorf/id/JORFTEXT000050873324" TargetMode="External"/><Relationship Id="rId82" Type="http://schemas.openxmlformats.org/officeDocument/2006/relationships/hyperlink" Target="https://peps.sante.gouv.fr/actu/actualites.html" TargetMode="External"/><Relationship Id="rId152" Type="http://schemas.openxmlformats.org/officeDocument/2006/relationships/hyperlink" Target="https://ansm.sante.fr/evenements/comite-dinterface-avec-les-representants-des-industries-du-medicament-medicaments-de-therapie-innovante-12" TargetMode="External"/><Relationship Id="rId173" Type="http://schemas.openxmlformats.org/officeDocument/2006/relationships/hyperlink" Target="https://ansm.sante.fr/disponibilites-des-produits-de-sante/medicaments/methylphenidate-arrow-lp-gelule-a-liberation-prolongee-methylphenidate-chlorhydrate-de" TargetMode="External"/><Relationship Id="rId19" Type="http://schemas.openxmlformats.org/officeDocument/2006/relationships/hyperlink" Target="https://peps.sante.gouv.fr/themes/subst_ven/subst.html"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legifrance.gouv.fr/jorf/id/JORFTEXT000050731415" TargetMode="External"/><Relationship Id="rId35" Type="http://schemas.openxmlformats.org/officeDocument/2006/relationships/hyperlink" Target="https://portail.tessadoc.social.gouv.fr/recherche/viewnotice/id/967798" TargetMode="External"/><Relationship Id="rId56" Type="http://schemas.openxmlformats.org/officeDocument/2006/relationships/hyperlink" Target="https://portail.tessadoc.social.gouv.fr/recherche/viewnotice/id/967946" TargetMode="External"/><Relationship Id="rId77" Type="http://schemas.openxmlformats.org/officeDocument/2006/relationships/hyperlink" Target="https://www.infectiologie.com/UserFiles/File/groupe-prevention/conseils-sanitaires-volontaires-mayotte-dec2024.pdf" TargetMode="External"/><Relationship Id="rId100" Type="http://schemas.openxmlformats.org/officeDocument/2006/relationships/hyperlink" Target="https://ansm.sante.fr/actualites/retour-dinformation-sur-le-prac-de-decembre-2024-25-28-novembre" TargetMode="External"/><Relationship Id="rId105" Type="http://schemas.openxmlformats.org/officeDocument/2006/relationships/hyperlink" Target="https://www.ameli.fr/assure/actualites/epidemie-de-bronchiolite-les-traitements-preventifs-pour-proteger-les-tout-petits" TargetMode="External"/><Relationship Id="rId126" Type="http://schemas.openxmlformats.org/officeDocument/2006/relationships/hyperlink" Target="https://www.has-sante.fr/jcms/p_3563493/fr/flash-securite-patient-effet-tunnel-en-sante-l-appel-a-un-ami-peut-sauver-des-vies" TargetMode="External"/><Relationship Id="rId147" Type="http://schemas.openxmlformats.org/officeDocument/2006/relationships/hyperlink" Target="https://peps.sante.gouv.fr/actu/2024/24_dgos_lancement-travaux-reorg-territoriale-pui-pj_20122024.pptx" TargetMode="External"/><Relationship Id="rId168" Type="http://schemas.openxmlformats.org/officeDocument/2006/relationships/hyperlink" Target="https://ansm.sante.fr/disponibilites-des-produits-de-sante/medicaments/clarithromycine-arrow-25-mg-ml-granules-pour-suspension-buvable-clarithromycine" TargetMode="External"/><Relationship Id="rId8" Type="http://schemas.openxmlformats.org/officeDocument/2006/relationships/image" Target="media/image2.png"/><Relationship Id="rId51" Type="http://schemas.openxmlformats.org/officeDocument/2006/relationships/hyperlink" Target="https://www.legifrance.gouv.fr/jorf/id/JORFTEXT000050831175" TargetMode="External"/><Relationship Id="rId72" Type="http://schemas.openxmlformats.org/officeDocument/2006/relationships/hyperlink" Target="https://www.francetvinfo.fr/meteo/cyclone-ouragan/cyclone-chido-a-mayotte/c" TargetMode="External"/><Relationship Id="rId93" Type="http://schemas.openxmlformats.org/officeDocument/2006/relationships/hyperlink" Target="https://peps.sante.gouv.fr/actu/2024/24_corruss_dosage-hbco-oxymetre_05122024.pdf" TargetMode="External"/><Relationship Id="rId98" Type="http://schemas.openxmlformats.org/officeDocument/2006/relationships/hyperlink" Target="https://www.pasteur.fr/fr/espace-presse/documents-presse/mutations-resistance-au-nirsevimab-apparaissent-rarement-virus-respiratoire-syncytial-vrs" TargetMode="External"/><Relationship Id="rId121" Type="http://schemas.openxmlformats.org/officeDocument/2006/relationships/hyperlink" Target="https://peps.sante.gouv.fr/actu/2024/24_commandes-trod_2021-2023.xlsx" TargetMode="External"/><Relationship Id="rId142" Type="http://schemas.openxmlformats.org/officeDocument/2006/relationships/hyperlink" Target="https://sante.gouv.fr/actualites/presse/communiques-de-presse/article/vaccination-de-nouvelles-obligations-a-partir-du-1er-janvier-2025-pour-proteger" TargetMode="External"/><Relationship Id="rId163" Type="http://schemas.openxmlformats.org/officeDocument/2006/relationships/hyperlink" Target="https://ansm.sante.fr/disponibilites-des-produits-de-sante/dispositifs-medicaux/divers-dispositifs-durologie-dont-sondes-de-foley-sondes-prostatiques-bougies-uretrales-laboratoires-coloplast" TargetMode="External"/><Relationship Id="rId184" Type="http://schemas.openxmlformats.org/officeDocument/2006/relationships/header" Target="header3.xml"/><Relationship Id="rId189" Type="http://schemas.openxmlformats.org/officeDocument/2006/relationships/customXml" Target="../customXml/item2.xml"/><Relationship Id="rId3" Type="http://schemas.openxmlformats.org/officeDocument/2006/relationships/settings" Target="settings.xml"/><Relationship Id="rId25" Type="http://schemas.openxmlformats.org/officeDocument/2006/relationships/hyperlink" Target="https://peps.sante.gouv.fr/outils/docu/texto.xlsm" TargetMode="External"/><Relationship Id="rId46" Type="http://schemas.openxmlformats.org/officeDocument/2006/relationships/hyperlink" Target="https://ansm.sante.fr/actualites/decision-du-18-12-2024-portant-exoneration-a-la-reglementation-des-substances-veneneuses-destinees-a-la-medecine-humaine" TargetMode="External"/><Relationship Id="rId67" Type="http://schemas.openxmlformats.org/officeDocument/2006/relationships/hyperlink" Target="https://www.legifrance.gouv.fr/jorf/id/JORFTEXT000050731158" TargetMode="External"/><Relationship Id="rId116" Type="http://schemas.openxmlformats.org/officeDocument/2006/relationships/hyperlink" Target="https://ansm.sante.fr/actualites/contraception-orale-et-risque-de-meningiome-nous-creons-un-comite-dexpert" TargetMode="External"/><Relationship Id="rId137" Type="http://schemas.openxmlformats.org/officeDocument/2006/relationships/hyperlink" Target="https://ansm.sante.fr/actualites/avis-de-lansm-en-date-du-26-11-2024-les-conditions-de-mise-en-oeuvre-de-la-substitution-au-sein-des-groupes-biologiques-similaires-teriparatide-etanercept-et-adalimumab" TargetMode="External"/><Relationship Id="rId158" Type="http://schemas.openxmlformats.org/officeDocument/2006/relationships/hyperlink" Target="https://peps.sante.gouv.fr/actu/2024/24_mars-ansm_coloplast_26122024.pdf"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0777445" TargetMode="External"/><Relationship Id="rId62" Type="http://schemas.openxmlformats.org/officeDocument/2006/relationships/hyperlink" Target="https://www.legifrance.gouv.fr/jorf/id/JORFTEXT000050871356" TargetMode="External"/><Relationship Id="rId83" Type="http://schemas.openxmlformats.org/officeDocument/2006/relationships/hyperlink" Target="https://www.sdbio.eu/actualites/fil-d-infos/ebmd-le-sdbio-propose-la-redaction-d-un-nouvel-arrete-encadrant-les-examens-de-biologie-delocalises" TargetMode="External"/><Relationship Id="rId88" Type="http://schemas.openxmlformats.org/officeDocument/2006/relationships/hyperlink" Target="https://drees.solidarites-sante.gouv.fr/communique-de-presse-jeux-de-donnees/241202_Data_professionnels-de-sante-1er-janvier-2024" TargetMode="External"/><Relationship Id="rId111" Type="http://schemas.openxmlformats.org/officeDocument/2006/relationships/hyperlink" Target="https://www.ordre.pharmacien.fr/les-communications/focus-sur/les-actualites/activite-vaccinale-des-pharmaciens-quatre-nouveaux-textes-publies" TargetMode="External"/><Relationship Id="rId132" Type="http://schemas.openxmlformats.org/officeDocument/2006/relationships/hyperlink" Target="https://www.anses.fr/fr/content/enrichir-la-farine-en-acide-folique-une-solution-contre-les-malformations-du-tube-neural" TargetMode="External"/><Relationship Id="rId153" Type="http://schemas.openxmlformats.org/officeDocument/2006/relationships/hyperlink" Target="https://www.has-sante.fr/jcms/p_3573729/fr/interet-des-techniques-d-amplification-des-acides-nucleiques-taan-multiplex-dans-la-prise-en-charge-medicale-des-infections-respiratoires-basses" TargetMode="External"/><Relationship Id="rId174" Type="http://schemas.openxmlformats.org/officeDocument/2006/relationships/hyperlink" Target="https://ansm.sante.fr/disponibilites-des-produits-de-sante/medicaments/vitamine-b12-delagrange-1000-microgrammes-2-ml-solution-injectable-im-et-buvable-cyanocobalamine" TargetMode="External"/><Relationship Id="rId179" Type="http://schemas.openxmlformats.org/officeDocument/2006/relationships/hyperlink" Target="https://ansm.sante.fr/disponibilites-des-produits-de-sante/medicaments/fluorouracile-teva-50-mg-ml-solution-a-diluer-pour-perfusion-flacon-de-100-ml-fluorouracile" TargetMode="External"/><Relationship Id="rId190" Type="http://schemas.openxmlformats.org/officeDocument/2006/relationships/customXml" Target="../customXml/item3.xml"/><Relationship Id="rId15" Type="http://schemas.openxmlformats.org/officeDocument/2006/relationships/hyperlink" Target="https://peps.sante.gouv.fr/themes/subst_ven/subst.html" TargetMode="External"/><Relationship Id="rId36" Type="http://schemas.openxmlformats.org/officeDocument/2006/relationships/hyperlink" Target="https://ansm.sante.fr/actualites/decision-du-09-12-2024-portant-radiation-et-inscription-sur-les-listes-i-et-ii-des-substances-veneneuses-definies-a-larticle-l-5132-6-du-code-de-la-sante-publique" TargetMode="External"/><Relationship Id="rId57" Type="http://schemas.openxmlformats.org/officeDocument/2006/relationships/hyperlink" Target="https://www.legifrance.gouv.fr/jorf/id/JORFTEXT000050934936" TargetMode="External"/><Relationship Id="rId106" Type="http://schemas.openxmlformats.org/officeDocument/2006/relationships/hyperlink" Target="https://www.anses.fr/fr/content/produits-de-protection-solaire-mieux-informer-les-consommateurs-pour-une-meilleure-protection" TargetMode="External"/><Relationship Id="rId127" Type="http://schemas.openxmlformats.org/officeDocument/2006/relationships/hyperlink" Target="https://www.has-sante.fr/upload/docs/application/pdf/2024-12/fsp_effet_tunnel.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0731183" TargetMode="External"/><Relationship Id="rId52" Type="http://schemas.openxmlformats.org/officeDocument/2006/relationships/hyperlink" Target="https://www.legifrance.gouv.fr/jorf/id/JORFTEXT000050831179" TargetMode="External"/><Relationship Id="rId73" Type="http://schemas.openxmlformats.org/officeDocument/2006/relationships/hyperlink" Target="https://www.francetvinfo.fr/meteo/cyclone-ouragan/cyclone-chido-a-mayotte/cartes-cyclone-chido-a-mayotte-plus-de-la-moitie-des-batiments-sont-detruits-ou-endommages-dans-le-nord-est-de-l-archipel_6962567.html" TargetMode="External"/><Relationship Id="rId78" Type="http://schemas.openxmlformats.org/officeDocument/2006/relationships/hyperlink" Target="https://www.lemoniteurdespharmacies.fr/profession/socio-professionnel/a-mayotte-il-y-a-urgence-pour-les-pharmacies" TargetMode="External"/><Relationship Id="rId94" Type="http://schemas.openxmlformats.org/officeDocument/2006/relationships/hyperlink" Target="https://sante.gouv.fr/systeme-de-sante/parcours-des-patients-et-des-usagers/article-51-lfss-2018-innovations-organisationnelles-pour-la-transformation-du/article-51" TargetMode="External"/><Relationship Id="rId99" Type="http://schemas.openxmlformats.org/officeDocument/2006/relationships/hyperlink" Target="https://uspo.fr/serialisation-972-pharmacies-encore-non-actives-sur-france-mvo/" TargetMode="External"/><Relationship Id="rId101" Type="http://schemas.openxmlformats.org/officeDocument/2006/relationships/hyperlink" Target="https://www.strategie.gouv.fr/publications/travailler-fonction-publique-defi-de-lattractivite" TargetMode="External"/><Relationship Id="rId122" Type="http://schemas.openxmlformats.org/officeDocument/2006/relationships/hyperlink" Target="https://www.lequotidiendupharmacien.fr/exercice-pro/la-josamycine-et-lazithromycine-retirees-de-la-liste-des-antibiotiques-pouvant-etre-delivres-apres" TargetMode="External"/><Relationship Id="rId143" Type="http://schemas.openxmlformats.org/officeDocument/2006/relationships/hyperlink" Target="https://sante.gouv.fr/actualites/presse/communiques-de-presse/article/vaccination-de-nouvelles-obligations-a-partir-du-1er-janvier-2025-pour-proteger" TargetMode="External"/><Relationship Id="rId148" Type="http://schemas.openxmlformats.org/officeDocument/2006/relationships/hyperlink" Target="https://ansm.sante.fr/informations-de-securite/alofisel-darvadstrocel-retrait-du-marche-de-lunion-europeenne-en-raison-de-labsence-de-demonstration-dun-benefice-clinique-suffisant-justifiant-le-maintien-de-son-utilisation" TargetMode="External"/><Relationship Id="rId164" Type="http://schemas.openxmlformats.org/officeDocument/2006/relationships/hyperlink" Target="https://ansm.sante.fr/informations-de-securite/sondes-durologie-diverses-references-laboratoires-coloplast" TargetMode="External"/><Relationship Id="rId169" Type="http://schemas.openxmlformats.org/officeDocument/2006/relationships/hyperlink" Target="https://ansm.sante.fr/disponibilites-des-produits-de-sante/medicaments/rythmodan-250-mg-a-liberation-prolongee-comprime-enrobe-disopyramide-phosphate-de" TargetMode="External"/><Relationship Id="rId185"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eader" Target="header1.xml"/><Relationship Id="rId26" Type="http://schemas.openxmlformats.org/officeDocument/2006/relationships/hyperlink" Target="https://www.legifrance.gouv.fr/jorf/id/JORFTEXT000050730050" TargetMode="External"/><Relationship Id="rId47" Type="http://schemas.openxmlformats.org/officeDocument/2006/relationships/hyperlink" Target="https://www.legifrance.gouv.fr/jorf/id/JORFTEXT000050805280" TargetMode="External"/><Relationship Id="rId68" Type="http://schemas.openxmlformats.org/officeDocument/2006/relationships/hyperlink" Target="https://www.pasteur.fr/fr/journal-recherche/actualites/lecons-crise-covid-agir-tot-identifier-vite-surveiller-impact-mieux-proteger" TargetMode="External"/><Relationship Id="rId89" Type="http://schemas.openxmlformats.org/officeDocument/2006/relationships/hyperlink" Target="https://www.ordre.pharmacien.fr/les-communications/focus-sur/les-actualites/dispensation-supplementaire-exceptionnelle-de-medicaments-et-de-dm-par-le-pharmacien-d-officine-dans-la-limite-de-3-mois-decret-publie" TargetMode="External"/><Relationship Id="rId112" Type="http://schemas.openxmlformats.org/officeDocument/2006/relationships/hyperlink" Target="https://ansm.sante.fr/actualites/valproate-et-derives-carbamazepine-et-topiramate-les-conditions-de-prescription-et-de-delivrance-evoluent" TargetMode="External"/><Relationship Id="rId133" Type="http://schemas.openxmlformats.org/officeDocument/2006/relationships/hyperlink" Target="https://www.anses.fr/fr/content/huiles-essentielles-risques-et-precautions" TargetMode="External"/><Relationship Id="rId154" Type="http://schemas.openxmlformats.org/officeDocument/2006/relationships/hyperlink" Target="https://www.santepubliquefrance.fr/maladies-et-traumatismes/maladies-infectieuses-d-origine-alimentaire/gastro-enterites-aigues/documents/bulletin-national/gastro-enterites-aigues.-bulletin-du-26-decembre-2024" TargetMode="External"/><Relationship Id="rId175" Type="http://schemas.openxmlformats.org/officeDocument/2006/relationships/hyperlink" Target="https://ansm.sante.fr/disponibilites-des-produits-de-sante/medicaments/heparine-calcique-panpharma-25-000-ui-ml-solution-injectable-en-seringue-pre-remplie-s-c-de-0-2-ml-0-3-ml-et-solution-injectable-en-ampoule-0-5-ml-heparine-calcique" TargetMode="External"/><Relationship Id="rId16" Type="http://schemas.openxmlformats.org/officeDocument/2006/relationships/hyperlink" Target="https://peps.sante.gouv.fr/themes/subst_ven/subst.html" TargetMode="External"/><Relationship Id="rId37" Type="http://schemas.openxmlformats.org/officeDocument/2006/relationships/hyperlink" Target="https://ansm.sante.fr/actualites/rhume-ordonnance-obligatoire-pour-toute-dispensation-de-medicament-a-base-de-pseudoephedrine" TargetMode="External"/><Relationship Id="rId58" Type="http://schemas.openxmlformats.org/officeDocument/2006/relationships/hyperlink" Target="https://www.legifrance.gouv.fr/jorf/id/JORFTEXT000050872181" TargetMode="External"/><Relationship Id="rId79" Type="http://schemas.openxmlformats.org/officeDocument/2006/relationships/hyperlink" Target="https://www.legifrance.gouv.fr/jorf/id/JORFTEXT000050793874" TargetMode="External"/><Relationship Id="rId102" Type="http://schemas.openxmlformats.org/officeDocument/2006/relationships/hyperlink" Target="https://sante.gouv.fr/actualites/actualites-du-ministere/article/utilisation-des-stocks-sanitaires-europeens-resceu-en-soutien-d-une-gestion" TargetMode="External"/><Relationship Id="rId123" Type="http://schemas.openxmlformats.org/officeDocument/2006/relationships/hyperlink" Target="https://pubmed.ncbi.nlm.nih.gov/39523475/" TargetMode="External"/><Relationship Id="rId144" Type="http://schemas.openxmlformats.org/officeDocument/2006/relationships/hyperlink" Target="https://www.ameli.fr/laboratoire-d-analyses-medicales/actualites/signature-d-un-accord-entre-l-assurance-maladie-et-3-syndicats-de-biologistes-medicaux" TargetMode="External"/><Relationship Id="rId90" Type="http://schemas.openxmlformats.org/officeDocument/2006/relationships/hyperlink" Target="https://www.ordre.pharmacien.fr/mediatheque/fichiers/communiques-de-presse/cp-lancement-officiel-d-une-campagne-d-information-nationale-contre-la-soumission-chimique" TargetMode="External"/><Relationship Id="rId165" Type="http://schemas.openxmlformats.org/officeDocument/2006/relationships/hyperlink" Target="https://ansm.sante.fr/actualites/fibrinogene-humain-lansm-a-elabore-un-guide-pratique-pour-favoriser-le-bon-usage-des-produits-disponibles" TargetMode="External"/><Relationship Id="rId186" Type="http://schemas.openxmlformats.org/officeDocument/2006/relationships/fontTable" Target="fontTable.xml"/><Relationship Id="rId27" Type="http://schemas.openxmlformats.org/officeDocument/2006/relationships/hyperlink" Target="https://www.legifrance.gouv.fr/jorf/id/JORFTEXT000050731158" TargetMode="External"/><Relationship Id="rId48" Type="http://schemas.openxmlformats.org/officeDocument/2006/relationships/hyperlink" Target="https://www.legifrance.gouv.fr/jorf/id/JORFTEXT000050805349" TargetMode="External"/><Relationship Id="rId69" Type="http://schemas.openxmlformats.org/officeDocument/2006/relationships/hyperlink" Target="http://beh.santepubliquefrance.fr/beh/2024/25/2024_25_2.html" TargetMode="External"/><Relationship Id="rId113" Type="http://schemas.openxmlformats.org/officeDocument/2006/relationships/hyperlink" Target="https://ansm.sante.fr/actualites/valproate-et-risques-pour-lenfant-a-naitre-les-conditions-de-prescription-et-de-delivrance-evoluent-pour-les-adolescents-et-les-hommes-susceptibles-davoir-des-enfants" TargetMode="External"/><Relationship Id="rId134" Type="http://schemas.openxmlformats.org/officeDocument/2006/relationships/hyperlink" Target="https://www.pasteur.fr/fr/journal-recherche/actualites/vaccination-rend-elle-moins-virulente-bacterie-causant-coqueluche" TargetMode="External"/><Relationship Id="rId80" Type="http://schemas.openxmlformats.org/officeDocument/2006/relationships/hyperlink" Target="https://www.legifrance.gouv.fr/jorf/id/JORFTEXT000050793673" TargetMode="External"/><Relationship Id="rId155" Type="http://schemas.openxmlformats.org/officeDocument/2006/relationships/hyperlink" Target="https://ansm.sante.fr/actualites/creation-dun-comite-scientifique-temporaire-pour-definir-les-conditions-de-la-substitution-des-medicaments-biosimilaires" TargetMode="External"/><Relationship Id="rId176" Type="http://schemas.openxmlformats.org/officeDocument/2006/relationships/hyperlink" Target="https://ansm.sante.fr/disponibilites-des-produits-de-sante/medicaments/concerta-lp-comprime-a-liberation-prolongee-methylphenidate-chlorhydrate-de" TargetMode="Externa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jorf/id/JORFTEXT000050763956" TargetMode="External"/><Relationship Id="rId59" Type="http://schemas.openxmlformats.org/officeDocument/2006/relationships/hyperlink" Target="https://www.legifrance.gouv.fr/jorf/id/JORFTEXT000050871487" TargetMode="External"/><Relationship Id="rId103" Type="http://schemas.openxmlformats.org/officeDocument/2006/relationships/hyperlink" Target="https://www.hcsp.fr/Explore.cgi/avisrapportsdomaine?clefr=1408" TargetMode="External"/><Relationship Id="rId124" Type="http://schemas.openxmlformats.org/officeDocument/2006/relationships/hyperlink" Target="https://academic.oup.com/jac/advance-article/doi/10.1093/jac/dkae400/7889089" TargetMode="External"/><Relationship Id="rId70" Type="http://schemas.openxmlformats.org/officeDocument/2006/relationships/hyperlink" Target="https://www.lemonde.fr/sante/article/2024/12/17/covid-19-une-etude-fondatrice-defendue-par-didier-raoult-sur-l-usage-de-l-hydroxychloroquine-invalidee_6453981_1651302.html" TargetMode="External"/><Relationship Id="rId91" Type="http://schemas.openxmlformats.org/officeDocument/2006/relationships/hyperlink" Target="https://www.ameli.fr/pharmacien/actualites/prescription-des-medicaments-opioides-de-nouvelles-regles-de-prescription-partir-de-mars-2025" TargetMode="External"/><Relationship Id="rId145" Type="http://schemas.openxmlformats.org/officeDocument/2006/relationships/hyperlink" Target="https://www.sdbio.eu/component/acym/archive/2236-sdbio-communique-20-12-2024-signature-d-un-accord-pour-stabiliser-la-trajectoire-economique-des-laboratoires-de-biologie-medicale-pendant-deux-ans" TargetMode="External"/><Relationship Id="rId166" Type="http://schemas.openxmlformats.org/officeDocument/2006/relationships/hyperlink" Target="https://ansm.sante.fr/disponibilites-des-produits-de-sante/medicaments/tcaps-62-5-microgrammes-capsule-molle-levothyroxine"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www.legifrance.gouv.fr/jorf/id/JORFTEXT000050731441" TargetMode="External"/><Relationship Id="rId49" Type="http://schemas.openxmlformats.org/officeDocument/2006/relationships/hyperlink" Target="https://www.insee.fr/fr/statistiques/8290669" TargetMode="External"/><Relationship Id="rId114" Type="http://schemas.openxmlformats.org/officeDocument/2006/relationships/hyperlink" Target="https://ansm.sante.fr/actualites/carbamazepine-et-grossesse-renforcement-de-linformation-des-femmes-pour-les-sensibiliser-aux-risques-encourus-par-les-enfants-a-naitre" TargetMode="External"/><Relationship Id="rId60" Type="http://schemas.openxmlformats.org/officeDocument/2006/relationships/hyperlink" Target="https://www.legifrance.gouv.fr/jorf/id/JORFTEXT000050872385" TargetMode="External"/><Relationship Id="rId81" Type="http://schemas.openxmlformats.org/officeDocument/2006/relationships/hyperlink" Target="http://peps.intranet.sante.gouv.fr/actu/actualites.html" TargetMode="External"/><Relationship Id="rId135" Type="http://schemas.openxmlformats.org/officeDocument/2006/relationships/hyperlink" Target="https://www.preventioninfection.fr/actualites/certibiocide-une-formation-encadree-pour-un-usage-raisonne-des-produits-biocides/" TargetMode="External"/><Relationship Id="rId156" Type="http://schemas.openxmlformats.org/officeDocument/2006/relationships/hyperlink" Target="https://peps.sante.gouv.fr/actu/2024/24_corruss_message-ansm-urgent-coloplast_26122024.pdf" TargetMode="External"/><Relationship Id="rId177" Type="http://schemas.openxmlformats.org/officeDocument/2006/relationships/hyperlink" Target="https://ansm.sante.fr/disponibilites-des-produits-de-sante/vaccins/boostrixtetra-suspension-injectable-en-seringue-preremplie-vaccin-diphterique-tetanique-coquelucheux-acellulaire-multicompose-et-poliomyelitique-inactive-adsorbe-a-teneur-reduite-en-antigen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06D5BC-EF60-443D-8206-D00FCEF4D04D}"/>
</file>

<file path=customXml/itemProps2.xml><?xml version="1.0" encoding="utf-8"?>
<ds:datastoreItem xmlns:ds="http://schemas.openxmlformats.org/officeDocument/2006/customXml" ds:itemID="{4C7837D6-82ED-46B6-AC95-FE4E4D6D9B07}"/>
</file>

<file path=customXml/itemProps3.xml><?xml version="1.0" encoding="utf-8"?>
<ds:datastoreItem xmlns:ds="http://schemas.openxmlformats.org/officeDocument/2006/customXml" ds:itemID="{9492BF88-DCA6-4998-BBBE-0BB7267033DE}"/>
</file>

<file path=docProps/app.xml><?xml version="1.0" encoding="utf-8"?>
<Properties xmlns="http://schemas.openxmlformats.org/officeDocument/2006/extended-properties" xmlns:vt="http://schemas.openxmlformats.org/officeDocument/2006/docPropsVTypes">
  <Template>mois-xx.dotx</Template>
  <TotalTime>7386</TotalTime>
  <Pages>25</Pages>
  <Words>12011</Words>
  <Characters>105915</Characters>
  <Application>Microsoft Office Word</Application>
  <DocSecurity>0</DocSecurity>
  <Lines>882</Lines>
  <Paragraphs>235</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117691</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52</cp:revision>
  <cp:lastPrinted>2018-11-02T10:29:00Z</cp:lastPrinted>
  <dcterms:created xsi:type="dcterms:W3CDTF">2024-11-29T09:54:00Z</dcterms:created>
  <dcterms:modified xsi:type="dcterms:W3CDTF">2025-01-02T13:32:00Z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