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35E52" w14:textId="77777777" w:rsidR="00C30F6C" w:rsidRDefault="00072D49">
      <w:r>
        <w:rPr>
          <w:noProof/>
        </w:rPr>
        <w:drawing>
          <wp:anchor distT="0" distB="0" distL="114300" distR="114300" simplePos="0" relativeHeight="251657728" behindDoc="1" locked="0" layoutInCell="1" allowOverlap="1" wp14:anchorId="24909864" wp14:editId="5A3307CC">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362091" w14:textId="77777777" w:rsidR="00C30F6C" w:rsidRDefault="00C30F6C"/>
    <w:p w14:paraId="2F8C3E08" w14:textId="77777777" w:rsidR="00C30F6C" w:rsidRDefault="00C30F6C"/>
    <w:p w14:paraId="32348D34" w14:textId="77777777" w:rsidR="00C30F6C" w:rsidRDefault="00C30F6C">
      <w:pPr>
        <w:rPr>
          <w:noProof/>
        </w:rPr>
      </w:pPr>
    </w:p>
    <w:p w14:paraId="2519C4A1" w14:textId="77777777" w:rsidR="00AC1EE8" w:rsidRDefault="00AC1EE8"/>
    <w:p w14:paraId="68992BED" w14:textId="77777777" w:rsidR="00C30F6C" w:rsidRDefault="00C30F6C"/>
    <w:p w14:paraId="57372253" w14:textId="77777777" w:rsidR="00C30F6C" w:rsidRDefault="00C30F6C"/>
    <w:p w14:paraId="792CB453" w14:textId="77777777" w:rsidR="00C30F6C" w:rsidRDefault="00C30F6C"/>
    <w:p w14:paraId="430EBCC1" w14:textId="77777777" w:rsidR="00C30F6C" w:rsidRDefault="00C30F6C"/>
    <w:p w14:paraId="276C0178" w14:textId="77777777" w:rsidR="00C30F6C" w:rsidRDefault="00C30F6C"/>
    <w:p w14:paraId="75812BC3" w14:textId="77777777" w:rsidR="00C30F6C" w:rsidRDefault="00C30F6C"/>
    <w:p w14:paraId="7778C981" w14:textId="77777777" w:rsidR="00C30F6C" w:rsidRDefault="00C30F6C"/>
    <w:p w14:paraId="6FD748D4" w14:textId="77777777" w:rsidR="00AC1EE8" w:rsidRDefault="00072D49">
      <w:r>
        <w:rPr>
          <w:noProof/>
        </w:rPr>
        <mc:AlternateContent>
          <mc:Choice Requires="wps">
            <w:drawing>
              <wp:anchor distT="0" distB="0" distL="114300" distR="114300" simplePos="0" relativeHeight="251656704" behindDoc="0" locked="0" layoutInCell="0" allowOverlap="1" wp14:anchorId="72BF0448" wp14:editId="251442EE">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C4357C"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66449CA1" w14:textId="7BDE412C" w:rsidR="004568FE" w:rsidRPr="00624158" w:rsidRDefault="002508E9"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DECEMBRE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7139AA5F"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2BF0448"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34C4357C"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66449CA1" w14:textId="7BDE412C" w:rsidR="004568FE" w:rsidRPr="00624158" w:rsidRDefault="002508E9"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DECEMBRE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7139AA5F"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3111EDAB" w14:textId="77777777" w:rsidR="00665ACB" w:rsidRDefault="00665ACB" w:rsidP="00AC1EE8">
      <w:pPr>
        <w:pStyle w:val="Default"/>
        <w:jc w:val="both"/>
        <w:rPr>
          <w:color w:val="FF0000"/>
        </w:rPr>
      </w:pPr>
    </w:p>
    <w:p w14:paraId="17D78E51" w14:textId="77777777" w:rsidR="00665ACB" w:rsidRDefault="00665ACB" w:rsidP="00AC1EE8">
      <w:pPr>
        <w:pStyle w:val="Default"/>
        <w:jc w:val="both"/>
        <w:rPr>
          <w:color w:val="FF0000"/>
        </w:rPr>
      </w:pPr>
    </w:p>
    <w:p w14:paraId="437B810F" w14:textId="77777777" w:rsidR="00665ACB" w:rsidRDefault="00665ACB" w:rsidP="00AC1EE8">
      <w:pPr>
        <w:pStyle w:val="Default"/>
        <w:jc w:val="both"/>
        <w:rPr>
          <w:color w:val="FF0000"/>
        </w:rPr>
      </w:pPr>
    </w:p>
    <w:p w14:paraId="7412E8CC" w14:textId="77777777" w:rsidR="00DD6865" w:rsidRDefault="00DD6865" w:rsidP="00AC1EE8">
      <w:pPr>
        <w:pStyle w:val="Default"/>
        <w:jc w:val="both"/>
        <w:rPr>
          <w:color w:val="FF0000"/>
        </w:rPr>
      </w:pPr>
    </w:p>
    <w:p w14:paraId="1479DDD6" w14:textId="77777777" w:rsidR="00DD6865" w:rsidRDefault="00DD6865" w:rsidP="00AC1EE8">
      <w:pPr>
        <w:pStyle w:val="Default"/>
        <w:jc w:val="both"/>
        <w:rPr>
          <w:color w:val="FF0000"/>
        </w:rPr>
      </w:pPr>
    </w:p>
    <w:p w14:paraId="22401ACF"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15587935" wp14:editId="7E2EAA6F">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51364B"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169C8C7A" w14:textId="77777777" w:rsidR="00EC7CB4" w:rsidRDefault="00EC7CB4" w:rsidP="004568FE">
      <w:pPr>
        <w:pStyle w:val="Default"/>
        <w:jc w:val="both"/>
        <w:rPr>
          <w:color w:val="FF0000"/>
        </w:rPr>
      </w:pPr>
    </w:p>
    <w:p w14:paraId="0DCB0504" w14:textId="4531105F" w:rsidR="00AA6C21" w:rsidRPr="00F24AA7" w:rsidRDefault="00AA6C21" w:rsidP="00AA6C21">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LBM</w:t>
      </w:r>
    </w:p>
    <w:p w14:paraId="408C10E4" w14:textId="093195C8" w:rsidR="00AA6C21" w:rsidRDefault="00AA6C21" w:rsidP="00AA6C21">
      <w:pPr>
        <w:pStyle w:val="Default"/>
        <w:jc w:val="both"/>
        <w:rPr>
          <w:color w:val="538135"/>
          <w:sz w:val="20"/>
        </w:rPr>
      </w:pPr>
      <w:r>
        <w:rPr>
          <w:rStyle w:val="Lienhypertexte"/>
        </w:rPr>
        <w:fldChar w:fldCharType="end"/>
      </w:r>
      <w:r>
        <w:rPr>
          <w:color w:val="538135"/>
          <w:sz w:val="20"/>
        </w:rPr>
        <w:t xml:space="preserve">- </w:t>
      </w:r>
      <w:r w:rsidRPr="00AA6C21">
        <w:rPr>
          <w:color w:val="538135"/>
          <w:sz w:val="20"/>
        </w:rPr>
        <w:t>NOTE D'INFORMATION N° DGS/PP1/2022/53 du 24 février 2022 relative à la mise en œuvre de la télé-déclaration d'activité annuelle des laboratoires de biologie médicale pour l'année 2021 et à l’évolution prochaine de cette télé-déclaration</w:t>
      </w:r>
      <w:r>
        <w:rPr>
          <w:color w:val="538135"/>
          <w:sz w:val="20"/>
        </w:rPr>
        <w:t>.</w:t>
      </w:r>
    </w:p>
    <w:p w14:paraId="4F148B7C" w14:textId="19B5D0BE" w:rsidR="00AA6C21" w:rsidRDefault="00E5427C" w:rsidP="00AA6C21">
      <w:pPr>
        <w:pStyle w:val="Default"/>
        <w:jc w:val="both"/>
        <w:rPr>
          <w:color w:val="538135"/>
          <w:sz w:val="20"/>
        </w:rPr>
      </w:pPr>
      <w:r>
        <w:rPr>
          <w:color w:val="538135"/>
          <w:sz w:val="20"/>
        </w:rPr>
        <w:t xml:space="preserve">- </w:t>
      </w:r>
      <w:r w:rsidRPr="00E5427C">
        <w:rPr>
          <w:color w:val="538135"/>
          <w:sz w:val="20"/>
        </w:rPr>
        <w:t>Règles de comptabilisation des examens de biologie médicale (déclaration d’activité des laboratoires de biologie médicale 2013)</w:t>
      </w:r>
      <w:r>
        <w:rPr>
          <w:color w:val="538135"/>
          <w:sz w:val="20"/>
        </w:rPr>
        <w:t>.</w:t>
      </w:r>
    </w:p>
    <w:p w14:paraId="5870DBA2" w14:textId="77777777" w:rsidR="00AA6C21" w:rsidRDefault="00AA6C21" w:rsidP="00AA6C21">
      <w:pPr>
        <w:pStyle w:val="Default"/>
        <w:jc w:val="both"/>
        <w:rPr>
          <w:color w:val="FF0000"/>
        </w:rPr>
      </w:pPr>
    </w:p>
    <w:p w14:paraId="5B2EE4BA" w14:textId="35741C51" w:rsidR="005E3F7F" w:rsidRPr="00F24AA7" w:rsidRDefault="005E3F7F" w:rsidP="005E3F7F">
      <w:pPr>
        <w:pStyle w:val="Default"/>
        <w:jc w:val="both"/>
        <w:rPr>
          <w:rStyle w:val="Lienhypertexte"/>
        </w:rPr>
      </w:pPr>
      <w:r>
        <w:rPr>
          <w:rStyle w:val="Lienhypertexte"/>
        </w:rPr>
        <w:fldChar w:fldCharType="begin"/>
      </w:r>
      <w:r>
        <w:rPr>
          <w:rStyle w:val="Lienhypertexte"/>
        </w:rPr>
        <w:instrText>HYPERLINK "https://peps.sante.gouv.fr/themes/odonto/odonto.html"</w:instrText>
      </w:r>
      <w:r>
        <w:rPr>
          <w:rStyle w:val="Lienhypertexte"/>
        </w:rPr>
      </w:r>
      <w:r>
        <w:rPr>
          <w:rStyle w:val="Lienhypertexte"/>
        </w:rPr>
        <w:fldChar w:fldCharType="separate"/>
      </w:r>
      <w:r w:rsidRPr="005E3F7F">
        <w:rPr>
          <w:rStyle w:val="Lienhypertexte"/>
        </w:rPr>
        <w:t>Odontologie (risque infectieux)</w:t>
      </w:r>
    </w:p>
    <w:p w14:paraId="667A3B1D" w14:textId="77777777" w:rsidR="005E3F7F" w:rsidRPr="005E3F7F" w:rsidRDefault="005E3F7F" w:rsidP="005E3F7F">
      <w:pPr>
        <w:pStyle w:val="Default"/>
        <w:jc w:val="both"/>
        <w:rPr>
          <w:color w:val="538135"/>
          <w:sz w:val="20"/>
        </w:rPr>
      </w:pPr>
      <w:r>
        <w:rPr>
          <w:rStyle w:val="Lienhypertexte"/>
        </w:rPr>
        <w:fldChar w:fldCharType="end"/>
      </w:r>
      <w:r>
        <w:rPr>
          <w:color w:val="538135"/>
          <w:sz w:val="20"/>
        </w:rPr>
        <w:t xml:space="preserve">- </w:t>
      </w:r>
      <w:r w:rsidRPr="005E3F7F">
        <w:rPr>
          <w:color w:val="538135"/>
          <w:sz w:val="20"/>
        </w:rPr>
        <w:t>Fiches repères, élaborées par l’ARS ARA, de bonnes pratiques de prévention des infections associées aux soins dentaires dispensés en ville :</w:t>
      </w:r>
    </w:p>
    <w:p w14:paraId="7A3AA99D" w14:textId="151C2DD9" w:rsidR="005E3F7F" w:rsidRPr="005E3F7F" w:rsidRDefault="005E3F7F" w:rsidP="005E3F7F">
      <w:pPr>
        <w:pStyle w:val="Default"/>
        <w:numPr>
          <w:ilvl w:val="0"/>
          <w:numId w:val="25"/>
        </w:numPr>
        <w:jc w:val="both"/>
        <w:rPr>
          <w:color w:val="538135"/>
          <w:sz w:val="20"/>
        </w:rPr>
      </w:pPr>
      <w:r w:rsidRPr="005E3F7F">
        <w:rPr>
          <w:color w:val="538135"/>
          <w:sz w:val="20"/>
        </w:rPr>
        <w:t>Fiche n° 1 : La stérilisation des dispositifs médicaux en cabinet dentaire de ville</w:t>
      </w:r>
    </w:p>
    <w:p w14:paraId="3789E352" w14:textId="7517A769" w:rsidR="005E3F7F" w:rsidRPr="005E3F7F" w:rsidRDefault="005E3F7F" w:rsidP="005E3F7F">
      <w:pPr>
        <w:pStyle w:val="Default"/>
        <w:numPr>
          <w:ilvl w:val="0"/>
          <w:numId w:val="25"/>
        </w:numPr>
        <w:jc w:val="both"/>
        <w:rPr>
          <w:color w:val="538135"/>
          <w:sz w:val="20"/>
        </w:rPr>
      </w:pPr>
      <w:r w:rsidRPr="005E3F7F">
        <w:rPr>
          <w:color w:val="538135"/>
          <w:sz w:val="20"/>
        </w:rPr>
        <w:t>Fiche n° 2 : Les appareils de traitement des instruments en cabinet dentaire</w:t>
      </w:r>
    </w:p>
    <w:p w14:paraId="3FE2A139" w14:textId="277E4F39" w:rsidR="005E3F7F" w:rsidRPr="005E3F7F" w:rsidRDefault="005E3F7F" w:rsidP="005E3F7F">
      <w:pPr>
        <w:pStyle w:val="Default"/>
        <w:numPr>
          <w:ilvl w:val="0"/>
          <w:numId w:val="25"/>
        </w:numPr>
        <w:jc w:val="both"/>
        <w:rPr>
          <w:color w:val="538135"/>
          <w:sz w:val="20"/>
        </w:rPr>
      </w:pPr>
      <w:r w:rsidRPr="005E3F7F">
        <w:rPr>
          <w:color w:val="538135"/>
          <w:sz w:val="20"/>
        </w:rPr>
        <w:t>Fiche n° 3 : Tri et traitement des instruments en cabinet dentaire</w:t>
      </w:r>
    </w:p>
    <w:p w14:paraId="744FD8C7" w14:textId="33B1FCB9" w:rsidR="005E3F7F" w:rsidRPr="005E3F7F" w:rsidRDefault="005E3F7F" w:rsidP="005E3F7F">
      <w:pPr>
        <w:pStyle w:val="Default"/>
        <w:numPr>
          <w:ilvl w:val="0"/>
          <w:numId w:val="25"/>
        </w:numPr>
        <w:jc w:val="both"/>
        <w:rPr>
          <w:color w:val="538135"/>
          <w:sz w:val="20"/>
        </w:rPr>
      </w:pPr>
      <w:r w:rsidRPr="005E3F7F">
        <w:rPr>
          <w:color w:val="538135"/>
          <w:sz w:val="20"/>
        </w:rPr>
        <w:t>Fiche n° 4 : Hygiène des mains au cabinet dentaire</w:t>
      </w:r>
    </w:p>
    <w:p w14:paraId="3109A517" w14:textId="7F0750EF" w:rsidR="005E3F7F" w:rsidRDefault="005E3F7F" w:rsidP="005E3F7F">
      <w:pPr>
        <w:pStyle w:val="Default"/>
        <w:numPr>
          <w:ilvl w:val="0"/>
          <w:numId w:val="25"/>
        </w:numPr>
        <w:jc w:val="both"/>
        <w:rPr>
          <w:color w:val="538135"/>
          <w:sz w:val="20"/>
        </w:rPr>
      </w:pPr>
      <w:r w:rsidRPr="005E3F7F">
        <w:rPr>
          <w:color w:val="538135"/>
          <w:sz w:val="20"/>
        </w:rPr>
        <w:t>Fiche n° 5 : Mesures barrières en cabinet dentaire</w:t>
      </w:r>
    </w:p>
    <w:p w14:paraId="0EC5AE0C" w14:textId="6EB1A512" w:rsidR="005E3F7F" w:rsidRDefault="005E3F7F" w:rsidP="005E3F7F">
      <w:pPr>
        <w:pStyle w:val="Default"/>
        <w:jc w:val="both"/>
        <w:rPr>
          <w:color w:val="538135"/>
          <w:sz w:val="20"/>
        </w:rPr>
      </w:pPr>
      <w:r>
        <w:rPr>
          <w:color w:val="538135"/>
          <w:sz w:val="20"/>
        </w:rPr>
        <w:t xml:space="preserve">- </w:t>
      </w:r>
      <w:r w:rsidRPr="005E3F7F">
        <w:rPr>
          <w:color w:val="538135"/>
          <w:sz w:val="20"/>
        </w:rPr>
        <w:t>Les units dentaires : quels risques de contamination et quelles mesures de sécurité ? – HYGIENES Volume XXXIII - N° 2 - 2025.</w:t>
      </w:r>
    </w:p>
    <w:p w14:paraId="01FDB49B" w14:textId="77777777" w:rsidR="00653B42" w:rsidRPr="00653B42" w:rsidRDefault="00653B42" w:rsidP="00653B42">
      <w:pPr>
        <w:pStyle w:val="Default"/>
        <w:jc w:val="both"/>
        <w:rPr>
          <w:color w:val="538135"/>
          <w:sz w:val="20"/>
        </w:rPr>
      </w:pPr>
      <w:r>
        <w:rPr>
          <w:color w:val="538135"/>
          <w:sz w:val="20"/>
        </w:rPr>
        <w:t xml:space="preserve">- </w:t>
      </w:r>
      <w:r w:rsidRPr="00653B42">
        <w:rPr>
          <w:color w:val="538135"/>
          <w:sz w:val="20"/>
        </w:rPr>
        <w:t>Les « nouveaux » procédés de désinfection (ultraviolets, ozone…) : quelle efficacité et quelles preuves ? - HYGIÈNES - 2022 - Volume XXX - N° 4.</w:t>
      </w:r>
    </w:p>
    <w:p w14:paraId="6D8C46E3" w14:textId="6959D5DB" w:rsidR="005E3F7F" w:rsidRDefault="00653B42" w:rsidP="00653B42">
      <w:pPr>
        <w:pStyle w:val="Default"/>
        <w:jc w:val="both"/>
        <w:rPr>
          <w:color w:val="538135"/>
          <w:sz w:val="20"/>
        </w:rPr>
      </w:pPr>
      <w:r>
        <w:rPr>
          <w:color w:val="538135"/>
          <w:sz w:val="20"/>
        </w:rPr>
        <w:t xml:space="preserve">- </w:t>
      </w:r>
      <w:r w:rsidRPr="00653B42">
        <w:rPr>
          <w:color w:val="538135"/>
          <w:sz w:val="20"/>
        </w:rPr>
        <w:t>Avis de la SF2H relatif à la place de l’eau ozonée dans l’entretien des locaux pour les établissements de santé et les établissements médico-sociaux – 08/04/2025.</w:t>
      </w:r>
    </w:p>
    <w:p w14:paraId="5A0F1DF3" w14:textId="77777777" w:rsidR="005E3F7F" w:rsidRDefault="005E3F7F" w:rsidP="005E3F7F">
      <w:pPr>
        <w:pStyle w:val="Default"/>
        <w:jc w:val="both"/>
        <w:rPr>
          <w:color w:val="FF0000"/>
        </w:rPr>
      </w:pPr>
    </w:p>
    <w:p w14:paraId="3D997851" w14:textId="2B859071" w:rsidR="001B2D8F" w:rsidRPr="00F24AA7" w:rsidRDefault="001B2D8F" w:rsidP="001B2D8F">
      <w:pPr>
        <w:pStyle w:val="Default"/>
        <w:jc w:val="both"/>
        <w:rPr>
          <w:rStyle w:val="Lienhypertexte"/>
        </w:rPr>
      </w:pPr>
      <w:r>
        <w:rPr>
          <w:rStyle w:val="Lienhypertexte"/>
        </w:rPr>
        <w:fldChar w:fldCharType="begin"/>
      </w:r>
      <w:r>
        <w:rPr>
          <w:rStyle w:val="Lienhypertexte"/>
        </w:rPr>
        <w:instrText>HYPERLINK "https://peps.sante.gouv.fr/themes/veterinaire/veterinaire1.html"</w:instrText>
      </w:r>
      <w:r>
        <w:rPr>
          <w:rStyle w:val="Lienhypertexte"/>
        </w:rPr>
      </w:r>
      <w:r>
        <w:rPr>
          <w:rStyle w:val="Lienhypertexte"/>
        </w:rPr>
        <w:fldChar w:fldCharType="separate"/>
      </w:r>
      <w:r>
        <w:rPr>
          <w:rStyle w:val="Lienhypertexte"/>
        </w:rPr>
        <w:t>Pharmacie vétérinaire</w:t>
      </w:r>
    </w:p>
    <w:p w14:paraId="7564BD13" w14:textId="48EF0428" w:rsidR="002F38DF" w:rsidRDefault="001B2D8F" w:rsidP="001B2D8F">
      <w:pPr>
        <w:pStyle w:val="Default"/>
        <w:jc w:val="both"/>
        <w:rPr>
          <w:color w:val="538135"/>
          <w:sz w:val="20"/>
        </w:rPr>
      </w:pPr>
      <w:r>
        <w:rPr>
          <w:rStyle w:val="Lienhypertexte"/>
        </w:rPr>
        <w:fldChar w:fldCharType="end"/>
      </w:r>
      <w:r>
        <w:rPr>
          <w:color w:val="538135"/>
          <w:sz w:val="20"/>
        </w:rPr>
        <w:t>-</w:t>
      </w:r>
      <w:r w:rsidR="002F38DF">
        <w:rPr>
          <w:color w:val="538135"/>
          <w:sz w:val="20"/>
        </w:rPr>
        <w:t xml:space="preserve"> </w:t>
      </w:r>
      <w:r w:rsidR="002F38DF" w:rsidRPr="002F38DF">
        <w:rPr>
          <w:color w:val="538135"/>
          <w:sz w:val="20"/>
        </w:rPr>
        <w:t>Règlement (UE) 2019/6 du Parlement européen et du Conseil du 11 décembre 2018 relatif aux médicaments vétérinaires et abrogeant la directive 2001/82/CE, article 104</w:t>
      </w:r>
      <w:r w:rsidR="002F38DF">
        <w:rPr>
          <w:color w:val="538135"/>
          <w:sz w:val="20"/>
        </w:rPr>
        <w:t> :</w:t>
      </w:r>
      <w:r w:rsidR="002F38DF" w:rsidRPr="002F38DF">
        <w:rPr>
          <w:color w:val="538135"/>
          <w:sz w:val="20"/>
        </w:rPr>
        <w:t xml:space="preserve"> Vente de médicaments vétérinaires au détail à distance</w:t>
      </w:r>
      <w:r w:rsidR="002F38DF">
        <w:rPr>
          <w:color w:val="538135"/>
          <w:sz w:val="20"/>
        </w:rPr>
        <w:t>.</w:t>
      </w:r>
    </w:p>
    <w:p w14:paraId="31D633CA" w14:textId="34B67298" w:rsidR="001B2D8F" w:rsidRDefault="002F38DF" w:rsidP="001B2D8F">
      <w:pPr>
        <w:pStyle w:val="Default"/>
        <w:jc w:val="both"/>
        <w:rPr>
          <w:color w:val="538135"/>
          <w:sz w:val="20"/>
        </w:rPr>
      </w:pPr>
      <w:r>
        <w:rPr>
          <w:color w:val="538135"/>
          <w:sz w:val="20"/>
        </w:rPr>
        <w:t>-</w:t>
      </w:r>
      <w:r w:rsidR="001B2D8F">
        <w:rPr>
          <w:color w:val="538135"/>
          <w:sz w:val="20"/>
        </w:rPr>
        <w:t xml:space="preserve"> </w:t>
      </w:r>
      <w:r w:rsidR="001B2D8F" w:rsidRPr="001B2D8F">
        <w:rPr>
          <w:color w:val="538135"/>
          <w:sz w:val="20"/>
        </w:rPr>
        <w:t>Arrêté du 1</w:t>
      </w:r>
      <w:r w:rsidR="001B2D8F" w:rsidRPr="00653B42">
        <w:rPr>
          <w:color w:val="538135"/>
          <w:sz w:val="20"/>
          <w:vertAlign w:val="superscript"/>
        </w:rPr>
        <w:t>er</w:t>
      </w:r>
      <w:r w:rsidR="00653B42">
        <w:rPr>
          <w:color w:val="538135"/>
          <w:sz w:val="20"/>
        </w:rPr>
        <w:t xml:space="preserve"> </w:t>
      </w:r>
      <w:r w:rsidR="001B2D8F" w:rsidRPr="001B2D8F">
        <w:rPr>
          <w:color w:val="538135"/>
          <w:sz w:val="20"/>
        </w:rPr>
        <w:t>décembre 2025 relatif aux règles techniques et conditions de délivrance au détail applicables aux sites de vente en ligne de médicaments vétérinaires.</w:t>
      </w:r>
    </w:p>
    <w:p w14:paraId="188626D9" w14:textId="33FD3728" w:rsidR="00400D81" w:rsidRPr="001B2D8F" w:rsidRDefault="00400D81" w:rsidP="001B2D8F">
      <w:pPr>
        <w:pStyle w:val="Default"/>
        <w:jc w:val="both"/>
        <w:rPr>
          <w:color w:val="538135"/>
          <w:sz w:val="20"/>
        </w:rPr>
      </w:pPr>
      <w:r>
        <w:rPr>
          <w:color w:val="538135"/>
          <w:sz w:val="20"/>
        </w:rPr>
        <w:t xml:space="preserve">- </w:t>
      </w:r>
      <w:r w:rsidRPr="00400D81">
        <w:rPr>
          <w:color w:val="538135"/>
          <w:sz w:val="20"/>
        </w:rPr>
        <w:t>Règlement d’exécution (UE) 2021/1904 de la Commission du 29 octobre 2021 portant adoption du design d’un logo commun pour la vente de médicaments vétérinaires au détail à distance</w:t>
      </w:r>
      <w:r>
        <w:rPr>
          <w:color w:val="538135"/>
          <w:sz w:val="20"/>
        </w:rPr>
        <w:t>.</w:t>
      </w:r>
    </w:p>
    <w:p w14:paraId="43A9872E" w14:textId="018DA4A7" w:rsidR="001B2D8F" w:rsidRDefault="001B2D8F" w:rsidP="001B2D8F">
      <w:pPr>
        <w:pStyle w:val="Default"/>
        <w:jc w:val="both"/>
        <w:rPr>
          <w:color w:val="538135"/>
          <w:sz w:val="20"/>
        </w:rPr>
      </w:pPr>
      <w:r w:rsidRPr="001B2D8F">
        <w:rPr>
          <w:color w:val="538135"/>
          <w:sz w:val="20"/>
        </w:rPr>
        <w:t>Nb : Le modèle de déclaration, les informations qui doivent y figurer ainsi que les pièces justificatives à fournir sont déterminés par le directeur général de l'Agence nationale de sécurité sanitaire de l'alimentation, de l'environnement et du travail (non paru à ce jour).</w:t>
      </w:r>
    </w:p>
    <w:p w14:paraId="59B3BBB0" w14:textId="77777777" w:rsidR="001B2D8F" w:rsidRDefault="001B2D8F" w:rsidP="001B2D8F">
      <w:pPr>
        <w:pStyle w:val="Default"/>
        <w:jc w:val="both"/>
        <w:rPr>
          <w:color w:val="FF0000"/>
        </w:rPr>
      </w:pPr>
    </w:p>
    <w:p w14:paraId="46148C93" w14:textId="4FD02B1C" w:rsidR="009617F8" w:rsidRPr="00F24AA7" w:rsidRDefault="009617F8" w:rsidP="009617F8">
      <w:pPr>
        <w:pStyle w:val="Default"/>
        <w:jc w:val="both"/>
        <w:rPr>
          <w:rStyle w:val="Lienhypertexte"/>
        </w:rPr>
      </w:pPr>
      <w:r>
        <w:rPr>
          <w:rStyle w:val="Lienhypertexte"/>
        </w:rPr>
        <w:lastRenderedPageBreak/>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Pr>
          <w:rStyle w:val="Lienhypertexte"/>
        </w:rPr>
        <w:t>Prise en charge des addictions</w:t>
      </w:r>
    </w:p>
    <w:p w14:paraId="5122F7FF" w14:textId="77777777" w:rsidR="009617F8" w:rsidRPr="009617F8" w:rsidRDefault="009617F8" w:rsidP="009617F8">
      <w:pPr>
        <w:pStyle w:val="Default"/>
        <w:jc w:val="both"/>
        <w:rPr>
          <w:color w:val="538135"/>
          <w:sz w:val="20"/>
        </w:rPr>
      </w:pPr>
      <w:r>
        <w:rPr>
          <w:rStyle w:val="Lienhypertexte"/>
        </w:rPr>
        <w:fldChar w:fldCharType="end"/>
      </w:r>
      <w:r>
        <w:rPr>
          <w:color w:val="538135"/>
          <w:sz w:val="20"/>
        </w:rPr>
        <w:t xml:space="preserve">- </w:t>
      </w:r>
      <w:r w:rsidRPr="009617F8">
        <w:rPr>
          <w:color w:val="538135"/>
          <w:sz w:val="20"/>
        </w:rPr>
        <w:t>Instruction n° DGS/SP3/DSS/CNAM/2025/134 du 8 décembre 2025 relative à l’attribution de crédits complémentaires du fonds de lutte contre les addictions (FLCA) soutenant des actions régionales contribuant à la lutte contre les addictions en 2025.</w:t>
      </w:r>
    </w:p>
    <w:p w14:paraId="4590DECF" w14:textId="77777777" w:rsidR="009617F8" w:rsidRPr="009617F8" w:rsidRDefault="009617F8" w:rsidP="009617F8">
      <w:pPr>
        <w:pStyle w:val="Default"/>
        <w:jc w:val="both"/>
        <w:rPr>
          <w:color w:val="538135"/>
          <w:sz w:val="20"/>
        </w:rPr>
      </w:pPr>
      <w:r w:rsidRPr="009617F8">
        <w:rPr>
          <w:color w:val="538135"/>
          <w:sz w:val="20"/>
        </w:rPr>
        <w:t>Résumé : Le fonds de lutte contre les addictions (FLCA) dont le périmètre a été élargi en 2022 à l'ensemble des addictions, y compris à celles sans substance, concourt à la mise en œuvre des différentes stratégies et plans de politiques publiques liés aux conduites addictives. Ces politiques s'appuient notamment sur la stratégie interministérielle de mobilisation contre les conduites addictives (SIMCA) 2023-2027 et le programme national de lutte contre le tabac (PNLT) 2023-2027. Le FLCA contribue ainsi à la déclinaison des actions associées à la SIMCA et au PNLT 2023-2027, au cadre de référence pour la prévention du jeu excessif et pathologique et la protection des mineurs et au plan d'actions pour un usage échelonné, accompagné et sécurisé des écrans par les enfants et les jeunes et à leur déclinaison à l'échelle régionale.</w:t>
      </w:r>
    </w:p>
    <w:p w14:paraId="1D61AB7C" w14:textId="61C077A0" w:rsidR="009617F8" w:rsidRDefault="009617F8" w:rsidP="009617F8">
      <w:pPr>
        <w:pStyle w:val="Default"/>
        <w:jc w:val="both"/>
        <w:rPr>
          <w:color w:val="538135"/>
          <w:sz w:val="20"/>
        </w:rPr>
      </w:pPr>
      <w:r w:rsidRPr="009617F8">
        <w:rPr>
          <w:color w:val="538135"/>
          <w:sz w:val="20"/>
        </w:rPr>
        <w:t>La présente instruction a pour objet de préciser aux agences régionales de santé (ARS) les modalités d’utilisation des crédits complémentaires du FLCA 2025 qui leur sont attribués en vue de soutenir, d’une part, le déploiement sur le territoire national du projet de prévention et de réduction des risques des surdoses liées aux opioïdes (POP France) et, d’autre part, les projets retenus parmi ceux remontés par les ARS conformément au II de l’instruction n° DGS/SP3/DSS/CNAM/2025/61 du 17 juin 2025</w:t>
      </w:r>
      <w:r>
        <w:rPr>
          <w:color w:val="538135"/>
          <w:sz w:val="20"/>
        </w:rPr>
        <w:t>.</w:t>
      </w:r>
    </w:p>
    <w:p w14:paraId="2DD855DB" w14:textId="77777777" w:rsidR="00904061" w:rsidRPr="00904061" w:rsidRDefault="00904061" w:rsidP="00904061">
      <w:pPr>
        <w:pStyle w:val="Default"/>
        <w:jc w:val="both"/>
        <w:rPr>
          <w:color w:val="538135"/>
          <w:sz w:val="20"/>
        </w:rPr>
      </w:pPr>
      <w:r>
        <w:rPr>
          <w:color w:val="538135"/>
          <w:sz w:val="20"/>
        </w:rPr>
        <w:t xml:space="preserve">- </w:t>
      </w:r>
      <w:r w:rsidRPr="00904061">
        <w:rPr>
          <w:color w:val="538135"/>
          <w:sz w:val="20"/>
        </w:rPr>
        <w:t>Les haltes soins addictions (HSA) – un dispositif expérimenté depuis 2016 pour réduire les nuisances liées à la consommation de stupéfiants dans l’espace public (IGAS, IGA, 22/12/2025).</w:t>
      </w:r>
    </w:p>
    <w:p w14:paraId="1A50FA55" w14:textId="29BC4617" w:rsidR="00904061" w:rsidRDefault="00904061" w:rsidP="00904061">
      <w:pPr>
        <w:pStyle w:val="Default"/>
        <w:jc w:val="both"/>
        <w:rPr>
          <w:color w:val="538135"/>
          <w:sz w:val="20"/>
        </w:rPr>
      </w:pPr>
      <w:r w:rsidRPr="00904061">
        <w:rPr>
          <w:color w:val="538135"/>
          <w:sz w:val="20"/>
        </w:rPr>
        <w:t>L’Inspection générale des affaires sociales (Igas) et l’Inspection générale de l’administration (IGA) ont évalué les haltes soins addictions (HSA), un dispositif expérimenté depuis 2016 pour réduire les nuisances liées à la consommation de stupéfiants dans l’espace public. Cette évaluation avait pour objectif d’éclairer le Gouvernement sur l’opportunité de maintenir, d’adapter ou arrêter des HSA en évaluant leur pertinence et leur place dans l’éventail des outils de réduction des risques et des dommages, leur impact sur la tranquillité et l’ordre publics, ainsi que leurs modalités de création et la pertinence de leurs lieux d’implantation</w:t>
      </w:r>
      <w:r w:rsidR="002B00B4">
        <w:rPr>
          <w:color w:val="538135"/>
          <w:sz w:val="20"/>
        </w:rPr>
        <w:t>.</w:t>
      </w:r>
    </w:p>
    <w:p w14:paraId="46FC83D8" w14:textId="77777777" w:rsidR="009617F8" w:rsidRDefault="009617F8" w:rsidP="009617F8">
      <w:pPr>
        <w:pStyle w:val="Default"/>
        <w:jc w:val="both"/>
        <w:rPr>
          <w:color w:val="FF0000"/>
        </w:rPr>
      </w:pPr>
    </w:p>
    <w:p w14:paraId="585805A9"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27184C51" w14:textId="79339C3E" w:rsidR="002B00B4" w:rsidRPr="002B00B4" w:rsidRDefault="00560B92" w:rsidP="00560B92">
      <w:pPr>
        <w:pStyle w:val="Default"/>
        <w:jc w:val="both"/>
        <w:rPr>
          <w:color w:val="538135"/>
          <w:sz w:val="20"/>
        </w:rPr>
      </w:pPr>
      <w:r>
        <w:rPr>
          <w:color w:val="538135"/>
          <w:sz w:val="20"/>
        </w:rPr>
        <w:t xml:space="preserve">- </w:t>
      </w:r>
      <w:hyperlink r:id="rId10" w:anchor="stup-class-generalites" w:history="1">
        <w:r w:rsidR="002B00B4" w:rsidRPr="002B00B4">
          <w:rPr>
            <w:color w:val="538135"/>
            <w:sz w:val="20"/>
          </w:rPr>
          <w:t>Dictionnaire multilingue des stupéfiants et des substances psychotropes placés sous contrôle international (ONU, actualisation avril 2025). Ce dictionnaire présente notamment des monographies des substances comprenant leurs diverses dénominations chimiques connues, leur formule développée et quelques autres informations</w:t>
        </w:r>
      </w:hyperlink>
      <w:r w:rsidR="002B00B4" w:rsidRPr="002B00B4">
        <w:rPr>
          <w:color w:val="538135"/>
          <w:sz w:val="20"/>
        </w:rPr>
        <w:t>.</w:t>
      </w:r>
    </w:p>
    <w:p w14:paraId="6A347F6A" w14:textId="14E487F6" w:rsidR="002B00B4" w:rsidRPr="002B00B4" w:rsidRDefault="00560B92" w:rsidP="00560B92">
      <w:pPr>
        <w:pStyle w:val="Default"/>
        <w:jc w:val="both"/>
        <w:rPr>
          <w:color w:val="538135"/>
          <w:sz w:val="20"/>
        </w:rPr>
      </w:pPr>
      <w:r>
        <w:rPr>
          <w:color w:val="538135"/>
          <w:sz w:val="20"/>
        </w:rPr>
        <w:t xml:space="preserve">- </w:t>
      </w:r>
      <w:hyperlink r:id="rId11" w:anchor="psyclassement" w:history="1">
        <w:r w:rsidR="002B00B4" w:rsidRPr="002B00B4">
          <w:rPr>
            <w:color w:val="538135"/>
            <w:sz w:val="20"/>
          </w:rPr>
          <w:t>Liste des psychotropes placés sous contrôle international (36ème édition, décembre 2025</w:t>
        </w:r>
      </w:hyperlink>
      <w:r w:rsidR="002B00B4" w:rsidRPr="002B00B4">
        <w:rPr>
          <w:color w:val="538135"/>
          <w:sz w:val="20"/>
        </w:rPr>
        <w:t>).</w:t>
      </w:r>
    </w:p>
    <w:p w14:paraId="7B08E3FD" w14:textId="31DDC5AA" w:rsidR="002B00B4" w:rsidRPr="002B00B4" w:rsidRDefault="00560B92" w:rsidP="00560B92">
      <w:pPr>
        <w:pStyle w:val="Default"/>
        <w:jc w:val="both"/>
        <w:rPr>
          <w:color w:val="538135"/>
          <w:sz w:val="20"/>
        </w:rPr>
      </w:pPr>
      <w:r>
        <w:rPr>
          <w:color w:val="538135"/>
          <w:sz w:val="20"/>
        </w:rPr>
        <w:t xml:space="preserve">- </w:t>
      </w:r>
      <w:hyperlink r:id="rId12" w:anchor="psysoumission" w:history="1">
        <w:r w:rsidR="002B00B4" w:rsidRPr="002B00B4">
          <w:rPr>
            <w:color w:val="538135"/>
            <w:sz w:val="20"/>
          </w:rPr>
          <w:t>Décret n° 2025-1208 du 11 décembre 2025 relatif à l'expérimentation prévue à l'article 68 de la loi n° 2025-199 du 28 février 2025 de financement de la sécurité sociale pour 2025. Ce décret fixe les modalités de mise en œuvre et d'évaluation de l'expérimentation du remboursement par l'assurance maladie des recherches, incluant les tests et analyses, permettant de détecter un état de soumission chimique, prévue à l'article 68 de la loi précitée. A cette fin, il prévoit, pendant trois ans, la prise en charge, sur prescription médicale, des examens de biologie médicale permettant de détecter les substances impliquées dans la soumission chimique. En complément, il définit un parcours patient permettant, le cas échéant, l'utilisation des résultats d'examens à la constitution du dossier de plainte</w:t>
        </w:r>
      </w:hyperlink>
      <w:r w:rsidR="002B00B4" w:rsidRPr="002B00B4">
        <w:rPr>
          <w:color w:val="538135"/>
          <w:sz w:val="20"/>
        </w:rPr>
        <w:t>.</w:t>
      </w:r>
    </w:p>
    <w:p w14:paraId="1F1F62FD" w14:textId="03F2BEC5" w:rsidR="002B00B4" w:rsidRPr="002B00B4" w:rsidRDefault="00560B92" w:rsidP="00560B92">
      <w:pPr>
        <w:pStyle w:val="Default"/>
        <w:jc w:val="both"/>
        <w:rPr>
          <w:color w:val="538135"/>
          <w:sz w:val="20"/>
        </w:rPr>
      </w:pPr>
      <w:r>
        <w:rPr>
          <w:color w:val="538135"/>
          <w:sz w:val="20"/>
        </w:rPr>
        <w:t xml:space="preserve">- </w:t>
      </w:r>
      <w:hyperlink r:id="rId13" w:anchor="psysoumission" w:history="1">
        <w:r w:rsidR="002B00B4" w:rsidRPr="002B00B4">
          <w:rPr>
            <w:color w:val="538135"/>
            <w:sz w:val="20"/>
          </w:rPr>
          <w:t>Arrêté du 11 décembre 2025 fixant la liste des territoires participant à l'expérimentation prévue à l'article 68 de la loi n° 2025-199 du 28 février 2025 de financement de la sécurité sociale pour 2025, la liste des laboratoires spécialisés, les modalités de réalisation de conservation et de communication des résultats et le contenu du rapport d'activité annuel attendu (au sein de la région des Hauts-de-France, le pôle de biologie pathologie génétique service de toxicologie et génopathies du CHU de Lille ; au sein de la région des Pays de la Loire, le laboratoire de pharmacologie - toxicologie du CHU de Nantes ; au sein de la région Ile-de-France, le laboratoire de pharmacologie - toxicologie du CHU Raymond Poincaré à Garches (APHP))</w:t>
        </w:r>
      </w:hyperlink>
      <w:r w:rsidR="002B00B4" w:rsidRPr="002B00B4">
        <w:rPr>
          <w:color w:val="538135"/>
          <w:sz w:val="20"/>
        </w:rPr>
        <w:t>.</w:t>
      </w:r>
    </w:p>
    <w:p w14:paraId="122543FA" w14:textId="19EC446C" w:rsidR="002B00B4" w:rsidRPr="002B00B4" w:rsidRDefault="00560B92" w:rsidP="00560B92">
      <w:pPr>
        <w:pStyle w:val="Default"/>
        <w:jc w:val="both"/>
        <w:rPr>
          <w:color w:val="538135"/>
          <w:sz w:val="20"/>
        </w:rPr>
      </w:pPr>
      <w:r>
        <w:rPr>
          <w:color w:val="538135"/>
          <w:sz w:val="20"/>
        </w:rPr>
        <w:t xml:space="preserve">- </w:t>
      </w:r>
      <w:hyperlink r:id="rId14" w:anchor="psysoumission" w:history="1">
        <w:r w:rsidR="002B00B4" w:rsidRPr="002B00B4">
          <w:rPr>
            <w:color w:val="538135"/>
            <w:sz w:val="20"/>
          </w:rPr>
          <w:t>Soumission chimique : publication des textes encadrant l’expérimentation (CNOP, 18/12/2025)</w:t>
        </w:r>
      </w:hyperlink>
      <w:r w:rsidR="002B00B4" w:rsidRPr="002B00B4">
        <w:rPr>
          <w:color w:val="538135"/>
          <w:sz w:val="20"/>
        </w:rPr>
        <w:t>.</w:t>
      </w:r>
    </w:p>
    <w:p w14:paraId="3AAD8CE9" w14:textId="4537BB26" w:rsidR="002B00B4" w:rsidRPr="002B00B4" w:rsidRDefault="00560B92" w:rsidP="002B00B4">
      <w:pPr>
        <w:pStyle w:val="Default"/>
        <w:rPr>
          <w:color w:val="538135"/>
          <w:sz w:val="20"/>
        </w:rPr>
      </w:pPr>
      <w:r>
        <w:rPr>
          <w:color w:val="538135"/>
          <w:sz w:val="20"/>
        </w:rPr>
        <w:t xml:space="preserve">- </w:t>
      </w:r>
      <w:hyperlink r:id="rId15" w:anchor="psysoumission" w:history="1">
        <w:r w:rsidR="002B00B4" w:rsidRPr="002B00B4">
          <w:rPr>
            <w:color w:val="538135"/>
            <w:sz w:val="20"/>
          </w:rPr>
          <w:t>Communiqué du 13/12/2025 - Lutte contre les violences faites aux femmes : le Gouvernement renforce son action en lançant une expérimentation inédite contre la soumission chimique</w:t>
        </w:r>
      </w:hyperlink>
      <w:r w:rsidR="002B00B4" w:rsidRPr="002B00B4">
        <w:rPr>
          <w:color w:val="538135"/>
          <w:sz w:val="20"/>
        </w:rPr>
        <w:t>.</w:t>
      </w:r>
    </w:p>
    <w:p w14:paraId="2F039E3D" w14:textId="3385E6ED" w:rsidR="002B00B4" w:rsidRPr="002B00B4" w:rsidRDefault="00560B92" w:rsidP="002B00B4">
      <w:pPr>
        <w:pStyle w:val="Default"/>
      </w:pPr>
      <w:r>
        <w:rPr>
          <w:color w:val="538135"/>
          <w:sz w:val="20"/>
        </w:rPr>
        <w:t xml:space="preserve">- </w:t>
      </w:r>
      <w:hyperlink r:id="rId16" w:anchor="svnicotine" w:history="1">
        <w:r w:rsidR="002B00B4" w:rsidRPr="002B00B4">
          <w:rPr>
            <w:color w:val="538135"/>
            <w:sz w:val="20"/>
          </w:rPr>
          <w:t>Ordonnance en référé n° 509561 du 22/12/2025 du Conseil d'État précisant que les produits à usage oral contenant de la nicotine ne constituent pas des produits cosmétiques ni des produits du tabac, dont « le tabac à usage oral », sont soumis à la réglementation des substances vénéneuses et notamment à la délivrance par un pharmacien sur prescription d’un professionnel de santé</w:t>
        </w:r>
      </w:hyperlink>
      <w:r w:rsidR="002B00B4" w:rsidRPr="002B00B4">
        <w:t>.</w:t>
      </w:r>
    </w:p>
    <w:p w14:paraId="38DA4A99" w14:textId="10E7FA3A" w:rsidR="002B00B4" w:rsidRPr="002B00B4" w:rsidRDefault="00560B92" w:rsidP="002B00B4">
      <w:pPr>
        <w:pStyle w:val="Default"/>
        <w:rPr>
          <w:color w:val="538135"/>
          <w:sz w:val="20"/>
        </w:rPr>
      </w:pPr>
      <w:r>
        <w:rPr>
          <w:color w:val="538135"/>
          <w:sz w:val="20"/>
        </w:rPr>
        <w:t xml:space="preserve">- </w:t>
      </w:r>
      <w:hyperlink r:id="rId17" w:anchor="svnicotine" w:history="1">
        <w:r w:rsidR="002B00B4" w:rsidRPr="002B00B4">
          <w:rPr>
            <w:color w:val="538135"/>
            <w:sz w:val="20"/>
          </w:rPr>
          <w:t>Nicotine : le Conseil d’État suspend le décret d’interdiction de vente de sachet prévu pour avril 2026 (Le Monde, 22/12/2025)</w:t>
        </w:r>
      </w:hyperlink>
      <w:r w:rsidR="002B00B4" w:rsidRPr="002B00B4">
        <w:rPr>
          <w:color w:val="538135"/>
          <w:sz w:val="20"/>
        </w:rPr>
        <w:t>.</w:t>
      </w:r>
    </w:p>
    <w:p w14:paraId="296CB184" w14:textId="2FD8DA7F" w:rsidR="002B00B4" w:rsidRPr="002B00B4" w:rsidRDefault="00560B92" w:rsidP="002B00B4">
      <w:pPr>
        <w:pStyle w:val="Default"/>
        <w:rPr>
          <w:color w:val="538135"/>
          <w:sz w:val="20"/>
        </w:rPr>
      </w:pPr>
      <w:r>
        <w:rPr>
          <w:color w:val="538135"/>
          <w:sz w:val="20"/>
        </w:rPr>
        <w:t xml:space="preserve">- </w:t>
      </w:r>
      <w:hyperlink r:id="rId18" w:anchor="biblio-international" w:history="1">
        <w:r w:rsidR="002B00B4" w:rsidRPr="002B00B4">
          <w:rPr>
            <w:color w:val="538135"/>
            <w:sz w:val="20"/>
          </w:rPr>
          <w:t>Donald Trump classifie la marijuana en drogue moins dangereuse mais rejette sa dépénalisation fédérale (Le Monde, 19/12/2025).</w:t>
        </w:r>
      </w:hyperlink>
      <w:r w:rsidR="002B00B4" w:rsidRPr="002B00B4">
        <w:rPr>
          <w:color w:val="538135"/>
          <w:sz w:val="20"/>
        </w:rPr>
        <w:t>.</w:t>
      </w:r>
    </w:p>
    <w:p w14:paraId="49E2D7F0" w14:textId="7F798579" w:rsidR="002B00B4" w:rsidRPr="002B00B4" w:rsidRDefault="00560B92" w:rsidP="002B00B4">
      <w:pPr>
        <w:pStyle w:val="Default"/>
        <w:rPr>
          <w:color w:val="538135"/>
          <w:sz w:val="20"/>
        </w:rPr>
      </w:pPr>
      <w:r>
        <w:rPr>
          <w:color w:val="538135"/>
          <w:sz w:val="20"/>
        </w:rPr>
        <w:t xml:space="preserve">- </w:t>
      </w:r>
      <w:hyperlink r:id="rId19" w:anchor="biblio-france" w:history="1">
        <w:r w:rsidR="002B00B4" w:rsidRPr="002B00B4">
          <w:rPr>
            <w:color w:val="538135"/>
            <w:sz w:val="20"/>
          </w:rPr>
          <w:t>Caractéristiques des infractions de trafic ou usage de stupéfiants selon le type de substance impliquée depuis 2016 : premier état des lieux (Statistique publique de la sécurité intérieure, décembre 2025)</w:t>
        </w:r>
      </w:hyperlink>
      <w:r w:rsidR="002B00B4" w:rsidRPr="002B00B4">
        <w:rPr>
          <w:color w:val="538135"/>
          <w:sz w:val="20"/>
        </w:rPr>
        <w:t>.</w:t>
      </w:r>
    </w:p>
    <w:p w14:paraId="1E82FADD" w14:textId="77777777" w:rsidR="002B00B4" w:rsidRPr="002B00B4" w:rsidRDefault="002B00B4" w:rsidP="002B00B4">
      <w:pPr>
        <w:pStyle w:val="Default"/>
        <w:rPr>
          <w:color w:val="538135"/>
          <w:sz w:val="20"/>
        </w:rPr>
      </w:pPr>
      <w:hyperlink r:id="rId20" w:anchor="biblio-france" w:history="1">
        <w:r w:rsidRPr="002B00B4">
          <w:rPr>
            <w:color w:val="538135"/>
            <w:sz w:val="20"/>
          </w:rPr>
          <w:t>290 000 interpellations, 95% d’amendes, 0 efficacité : les statistiques qui vont faire vaciller la loi sur le cannabis en France (Newsweed, 08/12/2025)</w:t>
        </w:r>
      </w:hyperlink>
      <w:r w:rsidRPr="002B00B4">
        <w:rPr>
          <w:color w:val="538135"/>
          <w:sz w:val="20"/>
        </w:rPr>
        <w:t>.</w:t>
      </w:r>
    </w:p>
    <w:p w14:paraId="21DEC09C" w14:textId="1E78AD17" w:rsidR="002B00B4" w:rsidRPr="002B00B4" w:rsidRDefault="00560B92" w:rsidP="002B00B4">
      <w:pPr>
        <w:pStyle w:val="Default"/>
        <w:rPr>
          <w:color w:val="538135"/>
          <w:sz w:val="20"/>
        </w:rPr>
      </w:pPr>
      <w:r>
        <w:rPr>
          <w:color w:val="538135"/>
          <w:sz w:val="20"/>
        </w:rPr>
        <w:t xml:space="preserve">- </w:t>
      </w:r>
      <w:hyperlink r:id="rId21" w:anchor="biblio-france" w:history="1">
        <w:r w:rsidR="002B00B4" w:rsidRPr="002B00B4">
          <w:rPr>
            <w:color w:val="538135"/>
            <w:sz w:val="20"/>
          </w:rPr>
          <w:t>Taille des marchés des drogues illicites en France (2010-2023) (OFDT, 08/12/2025)</w:t>
        </w:r>
      </w:hyperlink>
      <w:r w:rsidR="002B00B4" w:rsidRPr="002B00B4">
        <w:rPr>
          <w:color w:val="538135"/>
          <w:sz w:val="20"/>
        </w:rPr>
        <w:t>.</w:t>
      </w:r>
    </w:p>
    <w:p w14:paraId="798FEFB8" w14:textId="35768C9C" w:rsidR="002B00B4" w:rsidRPr="002B00B4" w:rsidRDefault="00560B92" w:rsidP="002B00B4">
      <w:pPr>
        <w:pStyle w:val="Default"/>
        <w:rPr>
          <w:color w:val="538135"/>
          <w:sz w:val="20"/>
        </w:rPr>
      </w:pPr>
      <w:r>
        <w:rPr>
          <w:color w:val="538135"/>
          <w:sz w:val="20"/>
        </w:rPr>
        <w:t xml:space="preserve">- </w:t>
      </w:r>
      <w:hyperlink r:id="rId22" w:anchor="biblio-proto" w:history="1">
        <w:r w:rsidR="002B00B4" w:rsidRPr="002B00B4">
          <w:rPr>
            <w:color w:val="538135"/>
            <w:sz w:val="20"/>
          </w:rPr>
          <w:t>Protoxyde d’azote : Gérald Darmanin souhaite que le gaz soit classé comme stupéfiant (Le Monde, 12/12/2025)</w:t>
        </w:r>
      </w:hyperlink>
      <w:r w:rsidR="002B00B4" w:rsidRPr="002B00B4">
        <w:rPr>
          <w:color w:val="538135"/>
          <w:sz w:val="20"/>
        </w:rPr>
        <w:t>.</w:t>
      </w:r>
    </w:p>
    <w:p w14:paraId="0FCA98C1" w14:textId="77777777" w:rsidR="00B66A04" w:rsidRDefault="00B66A04" w:rsidP="004B1C7D">
      <w:pPr>
        <w:pStyle w:val="Default"/>
      </w:pPr>
    </w:p>
    <w:p w14:paraId="6A52CCDF" w14:textId="150183AC" w:rsidR="00B66A04" w:rsidRPr="00F24AA7" w:rsidRDefault="00B66A04" w:rsidP="00B66A04">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Vaccination</w:t>
      </w:r>
    </w:p>
    <w:p w14:paraId="058A8006" w14:textId="77712609" w:rsidR="00B66A04" w:rsidRDefault="00B66A04" w:rsidP="00B66A04">
      <w:pPr>
        <w:pStyle w:val="Default"/>
        <w:jc w:val="both"/>
        <w:rPr>
          <w:color w:val="538135"/>
          <w:sz w:val="20"/>
        </w:rPr>
      </w:pPr>
      <w:r>
        <w:rPr>
          <w:rStyle w:val="Lienhypertexte"/>
        </w:rPr>
        <w:fldChar w:fldCharType="end"/>
      </w:r>
      <w:r>
        <w:rPr>
          <w:color w:val="538135"/>
          <w:sz w:val="20"/>
        </w:rPr>
        <w:t xml:space="preserve">- </w:t>
      </w:r>
      <w:r w:rsidRPr="00B66A04">
        <w:rPr>
          <w:color w:val="538135"/>
          <w:sz w:val="20"/>
        </w:rPr>
        <w:t>Vaccination – Tout ce que vous avez toujours voulu savoir sans oser le demander (CNOM, novembre 2025)</w:t>
      </w:r>
      <w:r>
        <w:rPr>
          <w:color w:val="538135"/>
          <w:sz w:val="20"/>
        </w:rPr>
        <w:t>.</w:t>
      </w:r>
    </w:p>
    <w:p w14:paraId="763A3319" w14:textId="56DA16C9" w:rsidR="0068178F" w:rsidRDefault="0068178F" w:rsidP="00B66A04">
      <w:pPr>
        <w:pStyle w:val="Default"/>
        <w:jc w:val="both"/>
        <w:rPr>
          <w:color w:val="538135"/>
          <w:sz w:val="20"/>
        </w:rPr>
      </w:pPr>
      <w:r>
        <w:rPr>
          <w:color w:val="538135"/>
          <w:sz w:val="20"/>
        </w:rPr>
        <w:t xml:space="preserve">- </w:t>
      </w:r>
      <w:r w:rsidRPr="0068178F">
        <w:rPr>
          <w:color w:val="538135"/>
          <w:sz w:val="20"/>
        </w:rPr>
        <w:t>L’Académie nationale de médecine recommande l’obligation de la vaccination contre la grippe pour les professionnels de soins et les résidents en EHPAD (Académie nationale de médecine, 08/12/2025)</w:t>
      </w:r>
      <w:r>
        <w:rPr>
          <w:color w:val="538135"/>
          <w:sz w:val="20"/>
        </w:rPr>
        <w:t>.</w:t>
      </w:r>
    </w:p>
    <w:p w14:paraId="2D5E2712" w14:textId="77777777" w:rsidR="00B66A04" w:rsidRDefault="00B66A04" w:rsidP="00B66A04">
      <w:pPr>
        <w:pStyle w:val="Default"/>
        <w:jc w:val="both"/>
        <w:rPr>
          <w:color w:val="FF0000"/>
        </w:rPr>
      </w:pPr>
    </w:p>
    <w:p w14:paraId="43DE1B15" w14:textId="100D9C8F" w:rsidR="00263E21" w:rsidRDefault="00263E21" w:rsidP="004B1C7D">
      <w:pPr>
        <w:pStyle w:val="Default"/>
        <w:rPr>
          <w:color w:val="538135"/>
          <w:sz w:val="20"/>
        </w:rPr>
      </w:pPr>
    </w:p>
    <w:p w14:paraId="3AC1DAAF" w14:textId="77777777" w:rsidR="00D82BEE" w:rsidRDefault="00D82BEE" w:rsidP="00263E21">
      <w:pPr>
        <w:pStyle w:val="Default"/>
        <w:jc w:val="both"/>
      </w:pPr>
    </w:p>
    <w:p w14:paraId="39EF2E30" w14:textId="77777777" w:rsidR="00CC56E9" w:rsidRPr="00672CE5" w:rsidRDefault="00CC56E9" w:rsidP="00672CE5">
      <w:pPr>
        <w:pStyle w:val="PEPS"/>
      </w:pPr>
      <w:r w:rsidRPr="00672CE5">
        <w:t>Manuel des formalités administratives :</w:t>
      </w:r>
    </w:p>
    <w:p w14:paraId="27CBAD46" w14:textId="77777777" w:rsidR="00523F15" w:rsidRPr="00126647" w:rsidRDefault="00AC503D" w:rsidP="00672CE5">
      <w:pPr>
        <w:pStyle w:val="PEPS"/>
        <w:rPr>
          <w:rFonts w:ascii="Calibri" w:eastAsia="Calibri" w:hAnsi="Calibri" w:cs="Times New Roman"/>
          <w:b w:val="0"/>
          <w:color w:val="auto"/>
          <w:sz w:val="22"/>
          <w:szCs w:val="21"/>
          <w:lang w:eastAsia="en-US"/>
        </w:rPr>
      </w:pPr>
      <w:hyperlink r:id="rId23" w:history="1">
        <w:r w:rsidRPr="00E146CA">
          <w:rPr>
            <w:rStyle w:val="Lienhypertexte"/>
            <w:rFonts w:ascii="Calibri" w:eastAsia="Calibri" w:hAnsi="Calibri" w:cs="Times New Roman"/>
            <w:b w:val="0"/>
            <w:sz w:val="22"/>
            <w:szCs w:val="21"/>
            <w:lang w:eastAsia="en-US"/>
          </w:rPr>
          <w:t>https://peps.sante.gouv.fr/outils/guide_proced/guide.html</w:t>
        </w:r>
      </w:hyperlink>
    </w:p>
    <w:p w14:paraId="160947D1" w14:textId="77777777" w:rsidR="005142E8" w:rsidRDefault="005142E8" w:rsidP="00672CE5">
      <w:pPr>
        <w:pStyle w:val="Textebrut"/>
      </w:pPr>
    </w:p>
    <w:p w14:paraId="487B521C" w14:textId="77777777" w:rsidR="00560B92" w:rsidRDefault="00560B92" w:rsidP="00672CE5">
      <w:pPr>
        <w:pStyle w:val="Textebrut"/>
      </w:pPr>
    </w:p>
    <w:p w14:paraId="1BF670A9" w14:textId="77777777" w:rsidR="00560B92" w:rsidRPr="00672CE5" w:rsidRDefault="00560B92" w:rsidP="00672CE5">
      <w:pPr>
        <w:pStyle w:val="Textebrut"/>
      </w:pPr>
    </w:p>
    <w:p w14:paraId="7D14D3D8" w14:textId="77777777" w:rsidR="00AD13E8" w:rsidRDefault="00AD13E8" w:rsidP="00672CE5">
      <w:pPr>
        <w:pStyle w:val="PEPS"/>
      </w:pPr>
      <w:r w:rsidRPr="00947196">
        <w:t>Textes en projet :</w:t>
      </w:r>
    </w:p>
    <w:p w14:paraId="23100B25" w14:textId="77777777" w:rsidR="00EA7ACB" w:rsidRDefault="00EA7ACB" w:rsidP="00EA7ACB">
      <w:pPr>
        <w:pStyle w:val="PEPS"/>
        <w:rPr>
          <w:rFonts w:ascii="Calibri" w:eastAsia="Calibri" w:hAnsi="Calibri" w:cs="Times New Roman"/>
          <w:b w:val="0"/>
          <w:color w:val="auto"/>
          <w:sz w:val="22"/>
          <w:szCs w:val="21"/>
          <w:lang w:eastAsia="en-US"/>
        </w:rPr>
      </w:pPr>
      <w:hyperlink r:id="rId24" w:history="1">
        <w:r>
          <w:rPr>
            <w:rStyle w:val="Lienhypertexte"/>
            <w:rFonts w:ascii="Calibri" w:eastAsia="Calibri" w:hAnsi="Calibri" w:cs="Times New Roman"/>
            <w:b w:val="0"/>
            <w:sz w:val="22"/>
            <w:szCs w:val="21"/>
            <w:lang w:eastAsia="en-US"/>
          </w:rPr>
          <w:t>https://peps.sante.gouv.fr/textes_projets/projets.html</w:t>
        </w:r>
      </w:hyperlink>
    </w:p>
    <w:p w14:paraId="39883FB7" w14:textId="77777777" w:rsidR="00430E44" w:rsidRDefault="00430E44" w:rsidP="00672CE5">
      <w:pPr>
        <w:pStyle w:val="PEPS"/>
        <w:rPr>
          <w:rFonts w:ascii="Calibri" w:eastAsia="Calibri" w:hAnsi="Calibri" w:cs="Times New Roman"/>
          <w:b w:val="0"/>
          <w:color w:val="auto"/>
          <w:sz w:val="22"/>
          <w:szCs w:val="21"/>
          <w:lang w:eastAsia="en-US"/>
        </w:rPr>
      </w:pPr>
    </w:p>
    <w:p w14:paraId="5DD423E4" w14:textId="0BB4EB9D" w:rsidR="0083452B" w:rsidRPr="0083452B" w:rsidRDefault="0083452B" w:rsidP="0083452B">
      <w:pPr>
        <w:pStyle w:val="PEPS"/>
        <w:rPr>
          <w:rFonts w:ascii="Calibri" w:eastAsia="Calibri" w:hAnsi="Calibri" w:cs="Times New Roman"/>
          <w:b w:val="0"/>
          <w:color w:val="auto"/>
          <w:sz w:val="22"/>
          <w:szCs w:val="21"/>
          <w:lang w:eastAsia="en-US"/>
        </w:rPr>
      </w:pPr>
      <w:r w:rsidRPr="0083452B">
        <w:rPr>
          <w:rFonts w:ascii="Calibri" w:eastAsia="Calibri" w:hAnsi="Calibri" w:cs="Times New Roman"/>
          <w:b w:val="0"/>
          <w:color w:val="auto"/>
          <w:sz w:val="22"/>
          <w:szCs w:val="21"/>
          <w:lang w:eastAsia="en-US"/>
        </w:rPr>
        <w:t xml:space="preserve">Position conjointe de la Conférence des Doyennes et des Doyens de Médecine, de France Universités et de l’Académie nationale de médecine : Proposition de Projet de Loi Numéro 1981 dite « PPL Imbert », votée au Sénat le 20/10/2025 (Académie nationale de médecine et autres, 16/11/2025, publiée le 03/12/2025). NdlR : il s’agit de la </w:t>
      </w:r>
      <w:hyperlink r:id="rId25" w:history="1">
        <w:r w:rsidRPr="0083452B">
          <w:rPr>
            <w:rStyle w:val="Lienhypertexte"/>
            <w:rFonts w:ascii="Calibri" w:eastAsia="Calibri" w:hAnsi="Calibri" w:cs="Times New Roman"/>
            <w:b w:val="0"/>
            <w:sz w:val="22"/>
            <w:szCs w:val="21"/>
            <w:lang w:eastAsia="en-US"/>
          </w:rPr>
          <w:t>Proposition de loi relative aux formations en santé</w:t>
        </w:r>
      </w:hyperlink>
    </w:p>
    <w:p w14:paraId="227E2ACB" w14:textId="0F50500D" w:rsidR="0083452B" w:rsidRDefault="0083452B" w:rsidP="0083452B">
      <w:pPr>
        <w:pStyle w:val="PEPS"/>
        <w:rPr>
          <w:rFonts w:ascii="Calibri" w:eastAsia="Calibri" w:hAnsi="Calibri" w:cs="Times New Roman"/>
          <w:b w:val="0"/>
          <w:color w:val="auto"/>
          <w:sz w:val="22"/>
          <w:szCs w:val="21"/>
          <w:lang w:eastAsia="en-US"/>
        </w:rPr>
      </w:pPr>
      <w:hyperlink r:id="rId26" w:history="1">
        <w:r w:rsidRPr="00853E3C">
          <w:rPr>
            <w:rStyle w:val="Lienhypertexte"/>
            <w:rFonts w:ascii="Calibri" w:eastAsia="Calibri" w:hAnsi="Calibri" w:cs="Times New Roman"/>
            <w:b w:val="0"/>
            <w:sz w:val="22"/>
            <w:szCs w:val="21"/>
            <w:lang w:eastAsia="en-US"/>
          </w:rPr>
          <w:t>https://www.academie-medecine.fr/position-conjointe-de-la-conference-des-doyennes-et-des-doyens-de-medecine-de-france-universites-et-de-lacademie-nationale-de-medecine-proposition-de-projet-de-loi-numero-1981-dite/</w:t>
        </w:r>
      </w:hyperlink>
      <w:r>
        <w:rPr>
          <w:rFonts w:ascii="Calibri" w:eastAsia="Calibri" w:hAnsi="Calibri" w:cs="Times New Roman"/>
          <w:b w:val="0"/>
          <w:color w:val="auto"/>
          <w:sz w:val="22"/>
          <w:szCs w:val="21"/>
          <w:lang w:eastAsia="en-US"/>
        </w:rPr>
        <w:t xml:space="preserve"> </w:t>
      </w:r>
    </w:p>
    <w:p w14:paraId="757AFF0D" w14:textId="77777777" w:rsidR="0083452B" w:rsidRDefault="0083452B" w:rsidP="00672CE5">
      <w:pPr>
        <w:pStyle w:val="PEPS"/>
        <w:rPr>
          <w:rFonts w:ascii="Calibri" w:eastAsia="Calibri" w:hAnsi="Calibri" w:cs="Times New Roman"/>
          <w:b w:val="0"/>
          <w:color w:val="auto"/>
          <w:sz w:val="22"/>
          <w:szCs w:val="21"/>
          <w:lang w:eastAsia="en-US"/>
        </w:rPr>
      </w:pPr>
    </w:p>
    <w:p w14:paraId="2D39E16E" w14:textId="33291A08" w:rsidR="00E7620C" w:rsidRPr="00BA2E20" w:rsidRDefault="00E7620C" w:rsidP="00E7620C">
      <w:pPr>
        <w:pStyle w:val="PEPS"/>
        <w:rPr>
          <w:rFonts w:ascii="Calibri" w:eastAsia="Calibri" w:hAnsi="Calibri" w:cs="Times New Roman"/>
          <w:bCs/>
          <w:color w:val="auto"/>
          <w:sz w:val="22"/>
          <w:szCs w:val="21"/>
          <w:lang w:eastAsia="en-US"/>
        </w:rPr>
      </w:pPr>
      <w:r w:rsidRPr="00BA2E20">
        <w:rPr>
          <w:rFonts w:ascii="Calibri" w:eastAsia="Calibri" w:hAnsi="Calibri" w:cs="Times New Roman"/>
          <w:bCs/>
          <w:color w:val="auto"/>
          <w:sz w:val="22"/>
          <w:szCs w:val="21"/>
          <w:lang w:eastAsia="en-US"/>
        </w:rPr>
        <w:t>Code de déontologie - Le pharmacien bientôt autorisé à communiquer plus facilement sur les missions et services ? (Le Quotidien du pharmacien, 10/12/2025).</w:t>
      </w:r>
    </w:p>
    <w:p w14:paraId="2089F79B" w14:textId="77777777" w:rsidR="00E7620C" w:rsidRPr="00E7620C" w:rsidRDefault="00E7620C" w:rsidP="00E7620C">
      <w:pPr>
        <w:pStyle w:val="PEPS"/>
        <w:rPr>
          <w:rFonts w:ascii="Calibri" w:eastAsia="Calibri" w:hAnsi="Calibri" w:cs="Times New Roman"/>
          <w:b w:val="0"/>
          <w:color w:val="auto"/>
          <w:sz w:val="22"/>
          <w:szCs w:val="21"/>
          <w:lang w:eastAsia="en-US"/>
        </w:rPr>
      </w:pPr>
      <w:r w:rsidRPr="00E7620C">
        <w:rPr>
          <w:rFonts w:ascii="Calibri" w:eastAsia="Calibri" w:hAnsi="Calibri" w:cs="Times New Roman"/>
          <w:b w:val="0"/>
          <w:color w:val="auto"/>
          <w:sz w:val="22"/>
          <w:szCs w:val="21"/>
          <w:lang w:eastAsia="en-US"/>
        </w:rPr>
        <w:t>L’Union des syndicats de pharmaciens d’officine (USPO) a relayé il y a quelques jours le projet de décret modifiant le code de déontologie des pharmaciens. Un texte qui prévoit notamment d’instaurer un cadre plus adapté aux pratiques actuelles en matière de communication sur les enjeux de santé publique ou de prévention par les pharmaciens d’officine. Ces derniers pourraient ainsi informer plus facilement les patients sur les services et missions qu’ils proposent, à condition bien sûr de le faire avec « tact et mesure »</w:t>
      </w:r>
    </w:p>
    <w:p w14:paraId="67ECBA17" w14:textId="77777777" w:rsidR="00E7620C" w:rsidRPr="00E7620C" w:rsidRDefault="00E7620C" w:rsidP="00E7620C">
      <w:pPr>
        <w:pStyle w:val="PEPS"/>
        <w:rPr>
          <w:rStyle w:val="Lienhypertexte"/>
          <w:b w:val="0"/>
          <w:bCs/>
          <w:lang w:eastAsia="en-US"/>
        </w:rPr>
      </w:pPr>
      <w:hyperlink r:id="rId27" w:history="1">
        <w:r w:rsidRPr="00E7620C">
          <w:rPr>
            <w:rStyle w:val="Lienhypertexte"/>
            <w:rFonts w:ascii="Calibri" w:eastAsia="Calibri" w:hAnsi="Calibri"/>
            <w:b w:val="0"/>
            <w:bCs/>
            <w:sz w:val="22"/>
            <w:szCs w:val="21"/>
            <w:lang w:eastAsia="en-US"/>
          </w:rPr>
          <w:t>https://www.lequotidiendupharmacien.fr/exercice-pro/le-pharmacien-bientot-autorise-communiquer-plus-facilement-sur-les-missions-et-services</w:t>
        </w:r>
      </w:hyperlink>
    </w:p>
    <w:p w14:paraId="72CADCDF" w14:textId="77777777" w:rsidR="00BA2E20" w:rsidRPr="00BA2E20" w:rsidRDefault="00BA2E20" w:rsidP="00BA2E20">
      <w:pPr>
        <w:pStyle w:val="PEPS"/>
        <w:rPr>
          <w:rFonts w:ascii="Calibri" w:eastAsia="Calibri" w:hAnsi="Calibri" w:cs="Times New Roman"/>
          <w:bCs/>
          <w:color w:val="auto"/>
          <w:sz w:val="22"/>
          <w:szCs w:val="21"/>
          <w:lang w:eastAsia="en-US"/>
        </w:rPr>
      </w:pPr>
      <w:r w:rsidRPr="00BA2E20">
        <w:rPr>
          <w:rFonts w:ascii="Calibri" w:eastAsia="Calibri" w:hAnsi="Calibri" w:cs="Times New Roman"/>
          <w:bCs/>
          <w:color w:val="auto"/>
          <w:sz w:val="22"/>
          <w:szCs w:val="21"/>
          <w:lang w:eastAsia="en-US"/>
        </w:rPr>
        <w:t>Publicité élargie, devoir de conseil renforcé : ce qui va changer avec le nouveau code de déontologie (Le Moniteur des pharmacies, 11/12/2025).</w:t>
      </w:r>
    </w:p>
    <w:p w14:paraId="6B8845C1" w14:textId="77777777" w:rsidR="00BA2E20" w:rsidRPr="00BA2E20" w:rsidRDefault="00BA2E20" w:rsidP="00BA2E20">
      <w:pPr>
        <w:pStyle w:val="PEPS"/>
        <w:rPr>
          <w:rFonts w:ascii="Calibri" w:eastAsia="Calibri" w:hAnsi="Calibri" w:cs="Times New Roman"/>
          <w:b w:val="0"/>
          <w:color w:val="auto"/>
          <w:sz w:val="22"/>
          <w:szCs w:val="21"/>
          <w:lang w:eastAsia="en-US"/>
        </w:rPr>
      </w:pPr>
      <w:r w:rsidRPr="00BA2E20">
        <w:rPr>
          <w:rFonts w:ascii="Calibri" w:eastAsia="Calibri" w:hAnsi="Calibri" w:cs="Times New Roman"/>
          <w:b w:val="0"/>
          <w:color w:val="auto"/>
          <w:sz w:val="22"/>
          <w:szCs w:val="21"/>
          <w:lang w:eastAsia="en-US"/>
        </w:rPr>
        <w:t>Le nouveau code de déontologie des pharmaciens est sur le point d’être finalisé. Il aura fallu neuf ans de gestation pour arriver à cette réforme qui marquera un tournant pour la profession. Le futur code introduit en effet des évolutions profondes liées à l’ouverture de la publicité, aux garanties accrues d’indépendance et aux obligations renforcées de protection des publics vulnérables</w:t>
      </w:r>
    </w:p>
    <w:p w14:paraId="1F6E3A14" w14:textId="2C5A3677" w:rsidR="0083452B" w:rsidRDefault="00BA2E20" w:rsidP="00BA2E20">
      <w:pPr>
        <w:pStyle w:val="PEPS"/>
        <w:rPr>
          <w:rFonts w:ascii="Calibri" w:eastAsia="Calibri" w:hAnsi="Calibri" w:cs="Times New Roman"/>
          <w:b w:val="0"/>
          <w:color w:val="auto"/>
          <w:sz w:val="22"/>
          <w:szCs w:val="21"/>
          <w:lang w:eastAsia="en-US"/>
        </w:rPr>
      </w:pPr>
      <w:hyperlink r:id="rId28" w:history="1">
        <w:r w:rsidRPr="00BD3579">
          <w:rPr>
            <w:rStyle w:val="Lienhypertexte"/>
            <w:rFonts w:ascii="Calibri" w:eastAsia="Calibri" w:hAnsi="Calibri" w:cs="Times New Roman"/>
            <w:b w:val="0"/>
            <w:sz w:val="22"/>
            <w:szCs w:val="21"/>
            <w:lang w:eastAsia="en-US"/>
          </w:rPr>
          <w:t>https://www.lemoniteurdespharmacies.fr/profession/socio-professionnel/publicite-elargie-devoir-de-conseil-renforce-ce-qui-va-changer-avec-le-nouveau-code-de-deontologie</w:t>
        </w:r>
      </w:hyperlink>
    </w:p>
    <w:p w14:paraId="46699C15" w14:textId="77777777" w:rsidR="00BA2E20" w:rsidRDefault="00BA2E20" w:rsidP="00BA2E20">
      <w:pPr>
        <w:pStyle w:val="PEPS"/>
        <w:rPr>
          <w:rFonts w:ascii="Calibri" w:eastAsia="Calibri" w:hAnsi="Calibri" w:cs="Times New Roman"/>
          <w:b w:val="0"/>
          <w:color w:val="auto"/>
          <w:sz w:val="22"/>
          <w:szCs w:val="21"/>
          <w:lang w:eastAsia="en-US"/>
        </w:rPr>
      </w:pPr>
    </w:p>
    <w:p w14:paraId="0D2D7F26" w14:textId="740C94FE" w:rsidR="004B422D" w:rsidRPr="004B422D" w:rsidRDefault="004B422D" w:rsidP="004B422D">
      <w:pPr>
        <w:pStyle w:val="PEPS"/>
        <w:rPr>
          <w:rFonts w:ascii="Calibri" w:eastAsia="Calibri" w:hAnsi="Calibri" w:cs="Times New Roman"/>
          <w:bCs/>
          <w:color w:val="auto"/>
          <w:sz w:val="22"/>
          <w:szCs w:val="21"/>
          <w:lang w:eastAsia="en-US"/>
        </w:rPr>
      </w:pPr>
      <w:r w:rsidRPr="004B422D">
        <w:rPr>
          <w:rFonts w:ascii="Calibri" w:eastAsia="Calibri" w:hAnsi="Calibri" w:cs="Times New Roman"/>
          <w:bCs/>
          <w:color w:val="auto"/>
          <w:sz w:val="22"/>
          <w:szCs w:val="21"/>
          <w:lang w:eastAsia="en-US"/>
        </w:rPr>
        <w:t>"Paquet pharmaceutique": le Conseil et le Parlement parviennent à un accord sur de nouvelles règles pour un secteur pharmaceutique de l'UE plus juste et plus compétitif (Conseil européen, 11/12/2025).</w:t>
      </w:r>
    </w:p>
    <w:p w14:paraId="5AB40E7D" w14:textId="25738343" w:rsidR="004B422D" w:rsidRDefault="004B422D" w:rsidP="004B422D">
      <w:pPr>
        <w:pStyle w:val="PEPS"/>
        <w:rPr>
          <w:rFonts w:ascii="Calibri" w:eastAsia="Calibri" w:hAnsi="Calibri" w:cs="Times New Roman"/>
          <w:b w:val="0"/>
          <w:color w:val="auto"/>
          <w:sz w:val="22"/>
          <w:szCs w:val="21"/>
          <w:lang w:eastAsia="en-US"/>
        </w:rPr>
      </w:pPr>
      <w:r w:rsidRPr="004B422D">
        <w:rPr>
          <w:rFonts w:ascii="Calibri" w:eastAsia="Calibri" w:hAnsi="Calibri" w:cs="Times New Roman"/>
          <w:b w:val="0"/>
          <w:color w:val="auto"/>
          <w:sz w:val="22"/>
          <w:szCs w:val="21"/>
          <w:lang w:eastAsia="en-US"/>
        </w:rPr>
        <w:t>Le Conseil et le Parlement européen sont parvenus à un accord sur le "paquet pharmaceutique", un nouvel ensemble de règles qui améliorera l'accès des patients aux médicaments et rendra le secteur pharmaceutique de l'UE plus juste et plus compétitif</w:t>
      </w:r>
    </w:p>
    <w:p w14:paraId="23364D85" w14:textId="47A73AB5" w:rsidR="004B422D" w:rsidRDefault="004B422D" w:rsidP="004B422D">
      <w:pPr>
        <w:pStyle w:val="PEPS"/>
        <w:rPr>
          <w:rFonts w:ascii="Calibri" w:eastAsia="Calibri" w:hAnsi="Calibri" w:cs="Times New Roman"/>
          <w:b w:val="0"/>
          <w:color w:val="auto"/>
          <w:sz w:val="22"/>
          <w:szCs w:val="21"/>
          <w:lang w:eastAsia="en-US"/>
        </w:rPr>
      </w:pPr>
      <w:hyperlink r:id="rId29" w:history="1">
        <w:r w:rsidRPr="00187D16">
          <w:rPr>
            <w:rStyle w:val="Lienhypertexte"/>
            <w:rFonts w:ascii="Calibri" w:eastAsia="Calibri" w:hAnsi="Calibri" w:cs="Times New Roman"/>
            <w:b w:val="0"/>
            <w:sz w:val="22"/>
            <w:szCs w:val="21"/>
            <w:lang w:eastAsia="en-US"/>
          </w:rPr>
          <w:t>https://www.consilium.europa.eu/fr/press/press-releases/2025/12/11/pharma-package-council-and-parliament-reach-a-deal-on-new-rules-for-a-fairer-and-more-competitive-eu-pharmaceutical-sector/</w:t>
        </w:r>
      </w:hyperlink>
    </w:p>
    <w:p w14:paraId="2AB0B47D" w14:textId="77777777" w:rsidR="004B422D" w:rsidRDefault="004B422D" w:rsidP="004B422D">
      <w:pPr>
        <w:pStyle w:val="PEPS"/>
        <w:rPr>
          <w:rFonts w:ascii="Calibri" w:eastAsia="Calibri" w:hAnsi="Calibri" w:cs="Times New Roman"/>
          <w:b w:val="0"/>
          <w:color w:val="auto"/>
          <w:sz w:val="22"/>
          <w:szCs w:val="21"/>
          <w:lang w:eastAsia="en-US"/>
        </w:rPr>
      </w:pPr>
    </w:p>
    <w:p w14:paraId="6CC91D67" w14:textId="77777777" w:rsidR="00FD5F71" w:rsidRPr="00FD5F71" w:rsidRDefault="00FD5F71" w:rsidP="00FD5F71">
      <w:pPr>
        <w:pStyle w:val="PEPS"/>
        <w:rPr>
          <w:rFonts w:ascii="Calibri" w:eastAsia="Calibri" w:hAnsi="Calibri" w:cs="Times New Roman"/>
          <w:bCs/>
          <w:color w:val="auto"/>
          <w:sz w:val="22"/>
          <w:szCs w:val="21"/>
          <w:lang w:eastAsia="en-US"/>
        </w:rPr>
      </w:pPr>
      <w:r w:rsidRPr="00FD5F71">
        <w:rPr>
          <w:rFonts w:ascii="Calibri" w:eastAsia="Calibri" w:hAnsi="Calibri" w:cs="Times New Roman"/>
          <w:bCs/>
          <w:color w:val="auto"/>
          <w:sz w:val="22"/>
          <w:szCs w:val="21"/>
          <w:lang w:eastAsia="en-US"/>
        </w:rPr>
        <w:t>PLFSS 2026 provisoire adopté par l’Assemblée nationale le 16/12/2025</w:t>
      </w:r>
    </w:p>
    <w:p w14:paraId="7A79DA0C" w14:textId="77777777" w:rsidR="00FD5F71" w:rsidRPr="00FD5F71" w:rsidRDefault="00FD5F71" w:rsidP="00FD5F71">
      <w:pPr>
        <w:pStyle w:val="PEPS"/>
        <w:rPr>
          <w:rFonts w:ascii="Calibri" w:eastAsia="Calibri" w:hAnsi="Calibri"/>
          <w:color w:val="auto"/>
          <w:sz w:val="22"/>
          <w:szCs w:val="21"/>
          <w:lang w:eastAsia="en-US"/>
        </w:rPr>
      </w:pPr>
      <w:hyperlink r:id="rId30" w:history="1">
        <w:r w:rsidRPr="00FD5F71">
          <w:rPr>
            <w:rStyle w:val="Lienhypertexte"/>
            <w:rFonts w:ascii="Calibri" w:eastAsia="Calibri" w:hAnsi="Calibri" w:cs="Times New Roman"/>
            <w:b w:val="0"/>
            <w:sz w:val="22"/>
            <w:szCs w:val="21"/>
            <w:lang w:eastAsia="en-US"/>
          </w:rPr>
          <w:t>https://www.assemblee-nationale.fr/dyn/17/textes/l17t0199_texte-adopte-provisoire</w:t>
        </w:r>
      </w:hyperlink>
    </w:p>
    <w:p w14:paraId="669AEDEE" w14:textId="77777777" w:rsidR="004B422D" w:rsidRDefault="004B422D" w:rsidP="004B422D">
      <w:pPr>
        <w:pStyle w:val="PEPS"/>
        <w:rPr>
          <w:rFonts w:ascii="Calibri" w:eastAsia="Calibri" w:hAnsi="Calibri" w:cs="Times New Roman"/>
          <w:b w:val="0"/>
          <w:color w:val="auto"/>
          <w:sz w:val="22"/>
          <w:szCs w:val="21"/>
          <w:lang w:eastAsia="en-US"/>
        </w:rPr>
      </w:pPr>
    </w:p>
    <w:p w14:paraId="1873D0BF" w14:textId="77777777" w:rsidR="005C6EF5" w:rsidRPr="005C6EF5" w:rsidRDefault="005C6EF5" w:rsidP="005C6EF5">
      <w:pPr>
        <w:pStyle w:val="PEPS"/>
        <w:rPr>
          <w:rFonts w:ascii="Calibri" w:eastAsia="Calibri" w:hAnsi="Calibri" w:cs="Times New Roman"/>
          <w:bCs/>
          <w:color w:val="auto"/>
          <w:sz w:val="22"/>
          <w:szCs w:val="21"/>
          <w:lang w:eastAsia="en-US"/>
        </w:rPr>
      </w:pPr>
      <w:r w:rsidRPr="005C6EF5">
        <w:rPr>
          <w:rFonts w:ascii="Calibri" w:eastAsia="Calibri" w:hAnsi="Calibri" w:cs="Times New Roman"/>
          <w:bCs/>
          <w:color w:val="auto"/>
          <w:sz w:val="22"/>
          <w:szCs w:val="21"/>
          <w:lang w:eastAsia="en-US"/>
        </w:rPr>
        <w:t>Avis HAS n°2025.0069/AC/SEAP du 18 décembre 2025 du collège de la HAS relatif au projet d’arrêté modifiant les conditions de réalisation de prélèvements et d’analyses d’examens de biologie médicale en dehors d’un laboratoire de biologie médicale</w:t>
      </w:r>
    </w:p>
    <w:p w14:paraId="2E1BDD05" w14:textId="77777777" w:rsidR="005C6EF5" w:rsidRPr="005C6EF5" w:rsidRDefault="005C6EF5" w:rsidP="005C6EF5">
      <w:pPr>
        <w:pStyle w:val="PEPS"/>
        <w:rPr>
          <w:rFonts w:ascii="Calibri" w:eastAsia="Calibri" w:hAnsi="Calibri"/>
          <w:b w:val="0"/>
          <w:bCs/>
          <w:sz w:val="22"/>
          <w:szCs w:val="21"/>
          <w:lang w:eastAsia="en-US"/>
        </w:rPr>
      </w:pPr>
      <w:hyperlink r:id="rId31" w:history="1">
        <w:r w:rsidRPr="005C6EF5">
          <w:rPr>
            <w:rStyle w:val="Lienhypertexte"/>
            <w:rFonts w:ascii="Calibri" w:eastAsia="Calibri" w:hAnsi="Calibri"/>
            <w:b w:val="0"/>
            <w:bCs/>
            <w:sz w:val="22"/>
            <w:szCs w:val="21"/>
            <w:lang w:eastAsia="en-US"/>
          </w:rPr>
          <w:t>https://www.has-sante.fr/upload/docs/application/pdf/2025-12/dir2/ac_2025_0069_arrete_biologie_delocalisee.pdf</w:t>
        </w:r>
      </w:hyperlink>
    </w:p>
    <w:p w14:paraId="44F3ED43" w14:textId="77777777" w:rsidR="005C6EF5" w:rsidRDefault="005C6EF5" w:rsidP="003C23FC">
      <w:pPr>
        <w:pStyle w:val="PEPS"/>
        <w:rPr>
          <w:rFonts w:ascii="Calibri" w:eastAsia="Calibri" w:hAnsi="Calibri" w:cs="Times New Roman"/>
          <w:b w:val="0"/>
          <w:color w:val="auto"/>
          <w:sz w:val="22"/>
          <w:szCs w:val="21"/>
          <w:lang w:eastAsia="en-US"/>
        </w:rPr>
      </w:pPr>
    </w:p>
    <w:p w14:paraId="1EA2C782" w14:textId="77777777" w:rsidR="009F695C" w:rsidRPr="009F695C" w:rsidRDefault="009F695C" w:rsidP="009F695C">
      <w:pPr>
        <w:pStyle w:val="Textebrut"/>
        <w:rPr>
          <w:b/>
          <w:bCs/>
        </w:rPr>
      </w:pPr>
      <w:r w:rsidRPr="009F695C">
        <w:rPr>
          <w:b/>
          <w:bCs/>
        </w:rPr>
        <w:t>Antalgiques de palier 1 : le décret de la discorde (Le Moniteur des pharmacies, 19/12/2025).</w:t>
      </w:r>
    </w:p>
    <w:p w14:paraId="65CC9B58" w14:textId="77777777" w:rsidR="009F695C" w:rsidRDefault="009F695C" w:rsidP="009F695C">
      <w:pPr>
        <w:pStyle w:val="Textebrut"/>
      </w:pPr>
      <w:r>
        <w:t>En préparation depuis des mois, le projet de décret limitant la délivrance d’antalgiques de palier 1 hérisse la profession. La Fédération des syndicats pharmaceutiques de France (FSPF) s’y oppose fermement, arguant les conséquences néfastes pour de nombreux patients souffrant de douleurs chroniques</w:t>
      </w:r>
    </w:p>
    <w:p w14:paraId="75707CFF" w14:textId="77777777" w:rsidR="009F695C" w:rsidRDefault="009F695C" w:rsidP="009F695C">
      <w:pPr>
        <w:pStyle w:val="Textebrut"/>
      </w:pPr>
      <w:hyperlink r:id="rId32" w:history="1">
        <w:r w:rsidRPr="00D71CF3">
          <w:rPr>
            <w:rStyle w:val="Lienhypertexte"/>
          </w:rPr>
          <w:t>https://www.lemoniteurdespharmacies.fr/profession/socio-professionnel/antalgiques-de-palier-1-le-decret-de-la-discorde</w:t>
        </w:r>
      </w:hyperlink>
    </w:p>
    <w:p w14:paraId="77783067" w14:textId="77777777" w:rsidR="009F695C" w:rsidRDefault="009F695C" w:rsidP="009F695C">
      <w:pPr>
        <w:pStyle w:val="Textebrut"/>
      </w:pPr>
    </w:p>
    <w:p w14:paraId="4D411618" w14:textId="77777777" w:rsidR="003C23FC" w:rsidRDefault="003C23FC" w:rsidP="003C23FC">
      <w:pPr>
        <w:pStyle w:val="PEPS"/>
        <w:rPr>
          <w:rFonts w:ascii="Calibri" w:eastAsia="Calibri" w:hAnsi="Calibri" w:cs="Times New Roman"/>
          <w:b w:val="0"/>
          <w:color w:val="auto"/>
          <w:sz w:val="22"/>
          <w:szCs w:val="21"/>
          <w:lang w:eastAsia="en-US"/>
        </w:rPr>
      </w:pPr>
    </w:p>
    <w:p w14:paraId="1A4FEB8F" w14:textId="77777777" w:rsidR="0083452B" w:rsidRDefault="0083452B" w:rsidP="00672CE5">
      <w:pPr>
        <w:pStyle w:val="PEPS"/>
        <w:rPr>
          <w:rFonts w:ascii="Calibri" w:eastAsia="Calibri" w:hAnsi="Calibri" w:cs="Times New Roman"/>
          <w:b w:val="0"/>
          <w:color w:val="auto"/>
          <w:sz w:val="22"/>
          <w:szCs w:val="21"/>
          <w:lang w:eastAsia="en-US"/>
        </w:rPr>
      </w:pPr>
    </w:p>
    <w:p w14:paraId="71BBF529" w14:textId="77777777" w:rsidR="0083452B" w:rsidRDefault="0083452B" w:rsidP="00672CE5">
      <w:pPr>
        <w:pStyle w:val="PEPS"/>
        <w:rPr>
          <w:rFonts w:ascii="Calibri" w:eastAsia="Calibri" w:hAnsi="Calibri" w:cs="Times New Roman"/>
          <w:b w:val="0"/>
          <w:color w:val="auto"/>
          <w:sz w:val="22"/>
          <w:szCs w:val="21"/>
          <w:lang w:eastAsia="en-US"/>
        </w:rPr>
      </w:pPr>
    </w:p>
    <w:p w14:paraId="7E59ECFC" w14:textId="2AAFB425" w:rsidR="005F5307" w:rsidRPr="005F5307" w:rsidRDefault="005F5307" w:rsidP="00672CE5">
      <w:pPr>
        <w:pStyle w:val="PEPS"/>
        <w:rPr>
          <w:rFonts w:ascii="Calibri" w:eastAsia="Calibri" w:hAnsi="Calibri" w:cs="Times New Roman"/>
          <w:bCs/>
          <w:color w:val="538135" w:themeColor="accent6" w:themeShade="BF"/>
          <w:sz w:val="22"/>
          <w:szCs w:val="21"/>
          <w:u w:val="single"/>
          <w:lang w:eastAsia="en-US"/>
        </w:rPr>
      </w:pPr>
      <w:r w:rsidRPr="005F5307">
        <w:rPr>
          <w:rFonts w:ascii="Calibri" w:eastAsia="Calibri" w:hAnsi="Calibri" w:cs="Times New Roman"/>
          <w:bCs/>
          <w:color w:val="538135" w:themeColor="accent6" w:themeShade="BF"/>
          <w:sz w:val="22"/>
          <w:szCs w:val="21"/>
          <w:u w:val="single"/>
          <w:lang w:eastAsia="en-US"/>
        </w:rPr>
        <w:t>PLFSS 2026</w:t>
      </w:r>
    </w:p>
    <w:p w14:paraId="323D30AB" w14:textId="77777777" w:rsidR="005F5307" w:rsidRPr="00126647" w:rsidRDefault="005F5307" w:rsidP="00672CE5">
      <w:pPr>
        <w:pStyle w:val="PEPS"/>
        <w:rPr>
          <w:rFonts w:ascii="Calibri" w:eastAsia="Calibri" w:hAnsi="Calibri" w:cs="Times New Roman"/>
          <w:b w:val="0"/>
          <w:color w:val="auto"/>
          <w:sz w:val="22"/>
          <w:szCs w:val="21"/>
          <w:lang w:eastAsia="en-US"/>
        </w:rPr>
      </w:pPr>
    </w:p>
    <w:p w14:paraId="132B7DAA" w14:textId="77777777" w:rsidR="006F5B38" w:rsidRPr="005F5307" w:rsidRDefault="006F5B38" w:rsidP="006F5B38">
      <w:pPr>
        <w:pStyle w:val="Textebrut"/>
        <w:rPr>
          <w:b/>
          <w:bCs/>
        </w:rPr>
      </w:pPr>
      <w:r w:rsidRPr="005F5307">
        <w:rPr>
          <w:b/>
          <w:bCs/>
        </w:rPr>
        <w:t>PLFSS 2026 : le texte retourne à l’Assemblée nationale (CNOP, 27/11/2025).</w:t>
      </w:r>
    </w:p>
    <w:p w14:paraId="0680AC6B" w14:textId="77777777" w:rsidR="006F5B38" w:rsidRPr="0080551F" w:rsidRDefault="006F5B38" w:rsidP="006F5B38">
      <w:pPr>
        <w:pStyle w:val="Textebrut"/>
      </w:pPr>
      <w:r w:rsidRPr="0080551F">
        <w:t>À l’issue de son examen et de son adoption au Sénat, le texte, largement remanié par la chambre haute, n’a pas permis à la commission mixte paritaire du 26 novembre 2025 de parvenir à un accord. Le Parlement doit donc examiner le texte en seconde lecture et se prononcer, conformément au délai constitutionnel, d’ici le 12 décembre 2025. État des lieux des principales mesures qui concernent les pharmaciens, après un premier examen par les deux chambres</w:t>
      </w:r>
    </w:p>
    <w:p w14:paraId="11632731" w14:textId="77777777" w:rsidR="006F5B38" w:rsidRPr="0080551F" w:rsidRDefault="006F5B38" w:rsidP="006F5B38">
      <w:pPr>
        <w:pStyle w:val="Textebrut"/>
      </w:pPr>
      <w:hyperlink r:id="rId33" w:history="1">
        <w:r w:rsidRPr="0080551F">
          <w:rPr>
            <w:rStyle w:val="Lienhypertexte"/>
          </w:rPr>
          <w:t>https://www.ordre.pharmacien.fr/les-communications/focus-sur/les-actualites/plfss-2026-le-texte-retourne-a-l-assemblee-nationale</w:t>
        </w:r>
      </w:hyperlink>
    </w:p>
    <w:p w14:paraId="23E33D9F" w14:textId="77777777" w:rsidR="006F5B38" w:rsidRDefault="006F5B38" w:rsidP="006F5B38">
      <w:pPr>
        <w:pStyle w:val="Textebrut"/>
      </w:pPr>
    </w:p>
    <w:p w14:paraId="68861881" w14:textId="77777777" w:rsidR="005F5307" w:rsidRPr="005F5307" w:rsidRDefault="005F5307" w:rsidP="005F5307">
      <w:pPr>
        <w:pStyle w:val="Textebrut"/>
        <w:rPr>
          <w:b/>
          <w:bCs/>
        </w:rPr>
      </w:pPr>
      <w:r w:rsidRPr="005F5307">
        <w:rPr>
          <w:b/>
          <w:bCs/>
        </w:rPr>
        <w:t>Remises sur les génériques : le gouvernement prouve que ce n’est pas tout à fait gagné (Le Moniteur des pharmacies, 01/12/2025).</w:t>
      </w:r>
    </w:p>
    <w:p w14:paraId="7B670891" w14:textId="77777777" w:rsidR="005F5307" w:rsidRPr="005F5307" w:rsidRDefault="005F5307" w:rsidP="005F5307">
      <w:pPr>
        <w:pStyle w:val="Textebrut"/>
      </w:pPr>
      <w:r w:rsidRPr="005F5307">
        <w:t>Coup de théâtre. À peine adopté, l’article 11 sexies du projet de loi de financement de la Sécurité sociale (PLFSS) pour 2026 qui fixait des plafonds de 40 % pour les remises accordées sur les génériques et 20 % pour les biosimilaires, est visé par un amendement gouvernemental de suppression. Une offensive qui renverrait la question des remises commerciales dans le seul champ réglementaire</w:t>
      </w:r>
    </w:p>
    <w:p w14:paraId="305B0655" w14:textId="3AC09E9C" w:rsidR="005F5307" w:rsidRDefault="005F5307" w:rsidP="005F5307">
      <w:pPr>
        <w:pStyle w:val="Textebrut"/>
      </w:pPr>
      <w:hyperlink r:id="rId34" w:history="1">
        <w:r w:rsidRPr="005F5307">
          <w:rPr>
            <w:rStyle w:val="Lienhypertexte"/>
          </w:rPr>
          <w:t>https://www.lemoniteurdespharmacies.fr/profession/socio-professionnel/remises-sur-les-generiques-le-gouvernement-prouve-que-ce-nest-pas-tout-a-fait-gagne</w:t>
        </w:r>
      </w:hyperlink>
    </w:p>
    <w:p w14:paraId="5BD71E16" w14:textId="77777777" w:rsidR="005F5307" w:rsidRDefault="005F5307" w:rsidP="005F5307">
      <w:pPr>
        <w:pStyle w:val="Textebrut"/>
      </w:pPr>
    </w:p>
    <w:p w14:paraId="4F107029" w14:textId="77777777" w:rsidR="00505C0F" w:rsidRPr="00505C0F" w:rsidRDefault="00505C0F" w:rsidP="00505C0F">
      <w:pPr>
        <w:pStyle w:val="Textebrut"/>
        <w:rPr>
          <w:b/>
          <w:bCs/>
        </w:rPr>
      </w:pPr>
      <w:r w:rsidRPr="00505C0F">
        <w:rPr>
          <w:b/>
          <w:bCs/>
        </w:rPr>
        <w:t>Biosimilaires, génériques, aides financières… qu’est-ce qui va changer à l’officine en janvier 2026 ? (Le Moniteur des pharmacies, 10/12/2025).</w:t>
      </w:r>
    </w:p>
    <w:p w14:paraId="44ABA8D0" w14:textId="77777777" w:rsidR="00505C0F" w:rsidRPr="00505C0F" w:rsidRDefault="00505C0F" w:rsidP="00505C0F">
      <w:pPr>
        <w:pStyle w:val="Textebrut"/>
      </w:pPr>
      <w:r w:rsidRPr="00505C0F">
        <w:t>Du plafonnement des remises sur les génériques à la substitution biosimilaire, en passant par les aides territoriales, la fiscalité des répartiteurs, le stockage vaccinal ou les antennes de pharmacies, le texte quasi final du PLFSS présente de nombreux feux verts pour l’économie officinale, mais aussi plusieurs lignes rouges. Revue de détails</w:t>
      </w:r>
    </w:p>
    <w:p w14:paraId="74AEA67C" w14:textId="08781E30" w:rsidR="00505C0F" w:rsidRDefault="00505C0F" w:rsidP="00505C0F">
      <w:pPr>
        <w:pStyle w:val="Textebrut"/>
      </w:pPr>
      <w:hyperlink r:id="rId35" w:history="1">
        <w:r w:rsidRPr="00505C0F">
          <w:rPr>
            <w:rStyle w:val="Lienhypertexte"/>
          </w:rPr>
          <w:t>https://www.lemoniteurdespharmacies.fr/profession/socio-professionnel/biosimilaires-generiques-aide-financieres-quest-ce-qui-va-changer-a-lofficine-en-janvier-2026</w:t>
        </w:r>
      </w:hyperlink>
    </w:p>
    <w:p w14:paraId="7BFE522C" w14:textId="77777777" w:rsidR="00505C0F" w:rsidRDefault="00505C0F" w:rsidP="00505C0F">
      <w:pPr>
        <w:pStyle w:val="Textebrut"/>
      </w:pPr>
    </w:p>
    <w:p w14:paraId="01EB2306" w14:textId="77777777" w:rsidR="009F695C" w:rsidRDefault="009F695C" w:rsidP="009F695C">
      <w:pPr>
        <w:pStyle w:val="Textebrut"/>
      </w:pPr>
    </w:p>
    <w:p w14:paraId="3B012EF1" w14:textId="78814B1D" w:rsidR="00402BA6" w:rsidRPr="00126647" w:rsidRDefault="00402BA6" w:rsidP="00126647">
      <w:pPr>
        <w:pStyle w:val="PEPS"/>
        <w:rPr>
          <w:rFonts w:ascii="Calibri" w:eastAsia="Calibri" w:hAnsi="Calibri" w:cs="Times New Roman"/>
          <w:b w:val="0"/>
          <w:color w:val="auto"/>
          <w:sz w:val="22"/>
          <w:szCs w:val="21"/>
          <w:lang w:eastAsia="en-US"/>
        </w:rPr>
      </w:pPr>
    </w:p>
    <w:p w14:paraId="377296C3"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420E8E0E"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436C9969" w14:textId="77777777" w:rsidR="00930CE0" w:rsidRDefault="00930CE0" w:rsidP="00672CE5">
      <w:pPr>
        <w:pStyle w:val="PEPS"/>
      </w:pPr>
      <w:r>
        <w:t>Actualité réglementaire</w:t>
      </w:r>
      <w:r w:rsidRPr="00947196">
        <w:t> :</w:t>
      </w:r>
    </w:p>
    <w:p w14:paraId="38462152" w14:textId="77777777" w:rsidR="00AC503D" w:rsidRDefault="00AC503D" w:rsidP="00AC503D">
      <w:pPr>
        <w:pStyle w:val="PEPS"/>
        <w:rPr>
          <w:rFonts w:ascii="Calibri" w:eastAsia="Calibri" w:hAnsi="Calibri" w:cs="Times New Roman"/>
          <w:b w:val="0"/>
          <w:color w:val="auto"/>
          <w:sz w:val="22"/>
          <w:szCs w:val="21"/>
          <w:lang w:eastAsia="en-US"/>
        </w:rPr>
      </w:pPr>
      <w:hyperlink r:id="rId36" w:history="1">
        <w:r w:rsidRPr="00E146CA">
          <w:rPr>
            <w:rStyle w:val="Lienhypertexte"/>
            <w:rFonts w:ascii="Calibri" w:eastAsia="Calibri" w:hAnsi="Calibri" w:cs="Times New Roman"/>
            <w:b w:val="0"/>
            <w:sz w:val="22"/>
            <w:szCs w:val="21"/>
            <w:lang w:eastAsia="en-US"/>
          </w:rPr>
          <w:t>https://peps.sante.gouv.fr/outils/docu/texto.xlsm</w:t>
        </w:r>
      </w:hyperlink>
    </w:p>
    <w:p w14:paraId="757907E6"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6A49D196" w14:textId="77777777" w:rsidR="00553783" w:rsidRPr="00553783" w:rsidRDefault="00553783" w:rsidP="00553783">
      <w:pPr>
        <w:pStyle w:val="Textebrut"/>
      </w:pPr>
      <w:r w:rsidRPr="00553783">
        <w:t>Décision ANSM du 27/11/2025 portant modification de la liste de référence des groupes biologiques similaires mentionnée à l’article R. 5121-9-1 du code de la santé publique</w:t>
      </w:r>
    </w:p>
    <w:p w14:paraId="2CFA4F92" w14:textId="77777777" w:rsidR="00553783" w:rsidRPr="00553783" w:rsidRDefault="00553783" w:rsidP="00553783">
      <w:pPr>
        <w:pStyle w:val="Textebrut"/>
      </w:pPr>
      <w:hyperlink r:id="rId37" w:history="1">
        <w:r w:rsidRPr="00553783">
          <w:rPr>
            <w:rStyle w:val="Lienhypertexte"/>
          </w:rPr>
          <w:t>https://ansm.sante.fr/actualites/decision-du-27-11-2025-portant-modification-de-la-liste-de-reference-des-groupes-biologiques-similaires-mentionnee-a-larticle-r-5121-9-1-du-code-de-la-sante-publique</w:t>
        </w:r>
      </w:hyperlink>
    </w:p>
    <w:p w14:paraId="0A712C19" w14:textId="77777777" w:rsidR="0080551F" w:rsidRDefault="0080551F" w:rsidP="00FA4972">
      <w:pPr>
        <w:pStyle w:val="Textebrut"/>
      </w:pPr>
    </w:p>
    <w:p w14:paraId="4AE1FE4C" w14:textId="77777777" w:rsidR="006F5B38" w:rsidRPr="006F5B38" w:rsidRDefault="006F5B38" w:rsidP="006F5B38">
      <w:pPr>
        <w:pStyle w:val="Textebrut"/>
        <w:rPr>
          <w:b/>
          <w:bCs/>
        </w:rPr>
      </w:pPr>
      <w:r w:rsidRPr="006F5B38">
        <w:rPr>
          <w:b/>
          <w:bCs/>
        </w:rPr>
        <w:t>Décret n° 2025-1147 du 28 novembre 2025 relatif à la durée minimale d'exercice préalable de certains professionnels avant leur mise à disposition d'un établissement de santé, d'un laboratoire de biologie médicale ou d'un établissement ou service social ou médico-social par une entreprise de travail temporaire et aux sanctions applicables.</w:t>
      </w:r>
    </w:p>
    <w:p w14:paraId="22695E62" w14:textId="11521C55" w:rsidR="006D2BE7" w:rsidRDefault="006D2BE7" w:rsidP="006F5B38">
      <w:pPr>
        <w:pStyle w:val="Textebrut"/>
      </w:pPr>
      <w:r w:rsidRPr="006D2BE7">
        <w:t>Publics concernés : établissements de santé, laboratoires de biologie médicale ; établissements ou services sociaux ou médico-sociaux ; entreprises de travail temporaire ; sages-femmes, professionnels de santé relevant du </w:t>
      </w:r>
      <w:hyperlink r:id="rId38" w:tooltip="Code de la santé publique -  Livre III : Auxiliaires médicaux, aides-soignan..." w:history="1">
        <w:r w:rsidRPr="006D2BE7">
          <w:rPr>
            <w:rStyle w:val="Lienhypertexte"/>
          </w:rPr>
          <w:t>livre III de la quatrième partie du code de la santé publique</w:t>
        </w:r>
      </w:hyperlink>
      <w:r w:rsidRPr="006D2BE7">
        <w:t>, médecins, chirurgiens-dentistes et pharmaciens des établissements de santé et laboratoires de biologie médicale ; infirmiers, aides-soignants, éducateurs spécialisés, assistants de service social, moniteurs-éducateurs, accompagnants éducatifs et sociaux et médecins des établissements et services sociaux et médico-sociaux.</w:t>
      </w:r>
    </w:p>
    <w:p w14:paraId="5AE57C2E" w14:textId="7D78E801" w:rsidR="006F5B38" w:rsidRPr="006F5B38" w:rsidRDefault="006F5B38" w:rsidP="006F5B38">
      <w:pPr>
        <w:pStyle w:val="Textebrut"/>
      </w:pPr>
      <w:r w:rsidRPr="006F5B38">
        <w:t>Objet : le décret fixe la durée minimale d'exercice, dans un cadre autre qu'un contrat de mission, qui est requise pour la mise à disposition d'un établissement de santé, d'un laboratoire de biologie médicale ou d'un établissement ou service social ou médico-social des personnels médicaux, odontologistes et pharmaceutiques, par le biais d'une entreprise de travail temporaire. Il détermine le régime de sanctions applicables en cas de non-respect de cette durée pour l'ensemble des professionnels concernés. Il restreint également le champ d'application de la mesure aux professionnels concluant leur premier contrat avec une entreprise de travail temporaire en vue d'exercer leur profession et, le cas échéant, leur spécialité, dans le cadre d'une mise à disposition d'un établissement de santé ou d'un laboratoire de biologie médicale</w:t>
      </w:r>
    </w:p>
    <w:p w14:paraId="30D9D0FF" w14:textId="77777777" w:rsidR="006F5B38" w:rsidRPr="006F5B38" w:rsidRDefault="006F5B38" w:rsidP="006F5B38">
      <w:pPr>
        <w:pStyle w:val="Textebrut"/>
      </w:pPr>
      <w:hyperlink r:id="rId39" w:history="1">
        <w:r w:rsidRPr="006F5B38">
          <w:rPr>
            <w:rStyle w:val="Lienhypertexte"/>
          </w:rPr>
          <w:t>https://www.legifrance.gouv.fr/jorf/id/JORFTEXT000052953255</w:t>
        </w:r>
      </w:hyperlink>
      <w:r w:rsidRPr="006F5B38">
        <w:t xml:space="preserve"> </w:t>
      </w:r>
    </w:p>
    <w:p w14:paraId="0376585C" w14:textId="315ABFB7" w:rsidR="00553783" w:rsidRPr="001C238C" w:rsidRDefault="001C238C" w:rsidP="00FA4972">
      <w:pPr>
        <w:pStyle w:val="Textebrut"/>
        <w:rPr>
          <w:b/>
          <w:bCs/>
        </w:rPr>
      </w:pPr>
      <w:r w:rsidRPr="001C238C">
        <w:rPr>
          <w:b/>
          <w:bCs/>
        </w:rPr>
        <w:t>Note d’information n° DGOS/RH4/RH5/DGCS/SD4B/2025/149 du 2 décembre 2025 relative à la durée minimale d’exercice préalable à l’intérim au sein des établissements de santé, des laboratoires de biologie médicale et des établissements et services sociaux et médico-sociaux.</w:t>
      </w:r>
    </w:p>
    <w:p w14:paraId="31987506" w14:textId="37FECB0F" w:rsidR="001C238C" w:rsidRDefault="001C238C" w:rsidP="00FA4972">
      <w:pPr>
        <w:pStyle w:val="Textebrut"/>
      </w:pPr>
      <w:bookmarkStart w:id="0" w:name="_Hlk215677968"/>
      <w:r>
        <w:t xml:space="preserve">Résumé : </w:t>
      </w:r>
      <w:r w:rsidRPr="001C238C">
        <w:t>La présente note d’information a pour objectif d’apporter des précisions quant à la mesure relative à la durée minimale d’exercice préalable à l’intérim au sein des établissements de santé, des laboratoires de biologie médicale et des établissements et services sociaux et médico-sociaux : périmètre d’application, appréciation de la durée minimale préalable à l’intérim, modalités de contrôle et sanctions encourues en cas de non-respect de ces obligations</w:t>
      </w:r>
    </w:p>
    <w:p w14:paraId="346769DE" w14:textId="37030F2C" w:rsidR="001C238C" w:rsidRDefault="001C238C" w:rsidP="00FA4972">
      <w:pPr>
        <w:pStyle w:val="Textebrut"/>
      </w:pPr>
      <w:hyperlink r:id="rId40" w:history="1">
        <w:r w:rsidRPr="00853E3C">
          <w:rPr>
            <w:rStyle w:val="Lienhypertexte"/>
          </w:rPr>
          <w:t>https://portail.tessadoc.social.gouv.fr/recherche/viewnotice/id/982684</w:t>
        </w:r>
      </w:hyperlink>
    </w:p>
    <w:bookmarkEnd w:id="0"/>
    <w:p w14:paraId="63AE50B3" w14:textId="77777777" w:rsidR="001C238C" w:rsidRDefault="001C238C" w:rsidP="00FA4972">
      <w:pPr>
        <w:pStyle w:val="Textebrut"/>
      </w:pPr>
    </w:p>
    <w:p w14:paraId="773DDC63" w14:textId="77777777" w:rsidR="00206CA5" w:rsidRPr="00206CA5" w:rsidRDefault="00206CA5" w:rsidP="00206CA5">
      <w:pPr>
        <w:pStyle w:val="Textebrut"/>
      </w:pPr>
      <w:r w:rsidRPr="00206CA5">
        <w:t>Arrêté du 25 novembre 2025 modifiant la liste des spécialités pharmaceutiques remboursables aux assurés sociaux (</w:t>
      </w:r>
      <w:r w:rsidRPr="00206CA5">
        <w:rPr>
          <w:b/>
          <w:bCs/>
        </w:rPr>
        <w:t>CAPVAXIVE, solution injectable en seringue préremplie, vaccin pneumococcique polyosidique conjugué (21-valent) pour la prévention des infections invasives et des pneumonies causées par Streptococcus pneumoniae chez les personnes âgées de 18 ans et plus</w:t>
      </w:r>
      <w:r w:rsidRPr="00206CA5">
        <w:t>)</w:t>
      </w:r>
    </w:p>
    <w:p w14:paraId="35A3195F" w14:textId="1B3CB2BC" w:rsidR="00FA4972" w:rsidRDefault="00206CA5" w:rsidP="00206CA5">
      <w:pPr>
        <w:pStyle w:val="Textebrut"/>
      </w:pPr>
      <w:r w:rsidRPr="00206CA5">
        <w:t xml:space="preserve">        </w:t>
      </w:r>
      <w:hyperlink r:id="rId41" w:history="1">
        <w:r w:rsidRPr="00206CA5">
          <w:rPr>
            <w:rStyle w:val="Lienhypertexte"/>
          </w:rPr>
          <w:t>https://www.legifrance.gouv.fr/jorf/id/JORFTEXT000052972037</w:t>
        </w:r>
      </w:hyperlink>
    </w:p>
    <w:p w14:paraId="4D112701" w14:textId="77777777" w:rsidR="00107ABA" w:rsidRDefault="00107ABA" w:rsidP="00F8571B">
      <w:pPr>
        <w:pStyle w:val="Textebrut"/>
      </w:pPr>
    </w:p>
    <w:p w14:paraId="660C7B22" w14:textId="77777777" w:rsidR="00673935" w:rsidRPr="00673935" w:rsidRDefault="00673935" w:rsidP="00673935">
      <w:pPr>
        <w:pStyle w:val="Textebrut"/>
      </w:pPr>
      <w:r w:rsidRPr="00673935">
        <w:t>Arrêté du 1er décembre 2025 fixant la liste des personnes autorisées à exercer en France les fonctions de biologiste médical dans un domaine de spécialisation en application des dispositions de l'article L. 6213-2-1 du code de la santé publique</w:t>
      </w:r>
    </w:p>
    <w:p w14:paraId="07DCA398" w14:textId="77777777" w:rsidR="00673935" w:rsidRPr="00673935" w:rsidRDefault="00673935" w:rsidP="00673935">
      <w:pPr>
        <w:pStyle w:val="Textebrut"/>
      </w:pPr>
      <w:hyperlink r:id="rId42" w:history="1">
        <w:r w:rsidRPr="00673935">
          <w:rPr>
            <w:rStyle w:val="Lienhypertexte"/>
          </w:rPr>
          <w:t>https://www.legifrance.gouv.fr/jorf/id/JORFTEXT000052983965</w:t>
        </w:r>
      </w:hyperlink>
    </w:p>
    <w:p w14:paraId="66066E83" w14:textId="77777777" w:rsidR="00206CA5" w:rsidRDefault="00206CA5" w:rsidP="00F8571B">
      <w:pPr>
        <w:pStyle w:val="Textebrut"/>
      </w:pPr>
    </w:p>
    <w:p w14:paraId="157EC070" w14:textId="77777777" w:rsidR="006A3220" w:rsidRPr="006A3220" w:rsidRDefault="006A3220" w:rsidP="006A3220">
      <w:pPr>
        <w:pStyle w:val="Textebrut"/>
        <w:rPr>
          <w:b/>
          <w:bCs/>
        </w:rPr>
      </w:pPr>
      <w:r w:rsidRPr="006A3220">
        <w:rPr>
          <w:b/>
          <w:bCs/>
        </w:rPr>
        <w:t xml:space="preserve">Arrêté du 1er décembre 2025 relatif aux règles techniques et conditions de délivrance au détail applicables aux sites de </w:t>
      </w:r>
      <w:r w:rsidRPr="006A3220">
        <w:rPr>
          <w:b/>
          <w:bCs/>
          <w:sz w:val="24"/>
          <w:szCs w:val="22"/>
        </w:rPr>
        <w:t>vente en ligne de médicaments vétérinaires</w:t>
      </w:r>
    </w:p>
    <w:p w14:paraId="1BADC900" w14:textId="15039A51" w:rsidR="00673935" w:rsidRDefault="006A3220" w:rsidP="006A3220">
      <w:pPr>
        <w:pStyle w:val="Textebrut"/>
      </w:pPr>
      <w:hyperlink r:id="rId43" w:history="1">
        <w:r w:rsidRPr="006A3220">
          <w:rPr>
            <w:rStyle w:val="Lienhypertexte"/>
          </w:rPr>
          <w:t>https://www.legifrance.gouv.fr/jorf/id/JORFTEXT000052987467</w:t>
        </w:r>
      </w:hyperlink>
    </w:p>
    <w:p w14:paraId="351AD2E0" w14:textId="77777777" w:rsidR="00206CA5" w:rsidRDefault="00206CA5" w:rsidP="00F8571B">
      <w:pPr>
        <w:pStyle w:val="Textebrut"/>
      </w:pPr>
    </w:p>
    <w:p w14:paraId="24A38D65" w14:textId="77777777" w:rsidR="00AD27D7" w:rsidRPr="00AD27D7" w:rsidRDefault="00AD27D7" w:rsidP="00AD27D7">
      <w:pPr>
        <w:pStyle w:val="Textebrut"/>
      </w:pPr>
      <w:r w:rsidRPr="00AD27D7">
        <w:t>Arrêté du 4 décembre 2025 abrogeant l'arrêté du 16 août 2004 relatif aux formations des médecins, pharmaciens et infirmiers de sapeurs-pompiers professionnels</w:t>
      </w:r>
    </w:p>
    <w:p w14:paraId="317417DC" w14:textId="0C2FD16B" w:rsidR="00AD27D7" w:rsidRPr="00AD27D7" w:rsidRDefault="00AD27D7" w:rsidP="00AD27D7">
      <w:pPr>
        <w:pStyle w:val="Textebrut"/>
      </w:pPr>
      <w:hyperlink r:id="rId44" w:history="1">
        <w:r w:rsidRPr="00AD27D7">
          <w:rPr>
            <w:rStyle w:val="Lienhypertexte"/>
          </w:rPr>
          <w:t>https://www.legifrance.gouv.fr/jorf/id/JORFTEXT000052990409</w:t>
        </w:r>
      </w:hyperlink>
      <w:r w:rsidRPr="00AD27D7">
        <w:t xml:space="preserve"> </w:t>
      </w:r>
    </w:p>
    <w:p w14:paraId="497EB558" w14:textId="77777777" w:rsidR="006A3220" w:rsidRDefault="006A3220" w:rsidP="00F8571B">
      <w:pPr>
        <w:pStyle w:val="Textebrut"/>
      </w:pPr>
    </w:p>
    <w:p w14:paraId="0031F271" w14:textId="77777777" w:rsidR="00AD27D7" w:rsidRPr="00AD27D7" w:rsidRDefault="00AD27D7" w:rsidP="00AD27D7">
      <w:pPr>
        <w:pStyle w:val="Textebrut"/>
        <w:rPr>
          <w:b/>
          <w:bCs/>
        </w:rPr>
      </w:pPr>
      <w:r w:rsidRPr="00AD27D7">
        <w:rPr>
          <w:b/>
          <w:bCs/>
        </w:rPr>
        <w:t>Arrêté du 18 novembre 2025 modifiant l'arrêté du 13 août 2014 fixant les catégories de professionnels de santé autorisés à réaliser des prélèvements d'échantillons biologiques aux fins d'un examen de biologie médicale et la phase analytique de l'examen de biologie médicale en dehors d'un laboratoire de biologie médicale ainsi que les lieux de réalisation de ces phases</w:t>
      </w:r>
    </w:p>
    <w:p w14:paraId="0675AB11" w14:textId="37A53A0E" w:rsidR="00AD27D7" w:rsidRDefault="00AD27D7" w:rsidP="00AD27D7">
      <w:pPr>
        <w:pStyle w:val="Textebrut"/>
      </w:pPr>
      <w:hyperlink r:id="rId45" w:history="1">
        <w:r w:rsidRPr="00AD27D7">
          <w:rPr>
            <w:rStyle w:val="Lienhypertexte"/>
          </w:rPr>
          <w:t>https://www.legifrance.gouv.fr/jorf/id/JORFTEXT000052990681</w:t>
        </w:r>
      </w:hyperlink>
    </w:p>
    <w:p w14:paraId="0E7C209A" w14:textId="77777777" w:rsidR="00AD27D7" w:rsidRDefault="00AD27D7" w:rsidP="00AD27D7">
      <w:pPr>
        <w:pStyle w:val="Textebrut"/>
      </w:pPr>
    </w:p>
    <w:p w14:paraId="2D722837" w14:textId="340503DA" w:rsidR="00DD1A05" w:rsidRPr="00DD1A05" w:rsidRDefault="00DD1A05" w:rsidP="00DD1A05">
      <w:pPr>
        <w:pStyle w:val="Textebrut"/>
      </w:pPr>
      <w:r w:rsidRPr="00DD1A05">
        <w:rPr>
          <w:b/>
          <w:bCs/>
        </w:rPr>
        <w:t>Arrêté du 10 novembre 2025 fixant les caractéristiques des préparations pour nourrissons ainsi que des denrées alimentaires destinées à des fins médicales spéciales à destination des enfants de moins de 6 mois dont la vente au détail et la dispensation au public sont réservées aux pharmaciens en application de l'article L. 4211-1 du code de la santé publique</w:t>
      </w:r>
      <w:r>
        <w:rPr>
          <w:b/>
          <w:bCs/>
        </w:rPr>
        <w:t xml:space="preserve"> </w:t>
      </w:r>
      <w:r>
        <w:t>(pour rappel)</w:t>
      </w:r>
    </w:p>
    <w:p w14:paraId="09C6FD21" w14:textId="556ADBB8" w:rsidR="00DD1A05" w:rsidRDefault="00DD1A05" w:rsidP="00AD27D7">
      <w:pPr>
        <w:pStyle w:val="Textebrut"/>
      </w:pPr>
      <w:hyperlink r:id="rId46" w:history="1">
        <w:r w:rsidRPr="00DD1A05">
          <w:rPr>
            <w:rStyle w:val="Lienhypertexte"/>
          </w:rPr>
          <w:t>Arrêté du 10 novembre 2025 fixant les caractéristiques des préparations pour nourrissons ainsi que des denrées alimentaires destinées à des fins médicales spéciales à destination des enfants de moins de 6 mois dont la vente au détail et la dispensation au public sont réservées aux pharmaciens en application de l'article L. 4211-1 du code de la santé publique - Légifrance</w:t>
        </w:r>
      </w:hyperlink>
    </w:p>
    <w:p w14:paraId="5A5B2159" w14:textId="3170F41A" w:rsidR="00DD1A05" w:rsidRPr="00DD1A05" w:rsidRDefault="00DD1A05" w:rsidP="00DD1A05">
      <w:pPr>
        <w:pStyle w:val="Textebrut"/>
        <w:rPr>
          <w:b/>
          <w:bCs/>
        </w:rPr>
      </w:pPr>
      <w:r w:rsidRPr="00DD1A05">
        <w:rPr>
          <w:b/>
          <w:bCs/>
        </w:rPr>
        <w:t>Denrées alimentaires et préparations pour nourrissons : publication d’un nouvel arrêté (CNOP, 04/12/2025).</w:t>
      </w:r>
    </w:p>
    <w:p w14:paraId="2A24C9B1" w14:textId="339423FB" w:rsidR="00DD1A05" w:rsidRDefault="00DD1A05" w:rsidP="00DD1A05">
      <w:pPr>
        <w:pStyle w:val="Textebrut"/>
      </w:pPr>
      <w:r w:rsidRPr="00DD1A05">
        <w:t>En mars 2023, la loi portant diverses dispositions d’adaptation au droit de l’Union européenne (DDADUE) a précisé les modalités de distribution et de prescription des denrées alimentaires destinées à des fins médicales spéciales (DADFMS). Elle a notamment étendu le monopole pharmaceutique aux préparations et DADFMS pour nourrissons jusqu’à 6 mois (contre 4 mois actuellement), ainsi qu'aux DADFMS à risque particulier qui seront soumises à prescription</w:t>
      </w:r>
    </w:p>
    <w:p w14:paraId="70A450FD" w14:textId="7C8C2AC4" w:rsidR="001D6189" w:rsidRDefault="001D6189" w:rsidP="00DD1A05">
      <w:pPr>
        <w:pStyle w:val="Textebrut"/>
      </w:pPr>
      <w:hyperlink r:id="rId47" w:history="1">
        <w:r w:rsidRPr="000F3140">
          <w:rPr>
            <w:rStyle w:val="Lienhypertexte"/>
          </w:rPr>
          <w:t>https://www.ordre.pharmacien.fr/les-communications/focus-sur/les-actualites/denrees-alimentaires-et-preparations-pour-nourrissons-publication-d-un-nouvel-arrete</w:t>
        </w:r>
      </w:hyperlink>
    </w:p>
    <w:p w14:paraId="3E2879A9" w14:textId="77777777" w:rsidR="001D6189" w:rsidRDefault="001D6189" w:rsidP="00DD1A05">
      <w:pPr>
        <w:pStyle w:val="Textebrut"/>
      </w:pPr>
    </w:p>
    <w:p w14:paraId="41F4006C" w14:textId="77777777" w:rsidR="006B2F9E" w:rsidRPr="006B2F9E" w:rsidRDefault="006B2F9E" w:rsidP="006B2F9E">
      <w:pPr>
        <w:pStyle w:val="Textebrut"/>
      </w:pPr>
      <w:r w:rsidRPr="006B2F9E">
        <w:t>Arrêté du 4 décembre 2025 abrogeant l'arrêté du 16 août 2004 relatif aux formations des médecins, pharmaciens et infirmiers de sapeurs-pompiers professionnels</w:t>
      </w:r>
    </w:p>
    <w:p w14:paraId="58974762" w14:textId="2D4BDCD0" w:rsidR="006B2F9E" w:rsidRDefault="006B2F9E" w:rsidP="00DD1A05">
      <w:pPr>
        <w:pStyle w:val="Textebrut"/>
      </w:pPr>
      <w:hyperlink r:id="rId48" w:history="1">
        <w:r w:rsidRPr="0071221A">
          <w:rPr>
            <w:rStyle w:val="Lienhypertexte"/>
          </w:rPr>
          <w:t>https://www.legifrance.gouv.fr/jorf/id/JORFTEXT000052990409</w:t>
        </w:r>
      </w:hyperlink>
    </w:p>
    <w:p w14:paraId="382F3089" w14:textId="77777777" w:rsidR="006B2F9E" w:rsidRDefault="006B2F9E" w:rsidP="00DD1A05">
      <w:pPr>
        <w:pStyle w:val="Textebrut"/>
      </w:pPr>
    </w:p>
    <w:p w14:paraId="6D13E465" w14:textId="77777777" w:rsidR="00A2066D" w:rsidRPr="00A2066D" w:rsidRDefault="00A2066D" w:rsidP="00A2066D">
      <w:pPr>
        <w:pStyle w:val="Textebrut"/>
      </w:pPr>
      <w:r w:rsidRPr="00A2066D">
        <w:t>Arrêté du 4 décembre 2025 modifiant l'arrêté du 20 février 2025 fixant la liste des groupes biologiques similaires substituables par le pharmacien d'officine et les conditions de substitution et d'information du prescripteur et du patient telles que prévues au 2° de l'article L. 5125-23-2 du code de la santé publique</w:t>
      </w:r>
    </w:p>
    <w:p w14:paraId="02A058A1" w14:textId="707E498D" w:rsidR="00DD1A05" w:rsidRPr="00DD1A05" w:rsidRDefault="00A2066D" w:rsidP="00A2066D">
      <w:pPr>
        <w:pStyle w:val="Textebrut"/>
      </w:pPr>
      <w:hyperlink r:id="rId49" w:history="1">
        <w:r w:rsidRPr="00A2066D">
          <w:rPr>
            <w:rStyle w:val="Lienhypertexte"/>
          </w:rPr>
          <w:t>https://www.legifrance.gouv.fr/jorf/id/JORFTEXT000053000765</w:t>
        </w:r>
      </w:hyperlink>
    </w:p>
    <w:p w14:paraId="282BE963" w14:textId="77777777" w:rsidR="00AD27D7" w:rsidRDefault="00AD27D7" w:rsidP="00AD27D7">
      <w:pPr>
        <w:pStyle w:val="Textebrut"/>
      </w:pPr>
    </w:p>
    <w:p w14:paraId="66CFFA27" w14:textId="77777777" w:rsidR="00F12104" w:rsidRPr="00F12104" w:rsidRDefault="00F12104" w:rsidP="00F12104">
      <w:pPr>
        <w:pStyle w:val="Textebrut"/>
      </w:pPr>
      <w:r w:rsidRPr="00F12104">
        <w:t>Arrêté du 9 décembre 2025 modifiant la liste des spécialités pharmaceutiques agréées à l'usage des collectivités et divers services publics (extension d’indication de Gardasil 9 à « l’immunisation active des femmes et des hommes jusqu'à 26 ans contre les infections et des lésions dues à certains types oncogènes de papillomavirus humains (HPV), selon les modalités définies par le calendrier vaccinal en vigueur et les recommandations vaccinales de la HAS du 30 avril 2025 »)</w:t>
      </w:r>
    </w:p>
    <w:p w14:paraId="53BC8E6C" w14:textId="6C55D0FB" w:rsidR="00F12104" w:rsidRPr="00F12104" w:rsidRDefault="00F12104" w:rsidP="00F12104">
      <w:pPr>
        <w:pStyle w:val="Textebrut"/>
      </w:pPr>
      <w:hyperlink r:id="rId50" w:history="1">
        <w:r w:rsidRPr="00F12104">
          <w:rPr>
            <w:rStyle w:val="Lienhypertexte"/>
          </w:rPr>
          <w:t>https://www.legifrance.gouv.fr/jorf/id/JORFTEXT000053015422</w:t>
        </w:r>
      </w:hyperlink>
    </w:p>
    <w:p w14:paraId="0D80F4D5" w14:textId="77777777" w:rsidR="00A2066D" w:rsidRDefault="00A2066D" w:rsidP="00AD27D7">
      <w:pPr>
        <w:pStyle w:val="Textebrut"/>
      </w:pPr>
    </w:p>
    <w:p w14:paraId="22CED174" w14:textId="77777777" w:rsidR="006B2F9E" w:rsidRPr="006B2F9E" w:rsidRDefault="006B2F9E" w:rsidP="006B2F9E">
      <w:pPr>
        <w:pStyle w:val="Textebrut"/>
        <w:rPr>
          <w:b/>
          <w:bCs/>
        </w:rPr>
      </w:pPr>
      <w:r w:rsidRPr="006B2F9E">
        <w:rPr>
          <w:b/>
          <w:bCs/>
        </w:rPr>
        <w:t>Décision ANSM du 11/12/2025 – Modification de la liste des médicaments de médication officinale mentionnée à l'article R. 5121-202 du CSP</w:t>
      </w:r>
    </w:p>
    <w:p w14:paraId="73462634" w14:textId="77777777" w:rsidR="006B2F9E" w:rsidRPr="006B2F9E" w:rsidRDefault="006B2F9E" w:rsidP="006B2F9E">
      <w:pPr>
        <w:pStyle w:val="Textebrut"/>
      </w:pPr>
      <w:hyperlink r:id="rId51" w:history="1">
        <w:r w:rsidRPr="006B2F9E">
          <w:rPr>
            <w:rStyle w:val="Lienhypertexte"/>
          </w:rPr>
          <w:t>https://ansm.sante.fr/actualites/decision-du-11-12-2025-modification-de-la-liste-des-medicaments-de-medication-officinale-mentionnee-a-larticle-r-5121-202-du-csp</w:t>
        </w:r>
      </w:hyperlink>
    </w:p>
    <w:p w14:paraId="58A5D128" w14:textId="77777777" w:rsidR="00F12104" w:rsidRDefault="00F12104" w:rsidP="00AD27D7">
      <w:pPr>
        <w:pStyle w:val="Textebrut"/>
      </w:pPr>
    </w:p>
    <w:p w14:paraId="13E5922D" w14:textId="77777777" w:rsidR="003B71C8" w:rsidRPr="003B71C8" w:rsidRDefault="003B71C8" w:rsidP="003B71C8">
      <w:pPr>
        <w:pStyle w:val="Textebrut"/>
        <w:rPr>
          <w:b/>
          <w:bCs/>
        </w:rPr>
      </w:pPr>
      <w:r w:rsidRPr="003B71C8">
        <w:rPr>
          <w:b/>
          <w:bCs/>
        </w:rPr>
        <w:t>Décret n° 2025-1208 du 11 décembre 2025 relatif à l'expérimentation prévue à l'article 68 de la loi n° 2025-199 du 28 février 2025 de financement de la sécurité sociale pour 2025.</w:t>
      </w:r>
    </w:p>
    <w:p w14:paraId="692590F3" w14:textId="77777777" w:rsidR="003B71C8" w:rsidRPr="003B71C8" w:rsidRDefault="003B71C8" w:rsidP="003B71C8">
      <w:pPr>
        <w:pStyle w:val="Textebrut"/>
      </w:pPr>
      <w:r w:rsidRPr="003B71C8">
        <w:t>Publics concernés : agences régionales de santé, centre de référence sur les agressions facilitées par les substances, médecins, laboratoires de biologie médicale, cabinets d'infirmiers diplômes d'Etat (IDE), établissements de santé, structures sanitaires, maisons des femmes, associations, usagers du système de santé.</w:t>
      </w:r>
    </w:p>
    <w:p w14:paraId="6136BADA" w14:textId="77777777" w:rsidR="003B71C8" w:rsidRPr="003B71C8" w:rsidRDefault="003B71C8" w:rsidP="003B71C8">
      <w:pPr>
        <w:pStyle w:val="Textebrut"/>
      </w:pPr>
      <w:r w:rsidRPr="003B71C8">
        <w:t>Objet : le décret fixe les modalités de mise en œuvre et d'évaluation de l'expérimentation du remboursement par l'assurance maladie des recherches, incluant les tests et analyses, permettant de détecter un état de soumission chimique, prévue à l'article 68 de la loi n° 2025-199 du 28 février 2025 de financement de la sécurité sociale pour 2025. A cette fin, il prévoit, pendant trois ans, la prise en charge, sur prescription médicale, des examens de biologie médicale permettant de détecter les substances impliquées dans la soumission chimique. En complément, il définit un parcours patient permettant, le cas échéant, l'utilisation des résultats d'examens à la constitution du dossier de plainte.</w:t>
      </w:r>
    </w:p>
    <w:p w14:paraId="0BAB31B6" w14:textId="77777777" w:rsidR="003B71C8" w:rsidRPr="003B71C8" w:rsidRDefault="003B71C8" w:rsidP="003B71C8">
      <w:pPr>
        <w:pStyle w:val="Textebrut"/>
      </w:pPr>
      <w:r w:rsidRPr="003B71C8">
        <w:t>Entrée en vigueur : le décret entre en vigueur le 1er janvier 2026</w:t>
      </w:r>
    </w:p>
    <w:p w14:paraId="419ED7E7" w14:textId="72C3C476" w:rsidR="003B71C8" w:rsidRPr="003B71C8" w:rsidRDefault="003B71C8" w:rsidP="003B71C8">
      <w:pPr>
        <w:pStyle w:val="Textebrut"/>
      </w:pPr>
      <w:hyperlink r:id="rId52" w:history="1">
        <w:r w:rsidRPr="003B71C8">
          <w:rPr>
            <w:rStyle w:val="Lienhypertexte"/>
          </w:rPr>
          <w:t>https://www.legifrance.gouv.fr/jorf/id/JORFTEXT000053019509</w:t>
        </w:r>
      </w:hyperlink>
      <w:r w:rsidRPr="003B71C8">
        <w:t xml:space="preserve"> </w:t>
      </w:r>
    </w:p>
    <w:p w14:paraId="3E252B80" w14:textId="00297E73" w:rsidR="00E77FEA" w:rsidRPr="00E77FEA" w:rsidRDefault="00E77FEA" w:rsidP="00E77FEA">
      <w:pPr>
        <w:pStyle w:val="Textebrut"/>
      </w:pPr>
      <w:r w:rsidRPr="00E77FEA">
        <w:rPr>
          <w:b/>
          <w:bCs/>
        </w:rPr>
        <w:t>Arrêté du 11 décembre 2025 fixant la liste des territoires participant à l'expérimentation prévue à l'article 68 de la loi n° 2025-199 du 28 février 2025 de financement de la sécurité sociale pour 2025, la liste des laboratoires spécialisés, les modalités de réalisation de conservation et de communication des résultats et le contenu du rapport d'activité annuel attendu</w:t>
      </w:r>
      <w:r w:rsidRPr="00E77FEA">
        <w:t xml:space="preserve"> (au sein de la région des Hauts-de-France, le pôle de biologie pathologie génétique service de toxicologie et génopathies du CHU de Lille (n° FINESS : 590796975) ; au sein de la région des Pays de la Loire, le laboratoire de pharmacologie - toxicologie du CHU de Nantes (n° FINESS : 440000453) ; au sein de la région Ile-de-France, le laboratoire de pharmacologie - toxicologie du CHU Raymond Poincaré à Garches (APHP) (n° FINESS : 920008208)</w:t>
      </w:r>
      <w:r w:rsidR="009A47E4">
        <w:t>)</w:t>
      </w:r>
    </w:p>
    <w:p w14:paraId="3302B0EE" w14:textId="00E82734" w:rsidR="00E77FEA" w:rsidRPr="00E77FEA" w:rsidRDefault="00E77FEA" w:rsidP="00E77FEA">
      <w:pPr>
        <w:pStyle w:val="Textebrut"/>
      </w:pPr>
      <w:hyperlink r:id="rId53" w:history="1">
        <w:r w:rsidRPr="00E77FEA">
          <w:rPr>
            <w:rStyle w:val="Lienhypertexte"/>
          </w:rPr>
          <w:t>https://www.legifrance.gouv.fr/jorf/id/JORFTEXT000053019551</w:t>
        </w:r>
      </w:hyperlink>
      <w:r w:rsidRPr="00E77FEA">
        <w:t xml:space="preserve"> </w:t>
      </w:r>
    </w:p>
    <w:p w14:paraId="1342286D" w14:textId="77777777" w:rsidR="00FB6C14" w:rsidRPr="004A57E7" w:rsidRDefault="00FB6C14" w:rsidP="00FB6C14">
      <w:pPr>
        <w:pStyle w:val="Textebrut"/>
        <w:rPr>
          <w:b/>
          <w:bCs/>
        </w:rPr>
      </w:pPr>
      <w:r w:rsidRPr="004A57E7">
        <w:rPr>
          <w:b/>
          <w:bCs/>
        </w:rPr>
        <w:t>Communiqué du 13/12/2025 - Lutte contre les violences faites aux femmes : le Gouvernement renforce son action en lançant une expérimentation inédite contre la soumission chimique.</w:t>
      </w:r>
    </w:p>
    <w:p w14:paraId="6C1596B1" w14:textId="77777777" w:rsidR="00FB6C14" w:rsidRPr="004A57E7" w:rsidRDefault="00FB6C14" w:rsidP="00FB6C14">
      <w:pPr>
        <w:pStyle w:val="Textebrut"/>
      </w:pPr>
      <w:r w:rsidRPr="004A57E7">
        <w:t>Stéphanie Rist, ministre de la Santé, de la Famille, de l’Autonomie et des Personnes handicapées, annonce la publication du décret lançant l’expérimentation relative à la lutte contre la soumission chimique. Cette nouvelle mesure, prévue dans la loi de financement de la sécurité sociale pour 2025, permettra, dès le 1er janvier 2026, d’expérimenter dans plusieurs régions le remboursement des examens de biologie médicale permettant de détecter un état de soumission chimique, sans qu’il soit nécessaire de déposer une plainte au préalable</w:t>
      </w:r>
    </w:p>
    <w:p w14:paraId="1342EDE1" w14:textId="77777777" w:rsidR="00FB6C14" w:rsidRPr="004A57E7" w:rsidRDefault="00FB6C14" w:rsidP="00FB6C14">
      <w:pPr>
        <w:pStyle w:val="Textebrut"/>
      </w:pPr>
      <w:hyperlink r:id="rId54" w:history="1">
        <w:r w:rsidRPr="004A57E7">
          <w:rPr>
            <w:rStyle w:val="Lienhypertexte"/>
          </w:rPr>
          <w:t>https://sante.gouv.fr/actualites-presse/presse/communiques-de-presse/article/lutte-contre-les-violences-faites-aux-femmes-le-gouvernement-renforce-son</w:t>
        </w:r>
      </w:hyperlink>
    </w:p>
    <w:p w14:paraId="744028A4" w14:textId="77777777" w:rsidR="00F32B2D" w:rsidRPr="00F32B2D" w:rsidRDefault="00F32B2D" w:rsidP="00F32B2D">
      <w:pPr>
        <w:pStyle w:val="Textebrut"/>
        <w:rPr>
          <w:b/>
          <w:bCs/>
        </w:rPr>
      </w:pPr>
      <w:r w:rsidRPr="00F32B2D">
        <w:rPr>
          <w:b/>
          <w:bCs/>
        </w:rPr>
        <w:t>Soumission chimique : publication des textes encadrant l’expérimentation (CNOP, 18/12/2025).</w:t>
      </w:r>
    </w:p>
    <w:p w14:paraId="5C641C87" w14:textId="77777777" w:rsidR="00F32B2D" w:rsidRPr="00F32B2D" w:rsidRDefault="00F32B2D" w:rsidP="00F32B2D">
      <w:pPr>
        <w:pStyle w:val="Textebrut"/>
      </w:pPr>
      <w:r w:rsidRPr="00F32B2D">
        <w:t>Un décret et un arrêté en date du 11 décembre 2025, publiés en application de l’article 68 de la LFSS 2025, fixent les modalités de l’expérimentation relative à la prise en charge par l’Assurance Maladie, sur prescription médicale, des examens biologiques permettant de détecter un état de soumission chimique, sans dépôt de plainte préalable. Ils entreront en vigueur au 1er janvier 2026</w:t>
      </w:r>
    </w:p>
    <w:p w14:paraId="07A7581D" w14:textId="77777777" w:rsidR="00F32B2D" w:rsidRPr="00F32B2D" w:rsidRDefault="00F32B2D" w:rsidP="00F32B2D">
      <w:pPr>
        <w:pStyle w:val="Textebrut"/>
      </w:pPr>
      <w:hyperlink r:id="rId55" w:history="1">
        <w:r w:rsidRPr="00F32B2D">
          <w:rPr>
            <w:rStyle w:val="Lienhypertexte"/>
          </w:rPr>
          <w:t>https://www.ordre.pharmacien.fr/les-communications/focus-sur/les-actualites/soumission-chimique-publication-des-textes-encadrant-l-experimentation</w:t>
        </w:r>
      </w:hyperlink>
    </w:p>
    <w:p w14:paraId="09AC81AC" w14:textId="77777777" w:rsidR="00FB6C14" w:rsidRDefault="00FB6C14" w:rsidP="00FB6C14">
      <w:pPr>
        <w:pStyle w:val="Textebrut"/>
      </w:pPr>
    </w:p>
    <w:p w14:paraId="7CE88C55" w14:textId="77777777" w:rsidR="00E77FEA" w:rsidRPr="00E77FEA" w:rsidRDefault="00E77FEA" w:rsidP="00E77FEA">
      <w:pPr>
        <w:pStyle w:val="Textebrut"/>
        <w:rPr>
          <w:b/>
          <w:bCs/>
        </w:rPr>
      </w:pPr>
      <w:r w:rsidRPr="00E77FEA">
        <w:rPr>
          <w:b/>
          <w:bCs/>
        </w:rPr>
        <w:t>Décret n° 2025-1216 du 11 décembre 2025 relatif à l'exercice en société des professions de santé.</w:t>
      </w:r>
    </w:p>
    <w:p w14:paraId="005C9B09" w14:textId="77777777" w:rsidR="00E77FEA" w:rsidRPr="00E77FEA" w:rsidRDefault="00E77FEA" w:rsidP="00E77FEA">
      <w:pPr>
        <w:pStyle w:val="Textebrut"/>
      </w:pPr>
      <w:r w:rsidRPr="00E77FEA">
        <w:t>Publics concernés : professionnels de santé, sociétés d'exercice libéral constituées pour l'exercice d'une profession de santé, sociétés de participations financières constituées en vue de la détention de parts sociales ou d'actions dans les sociétés d'exercice libéral de professions de santé.</w:t>
      </w:r>
    </w:p>
    <w:p w14:paraId="7BB44903" w14:textId="77777777" w:rsidR="00E77FEA" w:rsidRPr="00E77FEA" w:rsidRDefault="00E77FEA" w:rsidP="00E77FEA">
      <w:pPr>
        <w:pStyle w:val="Textebrut"/>
      </w:pPr>
      <w:r w:rsidRPr="00E77FEA">
        <w:t>Objet : l'ordonnance n° 2023-77 du 8 février 2023 relative à l'exercice en société des professions libérales réglementées abroge la loi n° 66-879 du 29 novembre 1966 relative aux sociétés civiles professionnelles et la loi n° 90-1258 du 31 décembre 1990 relative à l'exercice sous forme de sociétés des professions libérales soumises à un statut législatif ou réglementaire. Le présent décret modifie donc, dans la partie réglementaire du code de la santé publique, les références aux deux lois précitées et les remplace par des références à l'ordonnance du 8 février 2023. Le présent décret supprime également, pour certaines catégories d'acteurs, la limitation de détention à hauteur du quart du capital des sociétés d'exercice libéral qui était introduite par décret</w:t>
      </w:r>
    </w:p>
    <w:p w14:paraId="4E61E064" w14:textId="56A749EB" w:rsidR="00E77FEA" w:rsidRPr="00E77FEA" w:rsidRDefault="00E77FEA" w:rsidP="00E77FEA">
      <w:pPr>
        <w:pStyle w:val="Textebrut"/>
      </w:pPr>
      <w:hyperlink r:id="rId56" w:history="1">
        <w:r w:rsidRPr="00E77FEA">
          <w:rPr>
            <w:rStyle w:val="Lienhypertexte"/>
          </w:rPr>
          <w:t>https://www.legifrance.gouv.fr/jorf/id/JORFTEXT000053021336</w:t>
        </w:r>
      </w:hyperlink>
    </w:p>
    <w:p w14:paraId="5F731F7F" w14:textId="77777777" w:rsidR="003B71C8" w:rsidRDefault="003B71C8" w:rsidP="00AD27D7">
      <w:pPr>
        <w:pStyle w:val="Textebrut"/>
      </w:pPr>
    </w:p>
    <w:p w14:paraId="58579F2D" w14:textId="77777777" w:rsidR="00487271" w:rsidRPr="00487271" w:rsidRDefault="00487271" w:rsidP="00487271">
      <w:pPr>
        <w:pStyle w:val="Textebrut"/>
        <w:rPr>
          <w:b/>
          <w:bCs/>
        </w:rPr>
      </w:pPr>
      <w:r w:rsidRPr="00487271">
        <w:rPr>
          <w:b/>
          <w:bCs/>
        </w:rPr>
        <w:t>Arrêté du 9 décembre 2025 modifiant l'arrêté du 28 juillet 2022 fixant la composition de la Commission nationale de biologie médicale</w:t>
      </w:r>
    </w:p>
    <w:p w14:paraId="208D78F0" w14:textId="26A19466" w:rsidR="00E77FEA" w:rsidRDefault="00487271" w:rsidP="00487271">
      <w:pPr>
        <w:pStyle w:val="Textebrut"/>
      </w:pPr>
      <w:hyperlink r:id="rId57" w:history="1">
        <w:r w:rsidRPr="00487271">
          <w:rPr>
            <w:rStyle w:val="Lienhypertexte"/>
          </w:rPr>
          <w:t>https://www.legifrance.gouv.fr/jorf/id/JORFTEXT000053021679</w:t>
        </w:r>
      </w:hyperlink>
    </w:p>
    <w:p w14:paraId="4F8BF529" w14:textId="77777777" w:rsidR="00487271" w:rsidRDefault="00487271" w:rsidP="00487271">
      <w:pPr>
        <w:pStyle w:val="Textebrut"/>
      </w:pPr>
    </w:p>
    <w:p w14:paraId="50452E1B" w14:textId="77777777" w:rsidR="006B7011" w:rsidRPr="006B7011" w:rsidRDefault="006B7011" w:rsidP="006B7011">
      <w:pPr>
        <w:pStyle w:val="Textebrut"/>
      </w:pPr>
      <w:r w:rsidRPr="006B7011">
        <w:rPr>
          <w:b/>
          <w:bCs/>
        </w:rPr>
        <w:t>Décision du 14 novembre 2025 de l'Union nationale des caisses d'assurance maladie relative à la liste des actes et prestations pris en charge par l'assurance maladie</w:t>
      </w:r>
      <w:r w:rsidRPr="006B7011">
        <w:t xml:space="preserve"> (modification de la NABM concernant le SARS-CoV2 (sérologie et PCR), HPV et </w:t>
      </w:r>
      <w:r w:rsidRPr="006B7011">
        <w:rPr>
          <w:i/>
          <w:iCs/>
        </w:rPr>
        <w:t>Mycoplasma genitalium</w:t>
      </w:r>
      <w:r w:rsidRPr="006B7011">
        <w:t xml:space="preserve"> par PCR) </w:t>
      </w:r>
    </w:p>
    <w:p w14:paraId="54965757" w14:textId="2D2F3321" w:rsidR="00487271" w:rsidRDefault="006B7011" w:rsidP="006B7011">
      <w:pPr>
        <w:pStyle w:val="Textebrut"/>
      </w:pPr>
      <w:hyperlink r:id="rId58" w:history="1">
        <w:r w:rsidRPr="006B7011">
          <w:rPr>
            <w:rStyle w:val="Lienhypertexte"/>
          </w:rPr>
          <w:t>https://www.legifrance.gouv.fr/jorf/id/JORFTEXT000053029952</w:t>
        </w:r>
      </w:hyperlink>
    </w:p>
    <w:p w14:paraId="72BC4E6E" w14:textId="77777777" w:rsidR="00A2066D" w:rsidRDefault="00A2066D" w:rsidP="00AD27D7">
      <w:pPr>
        <w:pStyle w:val="Textebrut"/>
      </w:pPr>
    </w:p>
    <w:p w14:paraId="0A35ACCC" w14:textId="77777777" w:rsidR="004208D3" w:rsidRPr="004208D3" w:rsidRDefault="004208D3" w:rsidP="004208D3">
      <w:pPr>
        <w:pStyle w:val="Textebrut"/>
        <w:rPr>
          <w:b/>
          <w:bCs/>
        </w:rPr>
      </w:pPr>
      <w:r w:rsidRPr="004208D3">
        <w:rPr>
          <w:b/>
          <w:bCs/>
        </w:rPr>
        <w:t>Décision ANSM du 18/12/2025 portant modification de la liste de référence des groupes biologiques similaires mentionnée à l’article R. 5121-9-1 du code de la santé publique</w:t>
      </w:r>
    </w:p>
    <w:p w14:paraId="4832BDEA" w14:textId="77777777" w:rsidR="004208D3" w:rsidRPr="004208D3" w:rsidRDefault="004208D3" w:rsidP="004208D3">
      <w:pPr>
        <w:pStyle w:val="Textebrut"/>
      </w:pPr>
      <w:hyperlink r:id="rId59" w:history="1">
        <w:r w:rsidRPr="004208D3">
          <w:rPr>
            <w:rStyle w:val="Lienhypertexte"/>
          </w:rPr>
          <w:t>https://ansm.sante.fr/actualites/decision-du-18-12-2025-portant-modification-de-la-liste-de-reference-des-groupes-biologiques-similaires-mentionnee-a-larticle-r-5121-9-1-du-code-de-la-sante-publique</w:t>
        </w:r>
      </w:hyperlink>
    </w:p>
    <w:p w14:paraId="3BD6C561" w14:textId="77777777" w:rsidR="00AD27D7" w:rsidRDefault="00AD27D7" w:rsidP="00F8571B">
      <w:pPr>
        <w:pStyle w:val="Textebrut"/>
      </w:pPr>
    </w:p>
    <w:p w14:paraId="4B0626A3" w14:textId="77777777" w:rsidR="00187143" w:rsidRPr="00187143" w:rsidRDefault="00187143" w:rsidP="00187143">
      <w:pPr>
        <w:pStyle w:val="Textebrut"/>
      </w:pPr>
      <w:r w:rsidRPr="00187143">
        <w:t>Règlement d’exécution (UE) 2025/2537 de la Commission du 16 décembre 2025 désignant un laboratoire de référence de l’Union européenne pour la santé publique dans le domaine des virus respiratoires (Institut Pasteur pour la France)</w:t>
      </w:r>
    </w:p>
    <w:p w14:paraId="0BF052CF" w14:textId="46052444" w:rsidR="00187143" w:rsidRDefault="00187143" w:rsidP="00187143">
      <w:pPr>
        <w:pStyle w:val="Textebrut"/>
      </w:pPr>
      <w:hyperlink r:id="rId60" w:history="1">
        <w:r w:rsidRPr="00187143">
          <w:rPr>
            <w:rStyle w:val="Lienhypertexte"/>
          </w:rPr>
          <w:t>https://eur-lex.europa.eu/legal-content/FR/TXT/?uri=OJ:L_202502537</w:t>
        </w:r>
      </w:hyperlink>
    </w:p>
    <w:p w14:paraId="6E329A3A" w14:textId="77777777" w:rsidR="00187143" w:rsidRDefault="00187143" w:rsidP="00187143">
      <w:pPr>
        <w:pStyle w:val="Textebrut"/>
      </w:pPr>
    </w:p>
    <w:p w14:paraId="3B1C75E6" w14:textId="77777777" w:rsidR="005C6EF5" w:rsidRPr="005C6EF5" w:rsidRDefault="005C6EF5" w:rsidP="005C6EF5">
      <w:pPr>
        <w:pStyle w:val="Textebrut"/>
        <w:rPr>
          <w:b/>
          <w:bCs/>
        </w:rPr>
      </w:pPr>
      <w:r w:rsidRPr="005C6EF5">
        <w:rPr>
          <w:b/>
          <w:bCs/>
        </w:rPr>
        <w:t>Décision ANSM du 18/12/2025 – Modification de la liste des médicaments de médication officinale mentionnée à l'article R. 5121-202 du CSP</w:t>
      </w:r>
    </w:p>
    <w:p w14:paraId="4DE3C86D" w14:textId="77777777" w:rsidR="005C6EF5" w:rsidRPr="005C6EF5" w:rsidRDefault="005C6EF5" w:rsidP="005C6EF5">
      <w:pPr>
        <w:pStyle w:val="Textebrut"/>
      </w:pPr>
      <w:hyperlink r:id="rId61" w:history="1">
        <w:r w:rsidRPr="005C6EF5">
          <w:rPr>
            <w:rStyle w:val="Lienhypertexte"/>
          </w:rPr>
          <w:t>https://ansm.sante.fr/actualites/decision-du-18-12-2025-modification-de-la-liste-des-medicaments-de-medication-officinale-mentionnee-a-larticle-r-5121-202-du-csp</w:t>
        </w:r>
      </w:hyperlink>
    </w:p>
    <w:p w14:paraId="1A6DABE2" w14:textId="77777777" w:rsidR="006A3220" w:rsidRDefault="006A3220" w:rsidP="00F8571B">
      <w:pPr>
        <w:pStyle w:val="Textebrut"/>
      </w:pPr>
    </w:p>
    <w:p w14:paraId="63BE9BB4" w14:textId="77777777" w:rsidR="002E2C32" w:rsidRPr="002E2C32" w:rsidRDefault="002E2C32" w:rsidP="002E2C32">
      <w:pPr>
        <w:pStyle w:val="Textebrut"/>
        <w:rPr>
          <w:b/>
          <w:bCs/>
        </w:rPr>
      </w:pPr>
      <w:r w:rsidRPr="002E2C32">
        <w:rPr>
          <w:b/>
          <w:bCs/>
        </w:rPr>
        <w:t>Décret n° 2025-1265 du 19 décembre 2025 relatif aux tests rapides d'orientation diagnostique du paludisme et du déficit en glucose-6-phosphate déshydrogénase en Corse et à Mayotte.</w:t>
      </w:r>
    </w:p>
    <w:p w14:paraId="226824EE" w14:textId="77777777" w:rsidR="002E2C32" w:rsidRPr="002E2C32" w:rsidRDefault="002E2C32" w:rsidP="002E2C32">
      <w:pPr>
        <w:pStyle w:val="Textebrut"/>
      </w:pPr>
      <w:r w:rsidRPr="002E2C32">
        <w:t>Publics concernés : infirmiers diplômés d'Etat, personnels relevant de structures de soins ou de prévention en Corse et à Mayotte, agences régionales de santé.</w:t>
      </w:r>
    </w:p>
    <w:p w14:paraId="105D7E74" w14:textId="77777777" w:rsidR="002E2C32" w:rsidRPr="002E2C32" w:rsidRDefault="002E2C32" w:rsidP="002E2C32">
      <w:pPr>
        <w:pStyle w:val="Textebrut"/>
      </w:pPr>
      <w:r w:rsidRPr="002E2C32">
        <w:t>Objet : le décret vise à étendre le dispositif existant en Guyane au Département-Région de Mayotte et au département de la Corse en ouvrant la possibilité aux infirmiers diplômés d'Etat et personnels relevant de structures de soins ou de prévention formés de réaliser des tests d'orientation diagnostique du paludisme. Il étend également le dispositif aux tests d'orientation diagnostique du déficit en glucose-6-phosphate déshydrogénase</w:t>
      </w:r>
    </w:p>
    <w:p w14:paraId="3428305D" w14:textId="643DD04D" w:rsidR="005C6EF5" w:rsidRDefault="002E2C32" w:rsidP="002E2C32">
      <w:pPr>
        <w:pStyle w:val="Textebrut"/>
      </w:pPr>
      <w:hyperlink r:id="rId62" w:history="1">
        <w:r w:rsidRPr="002E2C32">
          <w:rPr>
            <w:rStyle w:val="Lienhypertexte"/>
          </w:rPr>
          <w:t>https://www.legifrance.gouv.fr/jorf/id/JORFTEXT000053143145</w:t>
        </w:r>
      </w:hyperlink>
    </w:p>
    <w:p w14:paraId="21FB6658" w14:textId="77777777" w:rsidR="002E2C32" w:rsidRPr="002E2C32" w:rsidRDefault="002E2C32" w:rsidP="002E2C32">
      <w:pPr>
        <w:pStyle w:val="Textebrut"/>
        <w:rPr>
          <w:b/>
          <w:bCs/>
        </w:rPr>
      </w:pPr>
      <w:r w:rsidRPr="002E2C32">
        <w:rPr>
          <w:b/>
          <w:bCs/>
        </w:rPr>
        <w:t>Arrêté du 19 décembre 2025 relatif à la formation des infirmiers et du personnel relevant de structures de soins ou de prévention pour la réalisation des tests rapides d'orientation diagnostique du paludisme et des tests rapides d'orientation diagnostique du déficit en glucose-6-phosphate déshydrogénase en Corse, en Guyane et à Mayotte</w:t>
      </w:r>
    </w:p>
    <w:p w14:paraId="4492035A" w14:textId="61D50A24" w:rsidR="002E2C32" w:rsidRPr="002E2C32" w:rsidRDefault="002E2C32" w:rsidP="002E2C32">
      <w:pPr>
        <w:pStyle w:val="Textebrut"/>
      </w:pPr>
      <w:hyperlink r:id="rId63" w:history="1">
        <w:r w:rsidRPr="002E2C32">
          <w:rPr>
            <w:rStyle w:val="Lienhypertexte"/>
          </w:rPr>
          <w:t>https://www.legifrance.gouv.fr/jorf/id/JORFTEXT000053143271</w:t>
        </w:r>
      </w:hyperlink>
      <w:r w:rsidRPr="002E2C32">
        <w:t xml:space="preserve"> </w:t>
      </w:r>
    </w:p>
    <w:p w14:paraId="13F05F6A" w14:textId="77777777" w:rsidR="002E2C32" w:rsidRDefault="002E2C32" w:rsidP="002E2C32">
      <w:pPr>
        <w:pStyle w:val="Textebrut"/>
      </w:pPr>
    </w:p>
    <w:p w14:paraId="4CAB4724" w14:textId="5F951D0F" w:rsidR="002E2C32" w:rsidRDefault="00C11B21" w:rsidP="002E2C32">
      <w:pPr>
        <w:pStyle w:val="Textebrut"/>
      </w:pPr>
      <w:r w:rsidRPr="00C11B21">
        <w:rPr>
          <w:b/>
          <w:bCs/>
        </w:rPr>
        <w:t>Ordonnance en référé n° 509561 du 22/12/2025 du Conseil d'État</w:t>
      </w:r>
      <w:r w:rsidRPr="00C11B21">
        <w:t xml:space="preserve"> précisant que les produits à usage oral contenant de la nicotine ne constituent pas des produits cosmétiques ni des produits du tabac, dont </w:t>
      </w:r>
      <w:r>
        <w:t>« </w:t>
      </w:r>
      <w:r w:rsidRPr="00C11B21">
        <w:t>le tabac à usage oral</w:t>
      </w:r>
      <w:r>
        <w:t> »</w:t>
      </w:r>
      <w:r w:rsidRPr="00C11B21">
        <w:t>, sont soumis à la réglementation des substances vénéneuses et notamment à la délivrance par un pharmacien sur prescription d’un professionnel de santé</w:t>
      </w:r>
    </w:p>
    <w:p w14:paraId="789B3D98" w14:textId="277F133D" w:rsidR="00C11B21" w:rsidRDefault="00C11B21" w:rsidP="002E2C32">
      <w:pPr>
        <w:pStyle w:val="Textebrut"/>
      </w:pPr>
      <w:hyperlink r:id="rId64" w:history="1">
        <w:r w:rsidRPr="00C11B21">
          <w:rPr>
            <w:rStyle w:val="Lienhypertexte"/>
          </w:rPr>
          <w:t>https://www.conseil-etat.fr/fr/arianeweb/CE/decision/2025-12-22/509561</w:t>
        </w:r>
      </w:hyperlink>
    </w:p>
    <w:p w14:paraId="33B8EE58" w14:textId="65F77B4D" w:rsidR="00C11B21" w:rsidRPr="00C11B21" w:rsidRDefault="00C11B21" w:rsidP="00C11B21">
      <w:pPr>
        <w:pStyle w:val="Textebrut"/>
      </w:pPr>
      <w:r>
        <w:t xml:space="preserve">Cette ordonnance diffère l’exécution du </w:t>
      </w:r>
      <w:r w:rsidRPr="00C11B21">
        <w:t>décret n° 2025-898 du 5 septembre 2025 relatif à l'interdiction des produits à usage oral contenant de la nicotine</w:t>
      </w:r>
      <w:r>
        <w:t xml:space="preserve"> pour ce qui concerne </w:t>
      </w:r>
      <w:r w:rsidRPr="00C11B21">
        <w:t>« la fabrication, la production et l'exportation des produits à usage oral contenant de la nicotine » qu’il reporte au moins jusqu’au 30/06/2026 (au lieu du 01/04/2026)</w:t>
      </w:r>
    </w:p>
    <w:p w14:paraId="330BBC26" w14:textId="589C6CC6" w:rsidR="002E2C32" w:rsidRDefault="00C11B21" w:rsidP="00C11B21">
      <w:pPr>
        <w:pStyle w:val="Textebrut"/>
      </w:pPr>
      <w:hyperlink r:id="rId65" w:history="1">
        <w:r w:rsidRPr="00C11B21">
          <w:rPr>
            <w:rStyle w:val="Lienhypertexte"/>
          </w:rPr>
          <w:t>https://www.legifrance.gouv.fr/jorf/id/JORFTEXT000052197959</w:t>
        </w:r>
      </w:hyperlink>
    </w:p>
    <w:p w14:paraId="5BCD8B24" w14:textId="77777777" w:rsidR="005C6EF5" w:rsidRDefault="005C6EF5" w:rsidP="00F8571B">
      <w:pPr>
        <w:pStyle w:val="Textebrut"/>
      </w:pPr>
    </w:p>
    <w:p w14:paraId="75CF6E39" w14:textId="77777777" w:rsidR="00206CA5" w:rsidRDefault="00206CA5" w:rsidP="00F8571B">
      <w:pPr>
        <w:pStyle w:val="Textebrut"/>
      </w:pPr>
    </w:p>
    <w:p w14:paraId="261234DF" w14:textId="77777777" w:rsidR="00C73E01" w:rsidRDefault="00C73E01" w:rsidP="00F8571B">
      <w:pPr>
        <w:pStyle w:val="Textebrut"/>
      </w:pPr>
    </w:p>
    <w:p w14:paraId="23830AE2" w14:textId="77777777" w:rsidR="00EE17EA" w:rsidRPr="0089584B" w:rsidRDefault="00EE17EA" w:rsidP="00EE17EA">
      <w:pPr>
        <w:pStyle w:val="PEPS"/>
      </w:pPr>
      <w:hyperlink r:id="rId66" w:history="1">
        <w:r w:rsidRPr="0089584B">
          <w:t>Actualités</w:t>
        </w:r>
      </w:hyperlink>
      <w:r>
        <w:t xml:space="preserve"> covid-19</w:t>
      </w:r>
      <w:r w:rsidRPr="0089584B">
        <w:t> :</w:t>
      </w:r>
    </w:p>
    <w:p w14:paraId="75453898" w14:textId="77777777" w:rsidR="00EE17EA" w:rsidRDefault="00EE17EA" w:rsidP="00EE17EA">
      <w:pPr>
        <w:pStyle w:val="Textebrut"/>
      </w:pPr>
    </w:p>
    <w:p w14:paraId="7B991DC5" w14:textId="77777777" w:rsidR="00EE17EA" w:rsidRDefault="00EE17EA" w:rsidP="00EE17EA">
      <w:pPr>
        <w:pStyle w:val="Textebrut"/>
      </w:pPr>
      <w:r>
        <w:t>Vous retrouverez tout sur ce sujet sur la page d’actualités du PEPPS dédiée :</w:t>
      </w:r>
    </w:p>
    <w:p w14:paraId="3C1806D4" w14:textId="77777777" w:rsidR="00EE17EA" w:rsidRDefault="00EE17EA" w:rsidP="00EE17EA">
      <w:pPr>
        <w:pStyle w:val="Textebrut"/>
      </w:pPr>
      <w:hyperlink r:id="rId67" w:history="1">
        <w:r w:rsidRPr="009D7C82">
          <w:rPr>
            <w:rStyle w:val="Lienhypertexte"/>
          </w:rPr>
          <w:t>https://peps.sante.gouv.fr/actu/ncov/actus_2019-ncov.html</w:t>
        </w:r>
      </w:hyperlink>
    </w:p>
    <w:p w14:paraId="00CABB07" w14:textId="77777777" w:rsidR="00EE17EA" w:rsidRDefault="00EE17EA" w:rsidP="00EE17EA">
      <w:pPr>
        <w:pStyle w:val="Textebrut"/>
      </w:pPr>
    </w:p>
    <w:p w14:paraId="32B9E10A" w14:textId="77777777" w:rsidR="002B19D0" w:rsidRPr="002B19D0" w:rsidRDefault="002B19D0" w:rsidP="002B19D0">
      <w:pPr>
        <w:pStyle w:val="Textebrut"/>
      </w:pPr>
      <w:r w:rsidRPr="002B19D0">
        <w:t>Vaccins à ARNm contre le Covid-19 : ils n’augmentent pas le risque de mortalité à long terme (ANSM, 04/12/2025).</w:t>
      </w:r>
    </w:p>
    <w:p w14:paraId="1FFB1CD8" w14:textId="77777777" w:rsidR="002B19D0" w:rsidRPr="002B19D0" w:rsidRDefault="002B19D0" w:rsidP="002B19D0">
      <w:pPr>
        <w:pStyle w:val="Textebrut"/>
      </w:pPr>
      <w:r w:rsidRPr="002B19D0">
        <w:t>Une grande étude française le confirme : les vaccins à ARN messager (ARNm) contre le Covid</w:t>
      </w:r>
      <w:r w:rsidRPr="002B19D0">
        <w:noBreakHyphen/>
        <w:t>19 n’augmentent pas le risque de mortalité toutes causes à long terme. Menée par EPI-PHARE (groupement d’intérêt scientifique commun à l’ANSM et la Cnam), cette étude est la première au monde à avoir suivi pendant 4 ans près de 29 millions de personnes âgées de 18 à 59 ans, vaccinées contre le Covid-19 ou non.</w:t>
      </w:r>
    </w:p>
    <w:p w14:paraId="7F8E46A2" w14:textId="77777777" w:rsidR="002B19D0" w:rsidRPr="002B19D0" w:rsidRDefault="002B19D0" w:rsidP="002B19D0">
      <w:pPr>
        <w:pStyle w:val="Textebrut"/>
      </w:pPr>
      <w:r w:rsidRPr="002B19D0">
        <w:t>Ses résultats, publiés dans la revue JAMA Network Open, montrent que les personnes ayant reçu un vaccin à ARNm n’ont pas plus de risques de décès toutes causes que les non-vaccinées. Une preuve supplémentaire de la sécurité de ces vaccins, largement utilisés dans le monde</w:t>
      </w:r>
    </w:p>
    <w:p w14:paraId="1038AF96" w14:textId="77777777" w:rsidR="002B19D0" w:rsidRPr="002B19D0" w:rsidRDefault="002B19D0" w:rsidP="002B19D0">
      <w:pPr>
        <w:pStyle w:val="Textebrut"/>
      </w:pPr>
      <w:hyperlink r:id="rId68" w:history="1">
        <w:r w:rsidRPr="002B19D0">
          <w:rPr>
            <w:rStyle w:val="Lienhypertexte"/>
          </w:rPr>
          <w:t>https://ansm.sante.fr/actualites/vaccins-a-arnm-contre-le-covid-19-ils-naugmentent-pas-le-risque-de-mortalite-a-long-terme</w:t>
        </w:r>
      </w:hyperlink>
    </w:p>
    <w:p w14:paraId="69B4D559" w14:textId="77777777" w:rsidR="002B19D0" w:rsidRPr="002B19D0" w:rsidRDefault="002B19D0" w:rsidP="002B19D0">
      <w:pPr>
        <w:pStyle w:val="Textebrut"/>
      </w:pPr>
      <w:r w:rsidRPr="002B19D0">
        <w:t>Vaccination par ARNm contre la COVID-19 et mortalité toutes causes (EPI-PHARE, 04/12/2025).</w:t>
      </w:r>
    </w:p>
    <w:p w14:paraId="59699896" w14:textId="77777777" w:rsidR="002B19D0" w:rsidRPr="002B19D0" w:rsidRDefault="002B19D0" w:rsidP="002B19D0">
      <w:pPr>
        <w:pStyle w:val="Textebrut"/>
      </w:pPr>
      <w:r w:rsidRPr="002B19D0">
        <w:t>Vaccination par ARNm contre la COVID-19 et mortalité toutes causes à 4 ans chez 28 millions d’individus âgés de 18 à 59 ans</w:t>
      </w:r>
    </w:p>
    <w:p w14:paraId="7C759E02" w14:textId="430FA9DA" w:rsidR="00EE17EA" w:rsidRDefault="002B19D0" w:rsidP="002B19D0">
      <w:pPr>
        <w:pStyle w:val="Textebrut"/>
      </w:pPr>
      <w:hyperlink r:id="rId69" w:history="1">
        <w:r w:rsidRPr="002B19D0">
          <w:rPr>
            <w:rStyle w:val="Lienhypertexte"/>
          </w:rPr>
          <w:t>https://www.epi-phare.fr/rapports-detudes-et-publications/vaccination-covid19-mortalite/</w:t>
        </w:r>
      </w:hyperlink>
    </w:p>
    <w:p w14:paraId="4B5B4BA2" w14:textId="77777777" w:rsidR="002B19D0" w:rsidRDefault="002B19D0" w:rsidP="002B19D0">
      <w:pPr>
        <w:pStyle w:val="Textebrut"/>
      </w:pPr>
    </w:p>
    <w:p w14:paraId="179A76AE" w14:textId="77777777" w:rsidR="006D74A4" w:rsidRPr="006D74A4" w:rsidRDefault="006D74A4" w:rsidP="006D74A4">
      <w:pPr>
        <w:pStyle w:val="Textebrut"/>
        <w:rPr>
          <w:b/>
          <w:bCs/>
        </w:rPr>
      </w:pPr>
      <w:r w:rsidRPr="006D74A4">
        <w:rPr>
          <w:b/>
          <w:bCs/>
        </w:rPr>
        <w:t>DGS-Urgent n°2025-28 du 11/12/2025 : Campagne de vaccination contre le covid-19 durant les fêtes de fin d'année</w:t>
      </w:r>
    </w:p>
    <w:p w14:paraId="1BC79FBE" w14:textId="77777777" w:rsidR="006D74A4" w:rsidRPr="006D74A4" w:rsidRDefault="006D74A4" w:rsidP="006D74A4">
      <w:pPr>
        <w:pStyle w:val="Textebrut"/>
      </w:pPr>
      <w:hyperlink r:id="rId70" w:history="1">
        <w:r w:rsidRPr="006D74A4">
          <w:rPr>
            <w:rStyle w:val="Lienhypertexte"/>
          </w:rPr>
          <w:t>https://sante.gouv.fr/IMG/pdf/dgs-urgent_n2025_28_-_campagne_de_vaccination_contre_le_covid-19_durant_les_fetes_de_fin_d_annee.pdf</w:t>
        </w:r>
      </w:hyperlink>
    </w:p>
    <w:p w14:paraId="00513C66" w14:textId="77777777" w:rsidR="002B19D0" w:rsidRDefault="002B19D0" w:rsidP="002B19D0">
      <w:pPr>
        <w:pStyle w:val="Textebrut"/>
      </w:pPr>
    </w:p>
    <w:p w14:paraId="19C1EFD5" w14:textId="77777777" w:rsidR="002B19D0" w:rsidRDefault="002B19D0" w:rsidP="002B19D0">
      <w:pPr>
        <w:pStyle w:val="Textebrut"/>
      </w:pPr>
    </w:p>
    <w:p w14:paraId="5E1461FF" w14:textId="77777777" w:rsidR="006D74A4" w:rsidRDefault="006D74A4" w:rsidP="002B19D0">
      <w:pPr>
        <w:pStyle w:val="Textebrut"/>
      </w:pPr>
    </w:p>
    <w:p w14:paraId="5E12C02A" w14:textId="77777777" w:rsidR="006D74A4" w:rsidRDefault="006D74A4" w:rsidP="002B19D0">
      <w:pPr>
        <w:pStyle w:val="Textebrut"/>
      </w:pPr>
    </w:p>
    <w:p w14:paraId="473BA1D9" w14:textId="77777777" w:rsidR="00EE17EA" w:rsidRDefault="00EE17EA" w:rsidP="00EE17EA">
      <w:pPr>
        <w:pStyle w:val="Textebrut"/>
      </w:pPr>
    </w:p>
    <w:p w14:paraId="55BCCF3B" w14:textId="77777777" w:rsidR="00EE17EA" w:rsidRDefault="00EE17EA" w:rsidP="00EE17EA">
      <w:pPr>
        <w:pStyle w:val="Textebrut"/>
      </w:pPr>
    </w:p>
    <w:p w14:paraId="4766FCA0" w14:textId="77777777" w:rsidR="00EE17EA" w:rsidRPr="0089584B" w:rsidRDefault="00EE17EA" w:rsidP="00EE17EA">
      <w:pPr>
        <w:pStyle w:val="PEPS"/>
      </w:pPr>
      <w:hyperlink r:id="rId71" w:history="1">
        <w:r w:rsidRPr="0089584B">
          <w:t>Actualités</w:t>
        </w:r>
      </w:hyperlink>
      <w:r>
        <w:t xml:space="preserve"> mpox</w:t>
      </w:r>
      <w:r w:rsidRPr="0089584B">
        <w:t> :</w:t>
      </w:r>
    </w:p>
    <w:p w14:paraId="54F65912" w14:textId="77777777" w:rsidR="00EE17EA" w:rsidRDefault="00EE17EA" w:rsidP="00EE17EA">
      <w:pPr>
        <w:pStyle w:val="Textebrut"/>
      </w:pPr>
    </w:p>
    <w:p w14:paraId="09C3E44E" w14:textId="77777777" w:rsidR="00EE17EA" w:rsidRDefault="00EE17EA" w:rsidP="00EE17EA">
      <w:pPr>
        <w:pStyle w:val="Textebrut"/>
      </w:pPr>
      <w:r>
        <w:t>Vous retrouverez tout sur ce sujet sur la page d’actualités du PEPPS dédiée :</w:t>
      </w:r>
    </w:p>
    <w:p w14:paraId="3B1A32DE" w14:textId="77777777" w:rsidR="00EE17EA" w:rsidRDefault="00EE17EA" w:rsidP="00EE17EA">
      <w:pPr>
        <w:pStyle w:val="Textebrut"/>
      </w:pPr>
      <w:hyperlink r:id="rId72" w:history="1">
        <w:r w:rsidRPr="008E33DA">
          <w:rPr>
            <w:rStyle w:val="Lienhypertexte"/>
          </w:rPr>
          <w:t>https://peps.sante.gouv.fr/actu/mpx/actus_mpx.html</w:t>
        </w:r>
      </w:hyperlink>
    </w:p>
    <w:p w14:paraId="771E40C4" w14:textId="77777777" w:rsidR="00EE17EA" w:rsidRDefault="00EE17EA" w:rsidP="00EE17EA">
      <w:pPr>
        <w:pStyle w:val="Textebrut"/>
      </w:pPr>
    </w:p>
    <w:p w14:paraId="5EA7A267" w14:textId="77777777" w:rsidR="00EE17EA" w:rsidRDefault="00EE17EA" w:rsidP="00EE17EA">
      <w:pPr>
        <w:pStyle w:val="Textebrut"/>
      </w:pPr>
    </w:p>
    <w:p w14:paraId="600E255A" w14:textId="77777777" w:rsidR="00EE17EA" w:rsidRDefault="00EE17EA" w:rsidP="00EE17EA">
      <w:pPr>
        <w:pStyle w:val="Textebrut"/>
      </w:pPr>
    </w:p>
    <w:p w14:paraId="5697E0AF" w14:textId="77777777" w:rsidR="00560B92" w:rsidRDefault="00560B92" w:rsidP="00EE17EA">
      <w:pPr>
        <w:pStyle w:val="Textebrut"/>
      </w:pPr>
    </w:p>
    <w:p w14:paraId="02DC39E4" w14:textId="77777777" w:rsidR="00560B92" w:rsidRDefault="00560B92" w:rsidP="00EE17EA">
      <w:pPr>
        <w:pStyle w:val="Textebrut"/>
      </w:pPr>
    </w:p>
    <w:p w14:paraId="19BBE908" w14:textId="77777777" w:rsidR="00EE17EA" w:rsidRDefault="00EE17EA" w:rsidP="00EE17EA">
      <w:pPr>
        <w:pStyle w:val="Textebrut"/>
      </w:pPr>
    </w:p>
    <w:p w14:paraId="58E78AA2" w14:textId="77777777" w:rsidR="00EE17EA" w:rsidRDefault="00EE17EA" w:rsidP="00EE17EA">
      <w:pPr>
        <w:pStyle w:val="Textebrut"/>
      </w:pPr>
    </w:p>
    <w:p w14:paraId="45BE4191" w14:textId="77777777" w:rsidR="00107ABA" w:rsidRPr="0089584B" w:rsidRDefault="00930CE0" w:rsidP="0089584B">
      <w:pPr>
        <w:pStyle w:val="PEPS"/>
      </w:pPr>
      <w:hyperlink r:id="rId73" w:history="1">
        <w:r w:rsidRPr="0089584B">
          <w:t>Autres actualités</w:t>
        </w:r>
      </w:hyperlink>
      <w:r w:rsidRPr="0089584B">
        <w:t> :</w:t>
      </w:r>
    </w:p>
    <w:p w14:paraId="2EE633EA" w14:textId="77777777" w:rsidR="00AC503D" w:rsidRDefault="00AC503D" w:rsidP="00AC503D">
      <w:pPr>
        <w:pStyle w:val="Textebrut"/>
      </w:pPr>
      <w:r>
        <w:t>En ligne sur la page d’actualités du PEPPS :</w:t>
      </w:r>
    </w:p>
    <w:p w14:paraId="5062627C" w14:textId="77777777" w:rsidR="00AC503D" w:rsidRDefault="00AC503D" w:rsidP="00AC503D">
      <w:pPr>
        <w:pStyle w:val="Textebrut"/>
      </w:pPr>
      <w:hyperlink r:id="rId74" w:history="1">
        <w:r w:rsidRPr="002859B7">
          <w:rPr>
            <w:rStyle w:val="Lienhypertexte"/>
          </w:rPr>
          <w:t>https://peps.sante.gouv.fr/actu/actualites.html</w:t>
        </w:r>
      </w:hyperlink>
    </w:p>
    <w:p w14:paraId="69691E03" w14:textId="77777777" w:rsidR="00930CE0" w:rsidRDefault="00930CE0" w:rsidP="00F8571B">
      <w:pPr>
        <w:pStyle w:val="Textebrut"/>
      </w:pPr>
    </w:p>
    <w:p w14:paraId="391B3238" w14:textId="77777777" w:rsidR="00553783" w:rsidRPr="00553783" w:rsidRDefault="00553783" w:rsidP="00553783">
      <w:pPr>
        <w:pStyle w:val="Textebrut"/>
        <w:rPr>
          <w:b/>
          <w:bCs/>
        </w:rPr>
      </w:pPr>
      <w:r w:rsidRPr="00553783">
        <w:rPr>
          <w:b/>
          <w:bCs/>
        </w:rPr>
        <w:t>Grippe : l’Europe appelle à se vacciner sans attendre (Le Moniteur des pharmacies, 28/11/2025).</w:t>
      </w:r>
    </w:p>
    <w:p w14:paraId="636265A2" w14:textId="77777777" w:rsidR="00553783" w:rsidRPr="00553783" w:rsidRDefault="00553783" w:rsidP="00553783">
      <w:pPr>
        <w:pStyle w:val="Textebrut"/>
      </w:pPr>
      <w:r w:rsidRPr="00553783">
        <w:lastRenderedPageBreak/>
        <w:t>Le Centre européen de prévention et de contrôle des maladies (ECDC) alerte sur une hausse précoce des cas de grippe dans l’Union Européenne, portée par un nouveau sous-clade du virus de la grippe A(H3N2). L’agence recommande une vaccination immédiate, notamment chez les personnes à risque et les professionnels de santé</w:t>
      </w:r>
    </w:p>
    <w:p w14:paraId="50E1E924" w14:textId="77777777" w:rsidR="00553783" w:rsidRPr="00553783" w:rsidRDefault="00553783" w:rsidP="00553783">
      <w:pPr>
        <w:pStyle w:val="Textebrut"/>
      </w:pPr>
      <w:hyperlink r:id="rId75" w:history="1">
        <w:r w:rsidRPr="00553783">
          <w:rPr>
            <w:rStyle w:val="Lienhypertexte"/>
          </w:rPr>
          <w:t>https://www.lemoniteurdespharmacies.fr/nouvelles-missions/vaccination/grippe-leurope-appelle-a-se-vacciner-sans-attendre</w:t>
        </w:r>
      </w:hyperlink>
    </w:p>
    <w:p w14:paraId="00B159AC" w14:textId="77777777" w:rsidR="00126647" w:rsidRDefault="00126647" w:rsidP="00361AD6">
      <w:pPr>
        <w:pStyle w:val="Textebrut"/>
      </w:pPr>
    </w:p>
    <w:p w14:paraId="6FCE9295" w14:textId="77777777" w:rsidR="00044F16" w:rsidRPr="00044F16" w:rsidRDefault="00044F16" w:rsidP="00044F16">
      <w:pPr>
        <w:pStyle w:val="Textebrut"/>
        <w:rPr>
          <w:b/>
          <w:bCs/>
        </w:rPr>
      </w:pPr>
      <w:r w:rsidRPr="00044F16">
        <w:rPr>
          <w:b/>
          <w:bCs/>
        </w:rPr>
        <w:t>Communiqué du 28/11/2025 de l’Académie nationale de pharmacie - Accès direct aux études de pharmacie : un pas sénatorial décisif pour l'avenir de la filière.</w:t>
      </w:r>
    </w:p>
    <w:p w14:paraId="62DA630D" w14:textId="77777777" w:rsidR="00044F16" w:rsidRPr="00044F16" w:rsidRDefault="00044F16" w:rsidP="00044F16">
      <w:pPr>
        <w:pStyle w:val="Textebrut"/>
      </w:pPr>
      <w:r w:rsidRPr="00044F16">
        <w:t>L’Académie nationale de Pharmacie se félicite de l’adoption, en première lecture par le Sénat, de la proposition de loi relative aux formations en santé et, en particulier, de l’article 2 qui instaure un accès direct aux études de pharmacie via Parcoursup.</w:t>
      </w:r>
    </w:p>
    <w:p w14:paraId="6F16CC8D" w14:textId="77777777" w:rsidR="00044F16" w:rsidRPr="00044F16" w:rsidRDefault="00044F16" w:rsidP="00044F16">
      <w:pPr>
        <w:pStyle w:val="Textebrut"/>
      </w:pPr>
      <w:r w:rsidRPr="00044F16">
        <w:t>Cette mesure, limitée à un tiers des capacités d’accueil, répond aux difficultés créées par la réforme PASS/LAS et s’appuie sur les constats établis par la Conférence des Doyens ainsi que par le Rapport bi-académique de 2025 consacré à l’attractivité des études et métiers de la pharmacie.</w:t>
      </w:r>
    </w:p>
    <w:p w14:paraId="58B22D77" w14:textId="77777777" w:rsidR="00044F16" w:rsidRPr="00044F16" w:rsidRDefault="00044F16" w:rsidP="00044F16">
      <w:pPr>
        <w:pStyle w:val="Textebrut"/>
      </w:pPr>
      <w:r w:rsidRPr="00044F16">
        <w:t>L’Académie appelle désormais les députés à confirmer cette orientation afin de renforcer durablement l’attractivité et la qualité de la formation pharmaceutique</w:t>
      </w:r>
    </w:p>
    <w:p w14:paraId="46870BF7" w14:textId="77777777" w:rsidR="00044F16" w:rsidRPr="00044F16" w:rsidRDefault="00044F16" w:rsidP="00044F16">
      <w:pPr>
        <w:pStyle w:val="Textebrut"/>
      </w:pPr>
      <w:hyperlink r:id="rId76" w:history="1">
        <w:r w:rsidRPr="00044F16">
          <w:rPr>
            <w:rStyle w:val="Lienhypertexte"/>
          </w:rPr>
          <w:t>https://www.acadpharm.org/dos_public/CP___ACCES_DIRECT_PHARMACIE_PPL_SENAT_VF.PDF</w:t>
        </w:r>
      </w:hyperlink>
    </w:p>
    <w:p w14:paraId="2D99128A" w14:textId="77777777" w:rsidR="00553783" w:rsidRDefault="00553783" w:rsidP="00361AD6">
      <w:pPr>
        <w:pStyle w:val="Textebrut"/>
      </w:pPr>
    </w:p>
    <w:p w14:paraId="7D14C31D" w14:textId="77777777" w:rsidR="00044F16" w:rsidRPr="00044F16" w:rsidRDefault="00044F16" w:rsidP="00044F16">
      <w:pPr>
        <w:pStyle w:val="Textebrut"/>
        <w:rPr>
          <w:b/>
          <w:bCs/>
        </w:rPr>
      </w:pPr>
      <w:r w:rsidRPr="00044F16">
        <w:rPr>
          <w:b/>
          <w:bCs/>
        </w:rPr>
        <w:t>Journée mondiale de lutte contre le sida : Où en est l’épidémie de VIH en France ? (The Conversation, 30/11/2025).</w:t>
      </w:r>
    </w:p>
    <w:p w14:paraId="208E1883" w14:textId="77777777" w:rsidR="00044F16" w:rsidRPr="00044F16" w:rsidRDefault="00044F16" w:rsidP="00044F16">
      <w:pPr>
        <w:pStyle w:val="Textebrut"/>
      </w:pPr>
      <w:r w:rsidRPr="00044F16">
        <w:t>Épidémiologiste et biostatisticienne, membre de l’Académie des Sciences, Dominique Costagliola est directrice de recherche émérite à l’Inserm. Cette figure de la recherche contre le VIH fait le point pour The Conversation sur la situation de l’épidémie en France, et revient sur les conséquences, au niveau mondial, du retrait des aides états-uniennes</w:t>
      </w:r>
    </w:p>
    <w:p w14:paraId="064F1F80" w14:textId="77777777" w:rsidR="00044F16" w:rsidRPr="00044F16" w:rsidRDefault="00044F16" w:rsidP="00044F16">
      <w:pPr>
        <w:pStyle w:val="Textebrut"/>
      </w:pPr>
      <w:hyperlink r:id="rId77" w:history="1">
        <w:r w:rsidRPr="00044F16">
          <w:rPr>
            <w:rStyle w:val="Lienhypertexte"/>
          </w:rPr>
          <w:t>https://theconversation.com/journee-mondiale-de-lutte-contre-le-sida-ou-en-est-lepidemie-de-vih-en-france-270584</w:t>
        </w:r>
      </w:hyperlink>
    </w:p>
    <w:p w14:paraId="2D080C87" w14:textId="77777777" w:rsidR="00E63FFB" w:rsidRDefault="00E63FFB" w:rsidP="00361AD6">
      <w:pPr>
        <w:pStyle w:val="Textebrut"/>
      </w:pPr>
    </w:p>
    <w:p w14:paraId="1B8B4763" w14:textId="77777777" w:rsidR="00335936" w:rsidRPr="00335936" w:rsidRDefault="00335936" w:rsidP="00335936">
      <w:pPr>
        <w:pStyle w:val="Textebrut"/>
        <w:rPr>
          <w:b/>
          <w:bCs/>
        </w:rPr>
      </w:pPr>
      <w:r w:rsidRPr="00335936">
        <w:rPr>
          <w:b/>
          <w:bCs/>
        </w:rPr>
        <w:t>VIH : le Conseil national du sida appelle à une « remobilisation urgente des pouvoirs publics » (Le Monde, 01/12/2025).</w:t>
      </w:r>
    </w:p>
    <w:p w14:paraId="493E5BB5" w14:textId="77777777" w:rsidR="00335936" w:rsidRPr="00335936" w:rsidRDefault="00335936" w:rsidP="00335936">
      <w:pPr>
        <w:pStyle w:val="Textebrut"/>
      </w:pPr>
      <w:r w:rsidRPr="00335936">
        <w:t>A l’occasion de la Journée mondiale de lutte contre le sida, cette instance indépendante s’inquiète de « la réduction des financements et des difficultés croissantes d’accès à la prévention et aux soins » en France et dans le monde</w:t>
      </w:r>
    </w:p>
    <w:p w14:paraId="7851182D" w14:textId="77777777" w:rsidR="00335936" w:rsidRPr="00335936" w:rsidRDefault="00335936" w:rsidP="00335936">
      <w:pPr>
        <w:pStyle w:val="Textebrut"/>
      </w:pPr>
      <w:hyperlink r:id="rId78" w:history="1">
        <w:r w:rsidRPr="00335936">
          <w:rPr>
            <w:rStyle w:val="Lienhypertexte"/>
          </w:rPr>
          <w:t>https://www.lemonde.fr/societe/article/2025/12/01/vih-le-conseil-national-du-sida-appelle-a-une-remobilisation-urgente-des-pouvoirs-publics_6655521_3224.html</w:t>
        </w:r>
      </w:hyperlink>
    </w:p>
    <w:p w14:paraId="037E768F" w14:textId="77777777" w:rsidR="00044F16" w:rsidRDefault="00044F16" w:rsidP="00361AD6">
      <w:pPr>
        <w:pStyle w:val="Textebrut"/>
      </w:pPr>
    </w:p>
    <w:p w14:paraId="58726D21" w14:textId="77777777" w:rsidR="007329AB" w:rsidRPr="007329AB" w:rsidRDefault="007329AB" w:rsidP="007329AB">
      <w:pPr>
        <w:pStyle w:val="Textebrut"/>
        <w:rPr>
          <w:b/>
          <w:bCs/>
        </w:rPr>
      </w:pPr>
      <w:r w:rsidRPr="007329AB">
        <w:rPr>
          <w:b/>
          <w:bCs/>
        </w:rPr>
        <w:t>Communiqué du 01/12/2025 - Journée mondiale de lutte contre le VIH/SIDA : pour mettre fin à l’épidémie, plus que jamais, accélérons la prévention et le dépistage.</w:t>
      </w:r>
    </w:p>
    <w:p w14:paraId="38D16235" w14:textId="77777777" w:rsidR="007329AB" w:rsidRPr="007329AB" w:rsidRDefault="007329AB" w:rsidP="007329AB">
      <w:pPr>
        <w:pStyle w:val="Textebrut"/>
      </w:pPr>
      <w:r w:rsidRPr="007329AB">
        <w:t>A l’occasion de cette journée, la France réaffirme son engagement pour mettre fin à l’épidémie d’ici 2030, en s’appuyant sur la Stratégie nationale de santé sexuelle 2017-2030.</w:t>
      </w:r>
    </w:p>
    <w:p w14:paraId="53B14F37" w14:textId="77777777" w:rsidR="007329AB" w:rsidRPr="007329AB" w:rsidRDefault="007329AB" w:rsidP="007329AB">
      <w:pPr>
        <w:pStyle w:val="Textebrut"/>
      </w:pPr>
      <w:r w:rsidRPr="007329AB">
        <w:t>Stéphanie Rist, ministre de la Santé, des Familles, de l’Autonomie et des Personnes handicapées, rappelle que le dépistage régulier pour l’ensemble de la population générale, mais également l’accès facilité aux traitements antirétroviraux, dont l’utilisation à des fins préventives a un impact direct sur la dynamique de l’épidémie. Toutes et tous doivent se sentir concernés</w:t>
      </w:r>
    </w:p>
    <w:p w14:paraId="5438C127" w14:textId="77777777" w:rsidR="007329AB" w:rsidRPr="007329AB" w:rsidRDefault="007329AB" w:rsidP="007329AB">
      <w:pPr>
        <w:pStyle w:val="Textebrut"/>
      </w:pPr>
      <w:hyperlink r:id="rId79" w:history="1">
        <w:r w:rsidRPr="007329AB">
          <w:rPr>
            <w:rStyle w:val="Lienhypertexte"/>
          </w:rPr>
          <w:t>https://sante.gouv.fr/actualites-presse/presse/communiques-de-presse/article/journee-mondiale-de-lutte-contre-le-vih-sida-pour-mettre-fin-a-l-epidemie-plus-433147</w:t>
        </w:r>
      </w:hyperlink>
    </w:p>
    <w:p w14:paraId="34F6E1D2" w14:textId="77777777" w:rsidR="007329AB" w:rsidRDefault="007329AB" w:rsidP="00361AD6">
      <w:pPr>
        <w:pStyle w:val="Textebrut"/>
      </w:pPr>
    </w:p>
    <w:p w14:paraId="6E95A55D" w14:textId="77777777" w:rsidR="00BF69F2" w:rsidRPr="00BF69F2" w:rsidRDefault="00BF69F2" w:rsidP="00BF69F2">
      <w:pPr>
        <w:pStyle w:val="Textebrut"/>
        <w:rPr>
          <w:b/>
          <w:bCs/>
        </w:rPr>
      </w:pPr>
      <w:r w:rsidRPr="00BF69F2">
        <w:rPr>
          <w:b/>
          <w:bCs/>
        </w:rPr>
        <w:t>Journée mondiale de lutte contre le sida 2025 : promouvoir la prévention pour lutter contre la transmission du VIH et des IST (SpF, 01/12/2025).</w:t>
      </w:r>
    </w:p>
    <w:p w14:paraId="7DF5E1A9" w14:textId="77777777" w:rsidR="00BF69F2" w:rsidRPr="00BF69F2" w:rsidRDefault="00BF69F2" w:rsidP="00BF69F2">
      <w:pPr>
        <w:pStyle w:val="Textebrut"/>
      </w:pPr>
      <w:r w:rsidRPr="00BF69F2">
        <w:t>A l’occasion de la Journée mondiale de lutte contre le sida, Santé publique France fait le point sur les données de surveillance du VIH et des IST en France en 2024 et rappelle que le dépistage reste le meilleur moyen pour s’en protéger</w:t>
      </w:r>
    </w:p>
    <w:p w14:paraId="5CDEFA6B" w14:textId="77777777" w:rsidR="00BF69F2" w:rsidRPr="00BF69F2" w:rsidRDefault="00BF69F2" w:rsidP="00BF69F2">
      <w:pPr>
        <w:pStyle w:val="Textebrut"/>
      </w:pPr>
      <w:hyperlink r:id="rId80" w:history="1">
        <w:r w:rsidRPr="00BF69F2">
          <w:rPr>
            <w:rStyle w:val="Lienhypertexte"/>
          </w:rPr>
          <w:t>https://www.santepubliquefrance.fr/les-actualites/2025/journee-mondiale-de-lutte-contre-le-sida-2025-promouvoir-la-prevention-pour-lutter-contre-la-transmission-du-vih-et-des-ist</w:t>
        </w:r>
      </w:hyperlink>
    </w:p>
    <w:p w14:paraId="2BD49FF1" w14:textId="77777777" w:rsidR="00BF69F2" w:rsidRDefault="00BF69F2" w:rsidP="00361AD6">
      <w:pPr>
        <w:pStyle w:val="Textebrut"/>
      </w:pPr>
    </w:p>
    <w:p w14:paraId="0B8D8A73" w14:textId="77777777" w:rsidR="00A804F3" w:rsidRPr="00A804F3" w:rsidRDefault="00A804F3" w:rsidP="00A804F3">
      <w:pPr>
        <w:pStyle w:val="Textebrut"/>
        <w:rPr>
          <w:b/>
          <w:bCs/>
        </w:rPr>
      </w:pPr>
      <w:r w:rsidRPr="00A804F3">
        <w:rPr>
          <w:b/>
          <w:bCs/>
        </w:rPr>
        <w:t>Lutte contre le SIDA : les biologistes médicaux, acteurs clés face aux Infections Sexuellement Transmissibles (Les biologistes médicaux, 04/12/2025).</w:t>
      </w:r>
    </w:p>
    <w:p w14:paraId="50050364" w14:textId="77777777" w:rsidR="00A804F3" w:rsidRPr="00A804F3" w:rsidRDefault="00A804F3" w:rsidP="00A804F3">
      <w:pPr>
        <w:pStyle w:val="Textebrut"/>
      </w:pPr>
      <w:r w:rsidRPr="00A804F3">
        <w:t>À l’occasion de la Journée mondiale de lutte contre le SIDA, le syndicat Les Biologistes Médicaux souhaite rappeler l’importance cruciale du dépistage des infections par le VIH et des autres IST, ainsi que le rôle central des laboratoires de biologie médicale dans cette lutte</w:t>
      </w:r>
    </w:p>
    <w:p w14:paraId="6B5FF435" w14:textId="77777777" w:rsidR="00A804F3" w:rsidRPr="00A804F3" w:rsidRDefault="00A804F3" w:rsidP="00A804F3">
      <w:pPr>
        <w:pStyle w:val="Textebrut"/>
      </w:pPr>
      <w:hyperlink r:id="rId81" w:history="1">
        <w:r w:rsidRPr="00A804F3">
          <w:rPr>
            <w:rStyle w:val="Lienhypertexte"/>
          </w:rPr>
          <w:t>https://657gg.r.a.d.sendibm1.com/mk/mr/sh/1t6AVsd2XFnIGGrMJc9cZo38xkmjzv/W3Ms2aMELB-r</w:t>
        </w:r>
      </w:hyperlink>
    </w:p>
    <w:p w14:paraId="3A873DD8" w14:textId="77777777" w:rsidR="00A804F3" w:rsidRDefault="00A804F3" w:rsidP="00361AD6">
      <w:pPr>
        <w:pStyle w:val="Textebrut"/>
      </w:pPr>
    </w:p>
    <w:p w14:paraId="214D364F" w14:textId="77777777" w:rsidR="0062440C" w:rsidRPr="0062440C" w:rsidRDefault="0062440C" w:rsidP="0062440C">
      <w:pPr>
        <w:pStyle w:val="Textebrut"/>
        <w:rPr>
          <w:b/>
          <w:bCs/>
        </w:rPr>
      </w:pPr>
      <w:r w:rsidRPr="0062440C">
        <w:rPr>
          <w:b/>
          <w:bCs/>
        </w:rPr>
        <w:t>Médicaments à écarter pour mieux soigner (Prescrire, décembre 2025).</w:t>
      </w:r>
    </w:p>
    <w:p w14:paraId="2A294BD8" w14:textId="77777777" w:rsidR="0062440C" w:rsidRPr="0062440C" w:rsidRDefault="0062440C" w:rsidP="0062440C">
      <w:pPr>
        <w:pStyle w:val="Textebrut"/>
      </w:pPr>
      <w:r w:rsidRPr="0062440C">
        <w:t>Chaque année depuis 2013, Prescrire publie un bilan des médicaments à écarter pour mieux soigner. Ce bilan est le résultat d’une méthode fiable, rigoureuse et indépendante. Il recense de manière documentée des médicaments plus dangereux qu'utiles, avec pour objectif d'aider à choisir des soins de qualité, de ne pas nuire aux patients et d'éviter de leur faire courir des risques disproportionnés. Il s'agit de médicaments à écarter des soins dans toutes les situations cliniques dans lesquelles ils sont autorisés en France ou dans l'Union européenne.</w:t>
      </w:r>
    </w:p>
    <w:p w14:paraId="0D4F5A77" w14:textId="77777777" w:rsidR="0062440C" w:rsidRPr="0062440C" w:rsidRDefault="0062440C" w:rsidP="0062440C">
      <w:pPr>
        <w:pStyle w:val="Textebrut"/>
      </w:pPr>
      <w:r w:rsidRPr="0062440C">
        <w:t>Publication en décembre 2025 du bilan des médicaments à écarter 2026</w:t>
      </w:r>
    </w:p>
    <w:p w14:paraId="384E352A" w14:textId="77777777" w:rsidR="0062440C" w:rsidRPr="0062440C" w:rsidRDefault="0062440C" w:rsidP="0062440C">
      <w:pPr>
        <w:pStyle w:val="Textebrut"/>
      </w:pPr>
      <w:hyperlink r:id="rId82" w:history="1">
        <w:r w:rsidRPr="0062440C">
          <w:rPr>
            <w:rStyle w:val="Lienhypertexte"/>
          </w:rPr>
          <w:t>https://www.prescrire.org/medicaments-et-evaluations/medicaments-a-ecarter</w:t>
        </w:r>
      </w:hyperlink>
    </w:p>
    <w:p w14:paraId="34003241" w14:textId="77777777" w:rsidR="00335936" w:rsidRDefault="00335936" w:rsidP="00361AD6">
      <w:pPr>
        <w:pStyle w:val="Textebrut"/>
      </w:pPr>
    </w:p>
    <w:p w14:paraId="31E02FFC" w14:textId="77777777" w:rsidR="005D1F89" w:rsidRPr="005D1F89" w:rsidRDefault="005D1F89" w:rsidP="005D1F89">
      <w:pPr>
        <w:pStyle w:val="Textebrut"/>
        <w:rPr>
          <w:b/>
          <w:bCs/>
        </w:rPr>
      </w:pPr>
      <w:r w:rsidRPr="005D1F89">
        <w:rPr>
          <w:b/>
          <w:bCs/>
        </w:rPr>
        <w:t>Le nombre de décès dus à la rougeole a baissé de 88 % depuis 2000, mais le nombre de cas augmente fortement (OMS, 28/11/2025).</w:t>
      </w:r>
    </w:p>
    <w:p w14:paraId="009DA9B9" w14:textId="77777777" w:rsidR="005D1F89" w:rsidRPr="005D1F89" w:rsidRDefault="005D1F89" w:rsidP="005D1F89">
      <w:pPr>
        <w:pStyle w:val="Textebrut"/>
      </w:pPr>
      <w:r w:rsidRPr="005D1F89">
        <w:t>Selon un nouveau rapport de l’Organisation mondiale de la Santé (OMS), les mesures de vaccination prises à l’échelle mondiale ont entraîné une baisse de 88 % du nombre de décès dus à la rougeole entre 2000 et 2024. Le vaccin antirougeoleux a sauvé près de 59 millions de personnes depuis 2000.</w:t>
      </w:r>
    </w:p>
    <w:p w14:paraId="3B84C326" w14:textId="77777777" w:rsidR="005D1F89" w:rsidRPr="005D1F89" w:rsidRDefault="005D1F89" w:rsidP="005D1F89">
      <w:pPr>
        <w:pStyle w:val="Textebrut"/>
      </w:pPr>
      <w:r w:rsidRPr="005D1F89">
        <w:t>Cependant, on estime que 95 000 personnes, dont la plupart sont des enfants de moins de cinq ans, sont décédées de la rougeole en 2024. Bien que ce soit l’un des meilleurs bilans annuels depuis 2000, chaque décès dû à une maladie évitable grâce à un vaccin très efficace et peu coûteux est inacceptable</w:t>
      </w:r>
    </w:p>
    <w:p w14:paraId="6F3F5155" w14:textId="77777777" w:rsidR="005D1F89" w:rsidRPr="005D1F89" w:rsidRDefault="005D1F89" w:rsidP="005D1F89">
      <w:pPr>
        <w:pStyle w:val="Textebrut"/>
      </w:pPr>
      <w:hyperlink r:id="rId83" w:history="1">
        <w:r w:rsidRPr="005D1F89">
          <w:rPr>
            <w:rStyle w:val="Lienhypertexte"/>
          </w:rPr>
          <w:t>https://www.who.int/fr/news/item/28-11-2025-measles-deaths-down-88--since-2000--but-cases-surge</w:t>
        </w:r>
      </w:hyperlink>
    </w:p>
    <w:p w14:paraId="7B1FF5D5" w14:textId="77777777" w:rsidR="0062440C" w:rsidRDefault="0062440C" w:rsidP="00361AD6">
      <w:pPr>
        <w:pStyle w:val="Textebrut"/>
      </w:pPr>
    </w:p>
    <w:p w14:paraId="4F92BA50" w14:textId="77777777" w:rsidR="00321078" w:rsidRPr="00321078" w:rsidRDefault="00321078" w:rsidP="00321078">
      <w:pPr>
        <w:pStyle w:val="Textebrut"/>
        <w:rPr>
          <w:b/>
          <w:bCs/>
        </w:rPr>
      </w:pPr>
      <w:r w:rsidRPr="00321078">
        <w:rPr>
          <w:b/>
          <w:bCs/>
        </w:rPr>
        <w:t>Tableau comparatif des IgSC : renforcer la sécurité et éviter les confusions (ANSM, 02/12/2025).</w:t>
      </w:r>
    </w:p>
    <w:p w14:paraId="4B026096" w14:textId="77777777" w:rsidR="00321078" w:rsidRPr="00321078" w:rsidRDefault="00321078" w:rsidP="00321078">
      <w:pPr>
        <w:pStyle w:val="Textebrut"/>
      </w:pPr>
      <w:r w:rsidRPr="00321078">
        <w:t>L’ANSM met à disposition des professionnels de santé un tableau comparatif complet des spécialités d’immunoglobulines humaines administrées par voie sous-cutanée (IgSC). Cet outil vise à faciliter l’identification rapide des spécialités disponibles et à renforcer la sécurité de leur utilisation au quotidien</w:t>
      </w:r>
    </w:p>
    <w:p w14:paraId="354025F2" w14:textId="77777777" w:rsidR="00321078" w:rsidRPr="00321078" w:rsidRDefault="00321078" w:rsidP="00321078">
      <w:pPr>
        <w:pStyle w:val="Textebrut"/>
      </w:pPr>
      <w:hyperlink r:id="rId84" w:history="1">
        <w:r w:rsidRPr="00321078">
          <w:rPr>
            <w:rStyle w:val="Lienhypertexte"/>
          </w:rPr>
          <w:t>https://ansm.sante.fr/actualites/tableau-comparatif-des-igsc-renforcer-la-securite-et-eviter-les-confusions</w:t>
        </w:r>
      </w:hyperlink>
    </w:p>
    <w:p w14:paraId="3C14D667" w14:textId="77777777" w:rsidR="005D1F89" w:rsidRDefault="005D1F89" w:rsidP="00361AD6">
      <w:pPr>
        <w:pStyle w:val="Textebrut"/>
      </w:pPr>
    </w:p>
    <w:p w14:paraId="3A0E89AD" w14:textId="77777777" w:rsidR="008333AD" w:rsidRPr="008333AD" w:rsidRDefault="008333AD" w:rsidP="008333AD">
      <w:pPr>
        <w:pStyle w:val="Textebrut"/>
        <w:rPr>
          <w:b/>
          <w:bCs/>
        </w:rPr>
      </w:pPr>
      <w:r w:rsidRPr="008333AD">
        <w:rPr>
          <w:b/>
          <w:bCs/>
        </w:rPr>
        <w:t>Vaccination – Tout ce que vous avez toujours voulu savoir sans oser le demander (CNOM, novembre 2025)</w:t>
      </w:r>
    </w:p>
    <w:p w14:paraId="10CC88D6" w14:textId="5AC48910" w:rsidR="00321078" w:rsidRDefault="008333AD" w:rsidP="008333AD">
      <w:pPr>
        <w:pStyle w:val="Textebrut"/>
      </w:pPr>
      <w:hyperlink r:id="rId85" w:history="1">
        <w:r w:rsidRPr="008333AD">
          <w:rPr>
            <w:rStyle w:val="Lienhypertexte"/>
          </w:rPr>
          <w:t>https://www.conseil-national.medecin.fr/sites/default/files/CNOM-rapport_vaccination_0.pdf</w:t>
        </w:r>
      </w:hyperlink>
    </w:p>
    <w:p w14:paraId="1C2FC803" w14:textId="77777777" w:rsidR="008333AD" w:rsidRDefault="008333AD" w:rsidP="008333AD">
      <w:pPr>
        <w:pStyle w:val="Textebrut"/>
      </w:pPr>
    </w:p>
    <w:p w14:paraId="7A7DE732" w14:textId="77777777" w:rsidR="008333AD" w:rsidRPr="008333AD" w:rsidRDefault="008333AD" w:rsidP="008333AD">
      <w:pPr>
        <w:pStyle w:val="Textebrut"/>
        <w:rPr>
          <w:b/>
          <w:bCs/>
        </w:rPr>
      </w:pPr>
      <w:r w:rsidRPr="008333AD">
        <w:rPr>
          <w:b/>
          <w:bCs/>
        </w:rPr>
        <w:t>L’OMS publie des lignes directrices mondiales sur l’utilisation des analogues du GLP-1 dans le traitement de l’obésité (OMS, 01/12/2025).</w:t>
      </w:r>
    </w:p>
    <w:p w14:paraId="7483BA07" w14:textId="73F9822F" w:rsidR="008333AD" w:rsidRPr="008333AD" w:rsidRDefault="008333AD" w:rsidP="008333AD">
      <w:pPr>
        <w:pStyle w:val="Textebrut"/>
      </w:pPr>
      <w:r w:rsidRPr="008333AD">
        <w:t>Pour répondre au problème de plus en plus important que représente l’obésité, qui touche plus d’un milliard de personnes dans le monde, l’Organisation mondiale de la Santé (OMS) publie ses premières lignes directrices sur l’utilisation des analogues du peptide-1 de type glucagon (GLP-1) dans le traitement de l’obésité chronique ou récidivante.</w:t>
      </w:r>
      <w:r>
        <w:t xml:space="preserve"> </w:t>
      </w:r>
      <w:r w:rsidRPr="008333AD">
        <w:t>L’obésité, qui touche tous les pays, a entraîné 3,7 millions de décès dans le monde en 2024. Si aucune mesure décisive n’est prise, le nombre de personnes obèses devrait doubler d’ici à 2030.</w:t>
      </w:r>
    </w:p>
    <w:p w14:paraId="7C84A676" w14:textId="77777777" w:rsidR="008333AD" w:rsidRPr="008333AD" w:rsidRDefault="008333AD" w:rsidP="008333AD">
      <w:pPr>
        <w:pStyle w:val="Textebrut"/>
      </w:pPr>
      <w:r w:rsidRPr="008333AD">
        <w:t>En septembre 2025, l’OMS a ajouté les analogues du GLP-1 à sa liste des médicaments essentiels pour la prise en charge du diabète de type 2 dans les groupes à haut risque. Dans ces nouvelles lignes directrices, l’OMS émet des recommandations conditionnelles relatives à l’usage de ces traitements pour aider les personnes obèses à surmonter ce grave problème de santé, dans le cadre d’une approche globale incluant une alimentation saine, une activité physique régulière et le soutien de professionnels et professionnelles de santé</w:t>
      </w:r>
    </w:p>
    <w:p w14:paraId="07F2E9E4" w14:textId="77777777" w:rsidR="008333AD" w:rsidRPr="008333AD" w:rsidRDefault="008333AD" w:rsidP="008333AD">
      <w:pPr>
        <w:pStyle w:val="Textebrut"/>
      </w:pPr>
      <w:hyperlink r:id="rId86" w:history="1">
        <w:r w:rsidRPr="008333AD">
          <w:rPr>
            <w:rStyle w:val="Lienhypertexte"/>
          </w:rPr>
          <w:t>https://www.who.int/fr/news/item/01-12-2025-who-issues-global-guideline-on-the-use-of-glp-1-medicines-in-treating-obesity</w:t>
        </w:r>
      </w:hyperlink>
    </w:p>
    <w:p w14:paraId="048DED45" w14:textId="77777777" w:rsidR="008333AD" w:rsidRDefault="008333AD" w:rsidP="008333AD">
      <w:pPr>
        <w:pStyle w:val="Textebrut"/>
      </w:pPr>
    </w:p>
    <w:p w14:paraId="0D0ED1C0" w14:textId="77777777" w:rsidR="00167C22" w:rsidRPr="00167C22" w:rsidRDefault="00167C22" w:rsidP="00167C22">
      <w:pPr>
        <w:pStyle w:val="Textebrut"/>
        <w:rPr>
          <w:b/>
          <w:bCs/>
        </w:rPr>
      </w:pPr>
      <w:r w:rsidRPr="00167C22">
        <w:rPr>
          <w:b/>
          <w:bCs/>
        </w:rPr>
        <w:t>PLFSS 2026 : Les biologistes médicaux alertent sur un projet qui menace le laboratoire de proximité, et proposent un virage vers la pertinence des soins (Les biologistes médicaux, 02/12/2025).</w:t>
      </w:r>
    </w:p>
    <w:p w14:paraId="0C917A89" w14:textId="77777777" w:rsidR="00167C22" w:rsidRPr="00167C22" w:rsidRDefault="00167C22" w:rsidP="00167C22">
      <w:pPr>
        <w:pStyle w:val="Textebrut"/>
      </w:pPr>
      <w:r w:rsidRPr="00167C22">
        <w:t>Entendus en novembre par la Sénatrice Mme Corinne Imbert, rapporteure de la commission des affaires sociales pour la branche Maladie et Ondam, et par le Sénateur M. Khalifé dans le cadre de l'examen du Projet de Loi de Financement de la Sécurité Sociale (PLFSS) pour 2026, Les Biologistes Médicaux (BIOMED), aux côtés du SDBIO, ont alerté les Sénateurs sur les dangers profonds des Articles 24 et 25, tels que proposés initialement par le Gouvernement</w:t>
      </w:r>
    </w:p>
    <w:p w14:paraId="44168DB2" w14:textId="77777777" w:rsidR="00167C22" w:rsidRPr="00167C22" w:rsidRDefault="00167C22" w:rsidP="00167C22">
      <w:pPr>
        <w:pStyle w:val="Textebrut"/>
      </w:pPr>
      <w:hyperlink r:id="rId87" w:history="1">
        <w:r w:rsidRPr="00167C22">
          <w:rPr>
            <w:rStyle w:val="Lienhypertexte"/>
          </w:rPr>
          <w:t>https://657gg.r.a.d.sendibm1.com/mk/mr/sh/SMJz09SDriOHWPUdu9ZxkroEZuAV/4ydIDbSac49O</w:t>
        </w:r>
      </w:hyperlink>
    </w:p>
    <w:p w14:paraId="583E2725" w14:textId="77777777" w:rsidR="008333AD" w:rsidRDefault="008333AD" w:rsidP="008333AD">
      <w:pPr>
        <w:pStyle w:val="Textebrut"/>
      </w:pPr>
    </w:p>
    <w:p w14:paraId="6DA79F01" w14:textId="77777777" w:rsidR="00167C22" w:rsidRPr="00167C22" w:rsidRDefault="00167C22" w:rsidP="00167C22">
      <w:pPr>
        <w:pStyle w:val="Textebrut"/>
        <w:rPr>
          <w:b/>
          <w:bCs/>
        </w:rPr>
      </w:pPr>
      <w:r w:rsidRPr="00167C22">
        <w:rPr>
          <w:b/>
          <w:bCs/>
        </w:rPr>
        <w:t>Guide méthodologique « Prise en charge sanitaire des personnes placées sous main de justice » (Ministère, 06/11/2025).</w:t>
      </w:r>
    </w:p>
    <w:p w14:paraId="528BD4A9" w14:textId="77777777" w:rsidR="00167C22" w:rsidRPr="00167C22" w:rsidRDefault="00167C22" w:rsidP="00167C22">
      <w:pPr>
        <w:pStyle w:val="Textebrut"/>
      </w:pPr>
      <w:r w:rsidRPr="00167C22">
        <w:t>Les personnes sous main de justice doivent avoir accès à une qualité de soins équivalente à celle de la population générale : en cela, la loi de 1994 représentait une avancée de santé publique et un progrès considérable pour les droits d’une population particulière. Le principe a été réaffirmé par la loi pénitentiaire du 24 novembre 2009</w:t>
      </w:r>
    </w:p>
    <w:p w14:paraId="205F414F" w14:textId="596A356E" w:rsidR="00167C22" w:rsidRDefault="00167C22" w:rsidP="00167C22">
      <w:pPr>
        <w:pStyle w:val="Textebrut"/>
      </w:pPr>
      <w:hyperlink r:id="rId88" w:history="1">
        <w:r w:rsidRPr="00167C22">
          <w:rPr>
            <w:rStyle w:val="Lienhypertexte"/>
          </w:rPr>
          <w:t>https://sante.gouv.fr/prevention-en-sante/sante-des-populations/personnes-detenues-personnes-placees-sous-main-de-justice/article/prise-en-charge-sanitaire</w:t>
        </w:r>
      </w:hyperlink>
    </w:p>
    <w:p w14:paraId="6D715A8F" w14:textId="77777777" w:rsidR="00167C22" w:rsidRDefault="00167C22" w:rsidP="00167C22">
      <w:pPr>
        <w:pStyle w:val="Textebrut"/>
      </w:pPr>
    </w:p>
    <w:p w14:paraId="366F063D" w14:textId="77777777" w:rsidR="0017365B" w:rsidRPr="0017365B" w:rsidRDefault="0017365B" w:rsidP="0017365B">
      <w:pPr>
        <w:pStyle w:val="Textebrut"/>
        <w:rPr>
          <w:b/>
          <w:bCs/>
        </w:rPr>
      </w:pPr>
      <w:r w:rsidRPr="0017365B">
        <w:rPr>
          <w:b/>
          <w:bCs/>
        </w:rPr>
        <w:t>Fiche COREB Vigilance grippe zoonotique – Check List – 1</w:t>
      </w:r>
      <w:r w:rsidRPr="0017365B">
        <w:rPr>
          <w:b/>
          <w:bCs/>
          <w:vertAlign w:val="superscript"/>
        </w:rPr>
        <w:t>er</w:t>
      </w:r>
      <w:r w:rsidRPr="0017365B">
        <w:rPr>
          <w:b/>
          <w:bCs/>
        </w:rPr>
        <w:t xml:space="preserve"> recours en soins primaires (COREB, 13/11/2025).</w:t>
      </w:r>
    </w:p>
    <w:p w14:paraId="5C4F1226" w14:textId="77777777" w:rsidR="0017365B" w:rsidRPr="0017365B" w:rsidRDefault="0017365B" w:rsidP="0017365B">
      <w:pPr>
        <w:pStyle w:val="Textebrut"/>
      </w:pPr>
      <w:r w:rsidRPr="0017365B">
        <w:t>Informations complémentaires pour la prise en charge d’un patient suspect</w:t>
      </w:r>
    </w:p>
    <w:p w14:paraId="60781A4A" w14:textId="77777777" w:rsidR="0017365B" w:rsidRPr="0017365B" w:rsidRDefault="0017365B" w:rsidP="0017365B">
      <w:pPr>
        <w:pStyle w:val="Textebrut"/>
      </w:pPr>
      <w:hyperlink r:id="rId89" w:history="1">
        <w:r w:rsidRPr="0017365B">
          <w:rPr>
            <w:rStyle w:val="Lienhypertexte"/>
          </w:rPr>
          <w:t>https://www.coreb.infectiologie.com/UserFiles/File/procedures/20251113-fiche-coreb-grippes-zoonotiques.pdf</w:t>
        </w:r>
      </w:hyperlink>
    </w:p>
    <w:p w14:paraId="535DAC51" w14:textId="77777777" w:rsidR="00167C22" w:rsidRDefault="00167C22" w:rsidP="00167C22">
      <w:pPr>
        <w:pStyle w:val="Textebrut"/>
      </w:pPr>
    </w:p>
    <w:p w14:paraId="5247CC91" w14:textId="77777777" w:rsidR="0017365B" w:rsidRPr="0017365B" w:rsidRDefault="0017365B" w:rsidP="0017365B">
      <w:pPr>
        <w:pStyle w:val="Textebrut"/>
        <w:rPr>
          <w:b/>
          <w:bCs/>
        </w:rPr>
      </w:pPr>
      <w:r w:rsidRPr="0017365B">
        <w:rPr>
          <w:b/>
          <w:bCs/>
        </w:rPr>
        <w:t>Ovitrelle 250 µg (choriogonadotropine alfa) : adaptation des modalités de prescription et de dispensation à compter de janvier 2026 (ANSM, 02/12/2025).</w:t>
      </w:r>
    </w:p>
    <w:p w14:paraId="277FA6DA" w14:textId="77777777" w:rsidR="0017365B" w:rsidRPr="0017365B" w:rsidRDefault="0017365B" w:rsidP="0017365B">
      <w:pPr>
        <w:pStyle w:val="Textebrut"/>
      </w:pPr>
      <w:r w:rsidRPr="0017365B">
        <w:t xml:space="preserve">Le laboratoire Merck Serono s.a.s. rencontre des problèmes de production des stylos d’Ovitrelle (choriogonadotropine alfa) 250 µg, entraînant des difficultés d’approvisionnement. Afin de permettre aux patients de continuer à accéder à leur médicament, à compter du 1er janvier 2026, nous prenons les mesures suivantes : </w:t>
      </w:r>
    </w:p>
    <w:p w14:paraId="6730BA4E" w14:textId="77777777" w:rsidR="0017365B" w:rsidRPr="0017365B" w:rsidRDefault="0017365B" w:rsidP="0017365B">
      <w:pPr>
        <w:pStyle w:val="Textebrut"/>
        <w:numPr>
          <w:ilvl w:val="0"/>
          <w:numId w:val="24"/>
        </w:numPr>
      </w:pPr>
      <w:r w:rsidRPr="0017365B">
        <w:t>La forme stylo du médicament injectable Ovitrelle 250 µg ne sera disponible que pour les hommes (adultes et enfants), dans les indications du cadre de prescription compassionnelle (CPC), en raison des besoins spécifiques d’ajustement posologique. Sa prescription et sa dispensation se feront selon des modalités spécifiques ;</w:t>
      </w:r>
    </w:p>
    <w:p w14:paraId="53683C9E" w14:textId="77777777" w:rsidR="0017365B" w:rsidRPr="0017365B" w:rsidRDefault="0017365B" w:rsidP="0017365B">
      <w:pPr>
        <w:pStyle w:val="Textebrut"/>
        <w:numPr>
          <w:ilvl w:val="0"/>
          <w:numId w:val="24"/>
        </w:numPr>
      </w:pPr>
      <w:r w:rsidRPr="0017365B">
        <w:t>Une nouvelle présentation d’Ovitrelle en seringue préremplie de 250 µg sera mise à disposition par le laboratoire uniquement pour les femmes traitées dans le cadre de l’autorisation de mise sur le marché (AMM).</w:t>
      </w:r>
    </w:p>
    <w:p w14:paraId="60EA6405" w14:textId="77777777" w:rsidR="0017365B" w:rsidRPr="0017365B" w:rsidRDefault="0017365B" w:rsidP="0017365B">
      <w:pPr>
        <w:pStyle w:val="Textebrut"/>
      </w:pPr>
      <w:r w:rsidRPr="0017365B">
        <w:t>Afin de garantir la continuité des traitements, nous avons élaboré des conduites à tenir pour les patients et les patientes, pour les médecins et pour les pharmaciens. Nous vous invitons à les consulter pour anticiper au mieux cette transition</w:t>
      </w:r>
    </w:p>
    <w:p w14:paraId="1B0BFFDE" w14:textId="77777777" w:rsidR="0017365B" w:rsidRPr="0017365B" w:rsidRDefault="0017365B" w:rsidP="0017365B">
      <w:pPr>
        <w:pStyle w:val="Textebrut"/>
      </w:pPr>
      <w:hyperlink r:id="rId90" w:history="1">
        <w:r w:rsidRPr="0017365B">
          <w:rPr>
            <w:rStyle w:val="Lienhypertexte"/>
          </w:rPr>
          <w:t>https://ansm.sante.fr/actualites/ovitrelle-250-ug-choriogonadotropine-alfa-adaptation-des-modalites-de-prescription-et-de-dispensation-a-compter-de-janvier-2026</w:t>
        </w:r>
      </w:hyperlink>
    </w:p>
    <w:p w14:paraId="4C54C2B4" w14:textId="77777777" w:rsidR="0017365B" w:rsidRDefault="0017365B" w:rsidP="00167C22">
      <w:pPr>
        <w:pStyle w:val="Textebrut"/>
      </w:pPr>
    </w:p>
    <w:p w14:paraId="1E14F3EB" w14:textId="77777777" w:rsidR="00B15808" w:rsidRPr="00B15808" w:rsidRDefault="00B15808" w:rsidP="00B15808">
      <w:pPr>
        <w:pStyle w:val="Textebrut"/>
        <w:rPr>
          <w:b/>
          <w:bCs/>
        </w:rPr>
      </w:pPr>
      <w:r w:rsidRPr="00B15808">
        <w:rPr>
          <w:b/>
          <w:bCs/>
        </w:rPr>
        <w:t>Fermetures d’officines en milieu rural : le phénomène prend une ampleur inquiétante (Le Moniteur des pharmacies, 02/12/2025).</w:t>
      </w:r>
    </w:p>
    <w:p w14:paraId="24DE4362" w14:textId="77777777" w:rsidR="00B15808" w:rsidRPr="00B15808" w:rsidRDefault="00B15808" w:rsidP="00B15808">
      <w:pPr>
        <w:pStyle w:val="Textebrut"/>
      </w:pPr>
      <w:r w:rsidRPr="00B15808">
        <w:t>Depuis le début de l’année, 31 communes ont perdu leur dernière pharmacie en milieu rural. En phase d’accélération, la tendance laisse craindre l’émergence de véritables déserts pharmaceutiques</w:t>
      </w:r>
    </w:p>
    <w:p w14:paraId="2A25F508" w14:textId="7DCBC53D" w:rsidR="0017365B" w:rsidRDefault="00B15808" w:rsidP="00B15808">
      <w:pPr>
        <w:pStyle w:val="Textebrut"/>
      </w:pPr>
      <w:hyperlink r:id="rId91" w:history="1">
        <w:r w:rsidRPr="00B15808">
          <w:rPr>
            <w:rStyle w:val="Lienhypertexte"/>
          </w:rPr>
          <w:t>https://www.lemoniteurdespharmacies.fr/business/transactions/cession/fermetures-dofficines-en-milieu-rural-le-phenomene-prend-une-ampleur-inquietante</w:t>
        </w:r>
      </w:hyperlink>
    </w:p>
    <w:p w14:paraId="1068EC8A" w14:textId="77777777" w:rsidR="00B15808" w:rsidRDefault="00B15808" w:rsidP="00B15808">
      <w:pPr>
        <w:pStyle w:val="Textebrut"/>
      </w:pPr>
    </w:p>
    <w:p w14:paraId="2F2A7F41" w14:textId="77777777" w:rsidR="0083452B" w:rsidRPr="0083452B" w:rsidRDefault="0083452B" w:rsidP="0083452B">
      <w:pPr>
        <w:pStyle w:val="Textebrut"/>
        <w:rPr>
          <w:b/>
          <w:bCs/>
        </w:rPr>
      </w:pPr>
      <w:r w:rsidRPr="0083452B">
        <w:rPr>
          <w:b/>
          <w:bCs/>
        </w:rPr>
        <w:t>Dispositifs médicaux contenant du cobalt : quelles sont les données disponibles et comment améliorer l’information des patients et des professionnels de santé ? (ANSM, 03/12/2025).</w:t>
      </w:r>
    </w:p>
    <w:p w14:paraId="0C60AEEB" w14:textId="77777777" w:rsidR="0083452B" w:rsidRPr="0083452B" w:rsidRDefault="0083452B" w:rsidP="0083452B">
      <w:pPr>
        <w:pStyle w:val="Textebrut"/>
      </w:pPr>
      <w:r w:rsidRPr="0083452B">
        <w:t xml:space="preserve">Le 23 juin 2025, l’ANSM a réuni des associations de patients ainsi que des experts de différents domaines, notamment en orthopédie, en chirurgie cardiovasculaire, en chirurgie dentaire, en médecine générale, en </w:t>
      </w:r>
      <w:r w:rsidRPr="0083452B">
        <w:lastRenderedPageBreak/>
        <w:t>toxicologie clinique et des métaux. L’objectif était de dresser ensemble un état des lieux des données disponibles à ce jour, sur les risques liés à l’utilisation du cobalt dans les dispositifs médicaux, et de définir des orientations pour améliorer l’information des patients et des professionnels de santé</w:t>
      </w:r>
    </w:p>
    <w:p w14:paraId="742319BA" w14:textId="77777777" w:rsidR="0083452B" w:rsidRPr="0083452B" w:rsidRDefault="0083452B" w:rsidP="0083452B">
      <w:pPr>
        <w:pStyle w:val="Textebrut"/>
      </w:pPr>
      <w:hyperlink r:id="rId92" w:history="1">
        <w:r w:rsidRPr="0083452B">
          <w:rPr>
            <w:rStyle w:val="Lienhypertexte"/>
          </w:rPr>
          <w:t>https://ansm.sante.fr/actualites/dispositifs-medicaux-contenant-du-cobalt-quelles-sont-les-donnees-disponibles-et-comment-ameliorer-linformation-des-patients-et-des-professionnels-de-sante</w:t>
        </w:r>
      </w:hyperlink>
    </w:p>
    <w:p w14:paraId="4722BFB3" w14:textId="77777777" w:rsidR="00321078" w:rsidRDefault="00321078" w:rsidP="00361AD6">
      <w:pPr>
        <w:pStyle w:val="Textebrut"/>
      </w:pPr>
    </w:p>
    <w:p w14:paraId="4ACA1CCD" w14:textId="77777777" w:rsidR="00BE2771" w:rsidRPr="00BE2771" w:rsidRDefault="00BE2771" w:rsidP="00BE2771">
      <w:pPr>
        <w:pStyle w:val="Textebrut"/>
        <w:rPr>
          <w:b/>
          <w:bCs/>
        </w:rPr>
      </w:pPr>
      <w:r w:rsidRPr="00BE2771">
        <w:rPr>
          <w:b/>
          <w:bCs/>
        </w:rPr>
        <w:t>Communiqué du 04/12/2025 - Deux cas de MERS-CoV, de retour de l’étranger, identifiés sur le territoire national.</w:t>
      </w:r>
    </w:p>
    <w:p w14:paraId="46BFC701" w14:textId="77777777" w:rsidR="00BE2771" w:rsidRPr="00BE2771" w:rsidRDefault="00BE2771" w:rsidP="00BE2771">
      <w:pPr>
        <w:pStyle w:val="Textebrut"/>
      </w:pPr>
      <w:r w:rsidRPr="00BE2771">
        <w:t>Le ministère de la Santé, des Familles, de l’Autonomie et des Personnes handicapées et Santé publique France ont été informés de deux cas de MERS-CoV sur le territoire national. Ces deux cas ont été confirmés à la suite de symptômes évocateurs et de la notion d’un voyage commun en péninsule Arabique. Les mesures de gestion ont été mises en place pour limiter le risque de transmission du virus</w:t>
      </w:r>
    </w:p>
    <w:p w14:paraId="60B484E5" w14:textId="464245BC" w:rsidR="00BE2771" w:rsidRDefault="00BE2771" w:rsidP="00BE2771">
      <w:pPr>
        <w:pStyle w:val="Textebrut"/>
      </w:pPr>
      <w:hyperlink r:id="rId93" w:history="1">
        <w:r w:rsidRPr="00BE2771">
          <w:rPr>
            <w:rStyle w:val="Lienhypertexte"/>
          </w:rPr>
          <w:t>https://sante.gouv.fr/actualites-presse/presse/communiques-de-presse/article/deux-cas-de-mers-cov-de-retour-de-l-etranger-identifies-sur-le-territoire</w:t>
        </w:r>
      </w:hyperlink>
    </w:p>
    <w:p w14:paraId="57C77280" w14:textId="77777777" w:rsidR="00CB0991" w:rsidRPr="00CB0991" w:rsidRDefault="00CB0991" w:rsidP="00CB0991">
      <w:pPr>
        <w:pStyle w:val="Textebrut"/>
        <w:rPr>
          <w:b/>
          <w:bCs/>
        </w:rPr>
      </w:pPr>
      <w:r w:rsidRPr="00CB0991">
        <w:rPr>
          <w:b/>
          <w:bCs/>
        </w:rPr>
        <w:t>Deux cas de coronavirus MERS identifiés en France sur des personnes « de retour de l’étranger » (Le Monde, 04/12/2025).</w:t>
      </w:r>
    </w:p>
    <w:p w14:paraId="19807078" w14:textId="77777777" w:rsidR="00CB0991" w:rsidRPr="00CB0991" w:rsidRDefault="00CB0991" w:rsidP="00CB0991">
      <w:pPr>
        <w:pStyle w:val="Textebrut"/>
      </w:pPr>
      <w:r w:rsidRPr="00CB0991">
        <w:t>Ces patients ayant effectué un voyage « en péninsule arabique » sont pris en charge à l’hôpital « par mesure de précaution », a affirmé la ministre de la santé, Stéphanie Rist, dans un communiqué. Apparu en 2012 en Arabie saoudite, le MERS-CoV est considéré comme un cousin, plus mortel mais moins contagieux, du SRAS</w:t>
      </w:r>
    </w:p>
    <w:p w14:paraId="6F676882" w14:textId="77777777" w:rsidR="00CB0991" w:rsidRPr="00CB0991" w:rsidRDefault="00CB0991" w:rsidP="00CB0991">
      <w:pPr>
        <w:pStyle w:val="Textebrut"/>
      </w:pPr>
      <w:hyperlink r:id="rId94" w:history="1">
        <w:r w:rsidRPr="00CB0991">
          <w:rPr>
            <w:rStyle w:val="Lienhypertexte"/>
          </w:rPr>
          <w:t>https://www.lemonde.fr/planete/article/2025/12/04/deux-cas-de-coronavirus-mers-identifies-en-france-sur-des-personnes-de-retour-de-l-etranger_6655935_3244.html</w:t>
        </w:r>
      </w:hyperlink>
    </w:p>
    <w:p w14:paraId="595003EF" w14:textId="77777777" w:rsidR="00B15808" w:rsidRDefault="00B15808" w:rsidP="00361AD6">
      <w:pPr>
        <w:pStyle w:val="Textebrut"/>
      </w:pPr>
    </w:p>
    <w:p w14:paraId="585628F6" w14:textId="77777777" w:rsidR="00BE2771" w:rsidRPr="00BE2771" w:rsidRDefault="00BE2771" w:rsidP="00BE2771">
      <w:pPr>
        <w:pStyle w:val="Textebrut"/>
        <w:rPr>
          <w:b/>
          <w:bCs/>
        </w:rPr>
      </w:pPr>
      <w:r w:rsidRPr="00BE2771">
        <w:rPr>
          <w:b/>
          <w:bCs/>
        </w:rPr>
        <w:t>Financiarisation : ce que prépare le ministère de la Santé pour l’officine (Le Moniteur des pharmacies, 03/12/2025).</w:t>
      </w:r>
    </w:p>
    <w:p w14:paraId="7C6E53CF" w14:textId="77777777" w:rsidR="00BE2771" w:rsidRPr="00BE2771" w:rsidRDefault="00BE2771" w:rsidP="00BE2771">
      <w:pPr>
        <w:pStyle w:val="Textebrut"/>
      </w:pPr>
      <w:r w:rsidRPr="00BE2771">
        <w:t>Un plan d’action destiné à encadrer l’entrée de capitaux extérieurs dans le secteur de la santé est en cours de finalisation. Les officines, directement concernées par des montages contractuels et obligataires, figurent parmi les priorités</w:t>
      </w:r>
    </w:p>
    <w:p w14:paraId="7A0343F7" w14:textId="2F92225D" w:rsidR="00CB0991" w:rsidRDefault="00BE2771" w:rsidP="00BE2771">
      <w:pPr>
        <w:pStyle w:val="Textebrut"/>
      </w:pPr>
      <w:hyperlink r:id="rId95" w:history="1">
        <w:r w:rsidRPr="00BE2771">
          <w:rPr>
            <w:rStyle w:val="Lienhypertexte"/>
          </w:rPr>
          <w:t>https://www.lemoniteurdespharmacies.fr/business/economie/strategie-et-gestion/financiarisation-ce-que-prepare-le-ministere-de-la-sante-pour-lofficine</w:t>
        </w:r>
      </w:hyperlink>
    </w:p>
    <w:p w14:paraId="249397D3" w14:textId="77777777" w:rsidR="00BE2771" w:rsidRDefault="00BE2771" w:rsidP="00BE2771">
      <w:pPr>
        <w:pStyle w:val="Textebrut"/>
      </w:pPr>
    </w:p>
    <w:p w14:paraId="4ABD3494" w14:textId="77777777" w:rsidR="005B1F4E" w:rsidRPr="005B1F4E" w:rsidRDefault="005B1F4E" w:rsidP="005B1F4E">
      <w:pPr>
        <w:pStyle w:val="Textebrut"/>
        <w:rPr>
          <w:b/>
          <w:bCs/>
        </w:rPr>
      </w:pPr>
      <w:r w:rsidRPr="005B1F4E">
        <w:rPr>
          <w:b/>
          <w:bCs/>
        </w:rPr>
        <w:t>Appareils de mesure du glucose en continu – Capteur FreeStyle Libre 3 et capteur FreeStyle Libre 3 Plus – Abbott Diabetes Care Ltd (ANSM, 26/11/2025).</w:t>
      </w:r>
    </w:p>
    <w:p w14:paraId="5796FE56" w14:textId="16C2AEDE" w:rsidR="005B1F4E" w:rsidRPr="005B1F4E" w:rsidRDefault="005B1F4E" w:rsidP="005B1F4E">
      <w:pPr>
        <w:pStyle w:val="Textebrut"/>
      </w:pPr>
      <w:r w:rsidRPr="005B1F4E">
        <w:t>Rappel n° R2532516 destiné aux prestataires de santé à domicile et professionnels de santé</w:t>
      </w:r>
      <w:r>
        <w:t>.</w:t>
      </w:r>
    </w:p>
    <w:p w14:paraId="56A80AA6" w14:textId="77777777" w:rsidR="005B1F4E" w:rsidRPr="005B1F4E" w:rsidRDefault="005B1F4E" w:rsidP="005B1F4E">
      <w:pPr>
        <w:pStyle w:val="Textebrut"/>
      </w:pPr>
      <w:r w:rsidRPr="005B1F4E">
        <w:t>L’ANSM a été informée par la société Abbott Diabetes Care Inc. du rappel de plusieurs lots de capteurs FreeStyle Libre 3 et FreeStyle Libre 3 Plus, utilisés soit avec l’application FreeStyle libre 3 (sur smartphone) soit avec l’application mylife CamAPS FX incluse dans le système de boucle semi-fermée de la pompe à insuline mylife YpsoPump. Les patients sont directement informés de ce rappel via l’application ou par mail</w:t>
      </w:r>
    </w:p>
    <w:p w14:paraId="07AD613E" w14:textId="77777777" w:rsidR="005B1F4E" w:rsidRPr="005B1F4E" w:rsidRDefault="005B1F4E" w:rsidP="005B1F4E">
      <w:pPr>
        <w:pStyle w:val="Textebrut"/>
      </w:pPr>
      <w:hyperlink r:id="rId96" w:history="1">
        <w:r w:rsidRPr="005B1F4E">
          <w:rPr>
            <w:rStyle w:val="Lienhypertexte"/>
          </w:rPr>
          <w:t>https://ansm.sante.fr/informations-de-securite/appareils-de-mesure-du-glucose-en-continu-capteur-freestyle-libre-3-et-capteur-freestyle-libre-3-plus-abbott-diabetes-care-ltd</w:t>
        </w:r>
      </w:hyperlink>
    </w:p>
    <w:p w14:paraId="092AF667" w14:textId="77777777" w:rsidR="005B1F4E" w:rsidRPr="005B1F4E" w:rsidRDefault="005B1F4E" w:rsidP="005B1F4E">
      <w:pPr>
        <w:pStyle w:val="Textebrut"/>
        <w:rPr>
          <w:b/>
          <w:bCs/>
        </w:rPr>
      </w:pPr>
      <w:r w:rsidRPr="005B1F4E">
        <w:rPr>
          <w:b/>
          <w:bCs/>
        </w:rPr>
        <w:t>Rappel : appareils de mesure du glucose en continu – Capteur FreeStyle Libre 3 et capteur FreeStyle Libre 3 Plus – Abbott Diabetes Care Ltd (CNOP, 05/12/2025).</w:t>
      </w:r>
    </w:p>
    <w:p w14:paraId="503B755B" w14:textId="77777777" w:rsidR="005B1F4E" w:rsidRPr="005B1F4E" w:rsidRDefault="005B1F4E" w:rsidP="005B1F4E">
      <w:pPr>
        <w:pStyle w:val="Textebrut"/>
      </w:pPr>
      <w:r w:rsidRPr="005B1F4E">
        <w:t>Rappel n° R2532516 destiné aux prestataires de santé à domicile et professionnels de santé. L’ANSM a été informée par la société Abbott Diabetes Care Inc. du rappel de plusieurs lots de capteurs FreeStyle Libre 3 et FreeStyle Libre 3 Plus, utilisés soit avec l’application FreeStyle libre 3 (sur smartphone) soit avec l’application mylife CamAPS FX incluse dans le système de boucle semi-fermée de la pompe à insuline mylife YpsoPump</w:t>
      </w:r>
    </w:p>
    <w:p w14:paraId="1411F6C8" w14:textId="77777777" w:rsidR="005B1F4E" w:rsidRPr="005B1F4E" w:rsidRDefault="005B1F4E" w:rsidP="005B1F4E">
      <w:pPr>
        <w:pStyle w:val="Textebrut"/>
      </w:pPr>
      <w:hyperlink r:id="rId97" w:history="1">
        <w:r w:rsidRPr="005B1F4E">
          <w:rPr>
            <w:rStyle w:val="Lienhypertexte"/>
          </w:rPr>
          <w:t>https://www.ordre.pharmacien.fr/les-communications/focus-sur/les-actualites/rappel-appareils-de-mesure-du-glucose-en-continu-capteur-freestyle-libre-3-et-capteur-freestyle-libre-3-plus-abbott-diabetes-care-ltd</w:t>
        </w:r>
      </w:hyperlink>
    </w:p>
    <w:p w14:paraId="685AEDCE" w14:textId="77777777" w:rsidR="004150B7" w:rsidRPr="004150B7" w:rsidRDefault="004150B7" w:rsidP="004150B7">
      <w:pPr>
        <w:pStyle w:val="Textebrut"/>
        <w:rPr>
          <w:b/>
          <w:bCs/>
        </w:rPr>
      </w:pPr>
      <w:r w:rsidRPr="004150B7">
        <w:rPr>
          <w:b/>
          <w:bCs/>
        </w:rPr>
        <w:t>Diabète : des capteurs de glycémie font l’objet d’une campagne de rappel massive après plusieurs morts (Le Monde, 04/12/2025).</w:t>
      </w:r>
    </w:p>
    <w:p w14:paraId="0361E682" w14:textId="77777777" w:rsidR="004150B7" w:rsidRPr="004150B7" w:rsidRDefault="004150B7" w:rsidP="004150B7">
      <w:pPr>
        <w:pStyle w:val="Textebrut"/>
      </w:pPr>
      <w:r w:rsidRPr="004150B7">
        <w:t>L’entreprise pharmaceutique Abbott a dit avoir reçu à ce jour des signalements faisant état de sept décès et de 736 incidents graves qui pourraient être liés à une malfonction de certains capteurs FreeStyle Libre 3 et FreeStyle Libre 3 Plus</w:t>
      </w:r>
    </w:p>
    <w:p w14:paraId="5DD4C791" w14:textId="77777777" w:rsidR="004150B7" w:rsidRPr="004150B7" w:rsidRDefault="004150B7" w:rsidP="004150B7">
      <w:pPr>
        <w:pStyle w:val="Textebrut"/>
      </w:pPr>
      <w:hyperlink r:id="rId98" w:history="1">
        <w:r w:rsidRPr="004150B7">
          <w:rPr>
            <w:rStyle w:val="Lienhypertexte"/>
          </w:rPr>
          <w:t>https://www.lemonde.fr/societe/article/2025/12/04/diabete-des-capteurs-de-glycemie-font-l-objet-d-une-campagne-de-rappel-massive-apres-plusieurs-morts_6655952_3224.html</w:t>
        </w:r>
      </w:hyperlink>
    </w:p>
    <w:p w14:paraId="68579E44" w14:textId="77777777" w:rsidR="00BE2771" w:rsidRDefault="00BE2771" w:rsidP="00BE2771">
      <w:pPr>
        <w:pStyle w:val="Textebrut"/>
      </w:pPr>
    </w:p>
    <w:p w14:paraId="109F8816" w14:textId="77777777" w:rsidR="008B1838" w:rsidRPr="008B1838" w:rsidRDefault="008B1838" w:rsidP="008B1838">
      <w:pPr>
        <w:pStyle w:val="Textebrut"/>
        <w:rPr>
          <w:b/>
          <w:bCs/>
        </w:rPr>
      </w:pPr>
      <w:r w:rsidRPr="008B1838">
        <w:rPr>
          <w:b/>
          <w:bCs/>
        </w:rPr>
        <w:t>Onco’Link : l’expérimentation pourrait entrer dans le droit commun (CNOP, 04/12/2025).</w:t>
      </w:r>
    </w:p>
    <w:p w14:paraId="533479E6" w14:textId="77777777" w:rsidR="008B1838" w:rsidRPr="008B1838" w:rsidRDefault="008B1838" w:rsidP="008B1838">
      <w:pPr>
        <w:pStyle w:val="Textebrut"/>
      </w:pPr>
      <w:r w:rsidRPr="008B1838">
        <w:t>Le Comité technique de l’innovation en santé (CTIS) et le Conseil stratégique de l’innovation en santé (CSIS) ont rendu un avis favorable à la généralisation de l’expérimentation portée par Unicancer Onco’Link, facilitant la coordination interprofessionnelle autour des patients sous traitements anticancéreux oraux. Une étape importante pour la sécurisation du parcours patient en oncologie et la reconnaissance du rôle essentiel des pharmaciens dans le suivi thérapeutique</w:t>
      </w:r>
    </w:p>
    <w:p w14:paraId="1F355874" w14:textId="77777777" w:rsidR="008B1838" w:rsidRPr="008B1838" w:rsidRDefault="008B1838" w:rsidP="008B1838">
      <w:pPr>
        <w:pStyle w:val="Textebrut"/>
      </w:pPr>
      <w:hyperlink r:id="rId99" w:history="1">
        <w:r w:rsidRPr="008B1838">
          <w:rPr>
            <w:rStyle w:val="Lienhypertexte"/>
          </w:rPr>
          <w:t>https://www.ordre.pharmacien.fr/les-communications/focus-sur/les-actualites/onco-link-l-experimentation-pourrait-entrer-dans-le-droit-commun</w:t>
        </w:r>
      </w:hyperlink>
    </w:p>
    <w:p w14:paraId="513A220B" w14:textId="77777777" w:rsidR="004150B7" w:rsidRDefault="004150B7" w:rsidP="00BE2771">
      <w:pPr>
        <w:pStyle w:val="Textebrut"/>
      </w:pPr>
    </w:p>
    <w:p w14:paraId="311DEE48" w14:textId="77777777" w:rsidR="00651185" w:rsidRPr="00651185" w:rsidRDefault="00651185" w:rsidP="00651185">
      <w:pPr>
        <w:pStyle w:val="Textebrut"/>
        <w:rPr>
          <w:b/>
          <w:bCs/>
        </w:rPr>
      </w:pPr>
      <w:r w:rsidRPr="00651185">
        <w:rPr>
          <w:b/>
          <w:bCs/>
        </w:rPr>
        <w:t>Les autorités compétentes nationales (ACN) lancent une approche accélérée pour l’autorisation des essais cliniques multinationaux dans l’UE/EEE (ANSM, 05/12/2025).</w:t>
      </w:r>
    </w:p>
    <w:p w14:paraId="644AFD85" w14:textId="77777777" w:rsidR="00651185" w:rsidRPr="00651185" w:rsidRDefault="00651185" w:rsidP="00651185">
      <w:pPr>
        <w:pStyle w:val="Textebrut"/>
      </w:pPr>
      <w:r w:rsidRPr="00651185">
        <w:t>Le réseau des chefs d’agence du médicament (HMA) s'est réuni à Vienne le 26 novembre 2025 et a décidé de mettre en place au niveau européen une procédure accélérée pour certains essais cliniques multinationaux. Appelée FAST-EU, cette procédure sera expérimentée à compter de janvier 2026 dans une phase pilote qui permettra à tous les acteurs de se coordonner. FAST-EU sera ensuite testée plus largement dans le cadre d'une action conjointe financée par la Commission européenne afin de déterminer la pérennité à donner à ce modèle accéléré.</w:t>
      </w:r>
    </w:p>
    <w:p w14:paraId="2BECCE74" w14:textId="77777777" w:rsidR="00651185" w:rsidRPr="00651185" w:rsidRDefault="00651185" w:rsidP="00651185">
      <w:pPr>
        <w:pStyle w:val="Textebrut"/>
      </w:pPr>
      <w:r w:rsidRPr="00651185">
        <w:t>La France soutient activement cette dynamique européenne visant à l’accélération et à la simplification de la recherche clinique, en cohérence avec le plan France 2030. Pour rappel, nous avons annoncé récemment la mise en place dès le premier trimestre 2026 de l’expérimentation du dispositif accéléré d’autorisation (fast-track) pour certains essais cliniques conduits sur le territoire national</w:t>
      </w:r>
    </w:p>
    <w:p w14:paraId="36B90AA3" w14:textId="77777777" w:rsidR="00651185" w:rsidRPr="00651185" w:rsidRDefault="00651185" w:rsidP="00651185">
      <w:pPr>
        <w:pStyle w:val="Textebrut"/>
      </w:pPr>
      <w:hyperlink r:id="rId100" w:history="1">
        <w:r w:rsidRPr="00651185">
          <w:rPr>
            <w:rStyle w:val="Lienhypertexte"/>
          </w:rPr>
          <w:t>https://ansm.sante.fr/actualites/les-autorites-competentes-nationales-acn-lancent-une-approche-acceleree-pour-lautorisation-des-essais-cliniques-multinationaux-dans-lue-eee</w:t>
        </w:r>
      </w:hyperlink>
    </w:p>
    <w:p w14:paraId="041D5A1E" w14:textId="77777777" w:rsidR="008B1838" w:rsidRDefault="008B1838" w:rsidP="00BE2771">
      <w:pPr>
        <w:pStyle w:val="Textebrut"/>
      </w:pPr>
    </w:p>
    <w:p w14:paraId="7EE75D4B" w14:textId="77777777" w:rsidR="00B47984" w:rsidRPr="00B47984" w:rsidRDefault="00B47984" w:rsidP="00B47984">
      <w:pPr>
        <w:pStyle w:val="Textebrut"/>
        <w:rPr>
          <w:b/>
          <w:bCs/>
        </w:rPr>
      </w:pPr>
      <w:r w:rsidRPr="00B47984">
        <w:rPr>
          <w:b/>
          <w:bCs/>
        </w:rPr>
        <w:t>Recypen : que faire des stylos préremplis rapportés par les patients ? (Le Quotidien du pharmacien, 05/12/2025).</w:t>
      </w:r>
    </w:p>
    <w:p w14:paraId="0CF2F931" w14:textId="77777777" w:rsidR="00B47984" w:rsidRPr="00B47984" w:rsidRDefault="00B47984" w:rsidP="00B47984">
      <w:pPr>
        <w:pStyle w:val="Textebrut"/>
      </w:pPr>
      <w:r w:rsidRPr="00B47984">
        <w:t>Recypen, le programme de collecte et de recyclage des stylos préremplis des laboratoires Lilly et Sanofi, s’étend à l’ensemble de la France métropolitaine. Les corps des stylos sont à placer, sans leurs aiguilles, dans des boîtes fournies par l’éco-organisme DASTRI</w:t>
      </w:r>
    </w:p>
    <w:p w14:paraId="604E727D" w14:textId="77777777" w:rsidR="00B47984" w:rsidRPr="00B47984" w:rsidRDefault="00B47984" w:rsidP="00B47984">
      <w:pPr>
        <w:pStyle w:val="Textebrut"/>
      </w:pPr>
      <w:hyperlink r:id="rId101" w:history="1">
        <w:r w:rsidRPr="00B47984">
          <w:rPr>
            <w:rStyle w:val="Lienhypertexte"/>
          </w:rPr>
          <w:t>https://www.lequotidiendupharmacien.fr/exercice-pro/recypen-que-faire-des-stylos-preremplis-rapportes-par-les-patients</w:t>
        </w:r>
      </w:hyperlink>
    </w:p>
    <w:p w14:paraId="1EFB4CD7" w14:textId="77777777" w:rsidR="00651185" w:rsidRDefault="00651185" w:rsidP="00BE2771">
      <w:pPr>
        <w:pStyle w:val="Textebrut"/>
      </w:pPr>
    </w:p>
    <w:p w14:paraId="4693B946" w14:textId="77777777" w:rsidR="001D7789" w:rsidRPr="001D7789" w:rsidRDefault="001D7789" w:rsidP="001D7789">
      <w:pPr>
        <w:pStyle w:val="Textebrut"/>
        <w:rPr>
          <w:b/>
          <w:bCs/>
        </w:rPr>
      </w:pPr>
      <w:r w:rsidRPr="001D7789">
        <w:rPr>
          <w:b/>
          <w:bCs/>
        </w:rPr>
        <w:t>Erreurs d’identification de colorants utilisés au bloc opératoire : des rappels et un poster pour sécuriser leur administration (ANSM, actualisation du 08/12/2025).</w:t>
      </w:r>
    </w:p>
    <w:p w14:paraId="2C377AF6" w14:textId="77777777" w:rsidR="001D7789" w:rsidRPr="001D7789" w:rsidRDefault="001D7789" w:rsidP="001D7789">
      <w:pPr>
        <w:pStyle w:val="Textebrut"/>
      </w:pPr>
      <w:r w:rsidRPr="001D7789">
        <w:t>La version révisée du tableau des colorants utilisés au bloc opératoire a été mise en ligne ci-dessous. Le texte de l’actualité a été recentré sur les éléments valides quelles que soient les évolutions ultérieures du tableau</w:t>
      </w:r>
    </w:p>
    <w:p w14:paraId="2E6BA434" w14:textId="6775029C" w:rsidR="00B47984" w:rsidRDefault="001D7789" w:rsidP="001D7789">
      <w:pPr>
        <w:pStyle w:val="Textebrut"/>
      </w:pPr>
      <w:hyperlink r:id="rId102" w:history="1">
        <w:r w:rsidRPr="001D7789">
          <w:rPr>
            <w:rStyle w:val="Lienhypertexte"/>
          </w:rPr>
          <w:t>https://ansm.sante.fr/actualites/erreurs-didentification-de-colorants-utilises-au-bloc-operatoire-des-rappels-et-un-poster-pour-securiser-leur-administration</w:t>
        </w:r>
      </w:hyperlink>
    </w:p>
    <w:p w14:paraId="42F2B4A8" w14:textId="77777777" w:rsidR="001D7789" w:rsidRDefault="001D7789" w:rsidP="001D7789">
      <w:pPr>
        <w:pStyle w:val="Textebrut"/>
      </w:pPr>
    </w:p>
    <w:p w14:paraId="25A3DDB9" w14:textId="27B685A0" w:rsidR="001D7789" w:rsidRPr="00426AC3" w:rsidRDefault="004B42BC" w:rsidP="001D7789">
      <w:pPr>
        <w:pStyle w:val="Textebrut"/>
        <w:rPr>
          <w:b/>
          <w:bCs/>
        </w:rPr>
      </w:pPr>
      <w:r w:rsidRPr="00426AC3">
        <w:rPr>
          <w:b/>
          <w:bCs/>
        </w:rPr>
        <w:t xml:space="preserve">Présentation du GIS EPI-PHARE réalisée </w:t>
      </w:r>
      <w:r w:rsidR="00426AC3">
        <w:rPr>
          <w:b/>
          <w:bCs/>
        </w:rPr>
        <w:t xml:space="preserve">par la CNAM </w:t>
      </w:r>
      <w:r w:rsidRPr="00426AC3">
        <w:rPr>
          <w:b/>
          <w:bCs/>
        </w:rPr>
        <w:t>lors des 1</w:t>
      </w:r>
      <w:r w:rsidRPr="00426AC3">
        <w:rPr>
          <w:b/>
          <w:bCs/>
          <w:vertAlign w:val="superscript"/>
        </w:rPr>
        <w:t>ères</w:t>
      </w:r>
      <w:r w:rsidRPr="00426AC3">
        <w:rPr>
          <w:b/>
          <w:bCs/>
        </w:rPr>
        <w:t xml:space="preserve"> rencontres entre pharmaciens conseils et pharmaciens ARS le 21/11/2025</w:t>
      </w:r>
    </w:p>
    <w:p w14:paraId="4E1255B9" w14:textId="30637CA6" w:rsidR="004B42BC" w:rsidRDefault="004B42BC" w:rsidP="001D7789">
      <w:pPr>
        <w:pStyle w:val="Textebrut"/>
      </w:pPr>
      <w:hyperlink r:id="rId103" w:history="1">
        <w:r w:rsidRPr="000F3140">
          <w:rPr>
            <w:rStyle w:val="Lienhypertexte"/>
          </w:rPr>
          <w:t>https://peps.sante.gouv.fr/actu/2025/25_cnam_epi-phare_21112025.pdf</w:t>
        </w:r>
      </w:hyperlink>
    </w:p>
    <w:p w14:paraId="5365C13A" w14:textId="77777777" w:rsidR="004B42BC" w:rsidRDefault="004B42BC" w:rsidP="001D7789">
      <w:pPr>
        <w:pStyle w:val="Textebrut"/>
      </w:pPr>
    </w:p>
    <w:p w14:paraId="3A5F259D" w14:textId="77777777" w:rsidR="00AD203A" w:rsidRPr="00AD203A" w:rsidRDefault="00AD203A" w:rsidP="00AD203A">
      <w:pPr>
        <w:pStyle w:val="Textebrut"/>
        <w:rPr>
          <w:b/>
          <w:bCs/>
        </w:rPr>
      </w:pPr>
      <w:r w:rsidRPr="00AD203A">
        <w:rPr>
          <w:b/>
          <w:bCs/>
        </w:rPr>
        <w:t>L’Académie nationale de médecine recommande l’obligation de la vaccination contre la grippe pour les professionnels de soins et les résidents en EHPAD (Académie nationale de médecine, 08/12/2025)</w:t>
      </w:r>
    </w:p>
    <w:p w14:paraId="51A88F11" w14:textId="6F32D086" w:rsidR="002B19D0" w:rsidRDefault="00AD203A" w:rsidP="00AD203A">
      <w:pPr>
        <w:pStyle w:val="Textebrut"/>
      </w:pPr>
      <w:hyperlink r:id="rId104" w:history="1">
        <w:r w:rsidRPr="00AD203A">
          <w:rPr>
            <w:rStyle w:val="Lienhypertexte"/>
          </w:rPr>
          <w:t>https://www.academie-medecine.fr/lacademie-nationale-de-medecine-recommande-lobligation-de-la-vaccination-contre-la-grippe-pour-les-professionnels-de-soins-et-les-residents-en-ehpad/</w:t>
        </w:r>
      </w:hyperlink>
    </w:p>
    <w:p w14:paraId="55EDB8AD" w14:textId="77777777" w:rsidR="00AD203A" w:rsidRDefault="00AD203A" w:rsidP="00AD203A">
      <w:pPr>
        <w:pStyle w:val="Textebrut"/>
      </w:pPr>
    </w:p>
    <w:p w14:paraId="7F7697D3" w14:textId="77777777" w:rsidR="00287027" w:rsidRPr="00287027" w:rsidRDefault="00287027" w:rsidP="00287027">
      <w:pPr>
        <w:pStyle w:val="Textebrut"/>
        <w:rPr>
          <w:b/>
          <w:bCs/>
        </w:rPr>
      </w:pPr>
      <w:r w:rsidRPr="00287027">
        <w:rPr>
          <w:b/>
          <w:bCs/>
        </w:rPr>
        <w:t>Essais cliniques sauvages : Fourtillan et Joyeux devant la justice (Le Quotidien du pharmacien, 08/12/2025).</w:t>
      </w:r>
    </w:p>
    <w:p w14:paraId="03AB7B0F" w14:textId="77777777" w:rsidR="00287027" w:rsidRPr="00287027" w:rsidRDefault="00287027" w:rsidP="00287027">
      <w:pPr>
        <w:pStyle w:val="Textebrut"/>
      </w:pPr>
      <w:r w:rsidRPr="00287027">
        <w:lastRenderedPageBreak/>
        <w:t>Jean-Bernard Fourtillan, Henri Joyeux et deux autres personnes sont jugés à partir du 8 décembre 2025 par le tribunal correctionnel de Paris pour des essais cliniques sauvages menés sur des patients atteints de la maladie de Parkinson, d’Alzheimer et d’autres pathologies entre 2018 et 2019</w:t>
      </w:r>
    </w:p>
    <w:p w14:paraId="649C963C" w14:textId="77777777" w:rsidR="00287027" w:rsidRPr="00287027" w:rsidRDefault="00287027" w:rsidP="00287027">
      <w:pPr>
        <w:pStyle w:val="Textebrut"/>
      </w:pPr>
      <w:hyperlink r:id="rId105" w:history="1">
        <w:r w:rsidRPr="00287027">
          <w:rPr>
            <w:rStyle w:val="Lienhypertexte"/>
          </w:rPr>
          <w:t>https://www.lequotidiendupharmacien.fr/exercice-pro/justice/essais-cliniques-sauvages-fourtillan-et-joyeux-devant-la-justice</w:t>
        </w:r>
      </w:hyperlink>
    </w:p>
    <w:p w14:paraId="7D2C746E" w14:textId="77777777" w:rsidR="00AD203A" w:rsidRDefault="00AD203A" w:rsidP="00AD203A">
      <w:pPr>
        <w:pStyle w:val="Textebrut"/>
      </w:pPr>
    </w:p>
    <w:p w14:paraId="4516953F" w14:textId="36D19403" w:rsidR="009E619F" w:rsidRPr="009E619F" w:rsidRDefault="009E619F" w:rsidP="009E619F">
      <w:pPr>
        <w:pStyle w:val="Textebrut"/>
        <w:rPr>
          <w:b/>
          <w:bCs/>
        </w:rPr>
      </w:pPr>
      <w:r w:rsidRPr="009E619F">
        <w:rPr>
          <w:b/>
          <w:bCs/>
        </w:rPr>
        <w:t>Interprofessionnalité - IatroPrev : les pharmaciens de quatre régions rejoignent l’expérimentation (Le Quotidien du pharmacien, 08/12/2025).</w:t>
      </w:r>
    </w:p>
    <w:p w14:paraId="0E687E16" w14:textId="77777777" w:rsidR="009E619F" w:rsidRPr="009E619F" w:rsidRDefault="009E619F" w:rsidP="009E619F">
      <w:pPr>
        <w:pStyle w:val="Textebrut"/>
      </w:pPr>
      <w:r w:rsidRPr="009E619F">
        <w:t>IatroPrev est une expérimentation qui vise à réduire les événements d’origine iatrogène chez les seniors hospitalisés, via une collaboration ville-hôpital. Après une première phase menée dans les Hauts-de-France, une seconde phase a été lancée dans quatre régions (Bretagne, Pays de la Loire, Occitanie et toujours les Hauts-de-France) qui incluront leurs premiers patients à partir de janvier 2026</w:t>
      </w:r>
    </w:p>
    <w:p w14:paraId="59B9D08E" w14:textId="77777777" w:rsidR="009E619F" w:rsidRPr="009E619F" w:rsidRDefault="009E619F" w:rsidP="009E619F">
      <w:pPr>
        <w:pStyle w:val="Textebrut"/>
      </w:pPr>
      <w:hyperlink r:id="rId106" w:history="1">
        <w:r w:rsidRPr="009E619F">
          <w:rPr>
            <w:rStyle w:val="Lienhypertexte"/>
          </w:rPr>
          <w:t>https://www.lequotidiendupharmacien.fr/exercice-pro/iatroprev-les-pharmaciens-de-quatre-regions-rejoignent-lexperimentation</w:t>
        </w:r>
      </w:hyperlink>
    </w:p>
    <w:p w14:paraId="39468DC3" w14:textId="77777777" w:rsidR="00287027" w:rsidRDefault="00287027" w:rsidP="00AD203A">
      <w:pPr>
        <w:pStyle w:val="Textebrut"/>
      </w:pPr>
    </w:p>
    <w:p w14:paraId="62E5C71B" w14:textId="072996C5" w:rsidR="009E619F" w:rsidRPr="00C64D58" w:rsidRDefault="00C64D58" w:rsidP="00AD203A">
      <w:pPr>
        <w:pStyle w:val="Textebrut"/>
        <w:rPr>
          <w:b/>
          <w:bCs/>
        </w:rPr>
      </w:pPr>
      <w:r w:rsidRPr="00C64D58">
        <w:rPr>
          <w:b/>
          <w:bCs/>
        </w:rPr>
        <w:t>MINSANTE n°2025-11 du 09/12/2025 : Stratégie de dépistage renforcée pour les personnes co-exposées et contacts a risque des cas importés de Middle East Respiratory Syndrome (MERS)</w:t>
      </w:r>
    </w:p>
    <w:p w14:paraId="595A0CF9" w14:textId="51C7AE6A" w:rsidR="00C64D58" w:rsidRDefault="00C64D58" w:rsidP="00AD203A">
      <w:pPr>
        <w:pStyle w:val="Textebrut"/>
      </w:pPr>
      <w:hyperlink r:id="rId107" w:history="1">
        <w:r w:rsidRPr="009F3B15">
          <w:rPr>
            <w:rStyle w:val="Lienhypertexte"/>
          </w:rPr>
          <w:t>https://peps.sante.gouv.fr/actu/2025/25_minsante_2025-11_mers.pdf</w:t>
        </w:r>
      </w:hyperlink>
    </w:p>
    <w:p w14:paraId="1E932F52" w14:textId="1421377A" w:rsidR="00C64D58" w:rsidRDefault="00C64D58" w:rsidP="00AD203A">
      <w:pPr>
        <w:pStyle w:val="Textebrut"/>
      </w:pPr>
      <w:r>
        <w:t>et ses annexes :</w:t>
      </w:r>
    </w:p>
    <w:p w14:paraId="147C10ED" w14:textId="5EE11FD5" w:rsidR="00C64D58" w:rsidRDefault="00C64D58" w:rsidP="00C64D58">
      <w:pPr>
        <w:pStyle w:val="Textebrut"/>
        <w:numPr>
          <w:ilvl w:val="0"/>
          <w:numId w:val="26"/>
        </w:numPr>
      </w:pPr>
      <w:r w:rsidRPr="00C64D58">
        <w:t>Conditions de prélèvements pour tout cas possible d’infection due au MERS-CoV, et pour toute personne coexposée ou contact de cas confirmés (CNR, COREB, 05/12/2025)</w:t>
      </w:r>
    </w:p>
    <w:p w14:paraId="54D9524B" w14:textId="28EDBC67" w:rsidR="00C64D58" w:rsidRDefault="00C64D58" w:rsidP="00C64D58">
      <w:pPr>
        <w:pStyle w:val="Textebrut"/>
        <w:ind w:left="720"/>
      </w:pPr>
      <w:hyperlink r:id="rId108" w:history="1">
        <w:r w:rsidRPr="009F3B15">
          <w:rPr>
            <w:rStyle w:val="Lienhypertexte"/>
          </w:rPr>
          <w:t>https://peps.sante.gouv.fr/actu/2025/25_minsante_2025-11_mers-diagnostic.pdf</w:t>
        </w:r>
      </w:hyperlink>
    </w:p>
    <w:p w14:paraId="7C00C212" w14:textId="67A8E154" w:rsidR="00C64D58" w:rsidRDefault="00C64D58" w:rsidP="00C64D58">
      <w:pPr>
        <w:pStyle w:val="Textebrut"/>
        <w:numPr>
          <w:ilvl w:val="0"/>
          <w:numId w:val="26"/>
        </w:numPr>
      </w:pPr>
      <w:r w:rsidRPr="00C64D58">
        <w:t>Questions sur la réalisation d’analyses diagnostiques complémentaires pour les personnes contacts et co-exposées (CNR, COREB, 05/12/2025)</w:t>
      </w:r>
    </w:p>
    <w:p w14:paraId="578946C1" w14:textId="170C999D" w:rsidR="00C64D58" w:rsidRDefault="00C64D58" w:rsidP="00C64D58">
      <w:pPr>
        <w:pStyle w:val="Textebrut"/>
        <w:ind w:left="720"/>
      </w:pPr>
      <w:hyperlink r:id="rId109" w:history="1">
        <w:r w:rsidRPr="009F3B15">
          <w:rPr>
            <w:rStyle w:val="Lienhypertexte"/>
          </w:rPr>
          <w:t>https://peps.sante.gouv.fr/actu/2025/25_minsante_2025-11_mers-diagnostic-faq.pdf</w:t>
        </w:r>
      </w:hyperlink>
    </w:p>
    <w:p w14:paraId="7555A204" w14:textId="77777777" w:rsidR="00C64D58" w:rsidRDefault="00C64D58" w:rsidP="00AD203A">
      <w:pPr>
        <w:pStyle w:val="Textebrut"/>
      </w:pPr>
    </w:p>
    <w:p w14:paraId="25745604" w14:textId="77777777" w:rsidR="00EF1972" w:rsidRPr="00EF1972" w:rsidRDefault="00EF1972" w:rsidP="00EF1972">
      <w:pPr>
        <w:pStyle w:val="Textebrut"/>
        <w:rPr>
          <w:b/>
          <w:bCs/>
        </w:rPr>
      </w:pPr>
      <w:r w:rsidRPr="00EF1972">
        <w:rPr>
          <w:b/>
          <w:bCs/>
        </w:rPr>
        <w:t>Avis HAS n°2025.0064/SESPEV du 4 décembre 2025 du collège de la Haute Autorité de santé relatif à l’actualisation du calendrier des vaccinations pour l’année 2025.</w:t>
      </w:r>
    </w:p>
    <w:p w14:paraId="7B149EC8" w14:textId="77777777" w:rsidR="00EF1972" w:rsidRPr="00EF1972" w:rsidRDefault="00EF1972" w:rsidP="00EF1972">
      <w:pPr>
        <w:pStyle w:val="Textebrut"/>
      </w:pPr>
      <w:r w:rsidRPr="00EF1972">
        <w:t>Réponse à la saisine de la DGS du 22 octobre 2025 relative à l’intégration du vaccin CAPVAXIVE et l’élargissement du rattrapage HPV dans le calendrier des vaccinations 2025</w:t>
      </w:r>
    </w:p>
    <w:p w14:paraId="611C5BDC" w14:textId="77777777" w:rsidR="00EF1972" w:rsidRPr="00EF1972" w:rsidRDefault="00EF1972" w:rsidP="00EF1972">
      <w:pPr>
        <w:pStyle w:val="Textebrut"/>
      </w:pPr>
      <w:hyperlink r:id="rId110" w:history="1">
        <w:r w:rsidRPr="00EF1972">
          <w:rPr>
            <w:rStyle w:val="Lienhypertexte"/>
          </w:rPr>
          <w:t>https://www.has-sante.fr/jcms/p_3784535/fr/avis-n2025-0064/sespev-du-4-decembre-2025-du-college-de-la-haute-autorite-de-sante-relatif-a-l-actualisation-du-calendrier-des-vaccinations-pour-l-annee-2025</w:t>
        </w:r>
      </w:hyperlink>
    </w:p>
    <w:p w14:paraId="66205C11" w14:textId="77777777" w:rsidR="00C64D58" w:rsidRDefault="00C64D58" w:rsidP="00AD203A">
      <w:pPr>
        <w:pStyle w:val="Textebrut"/>
      </w:pPr>
    </w:p>
    <w:p w14:paraId="380E3484" w14:textId="77777777" w:rsidR="00EF1972" w:rsidRPr="00EF1972" w:rsidRDefault="00EF1972" w:rsidP="00EF1972">
      <w:pPr>
        <w:pStyle w:val="Textebrut"/>
        <w:rPr>
          <w:b/>
          <w:bCs/>
        </w:rPr>
      </w:pPr>
      <w:r w:rsidRPr="00EF1972">
        <w:rPr>
          <w:b/>
          <w:bCs/>
        </w:rPr>
        <w:t>Réforme R3C : ce que doivent savoir les étudiants et les pharmaciens dès maintenant (Le Moniteur des pharmacies, 09/12/2025).</w:t>
      </w:r>
    </w:p>
    <w:p w14:paraId="14017B15" w14:textId="51FF5E29" w:rsidR="00EF1972" w:rsidRPr="00EF1972" w:rsidRDefault="00EF1972" w:rsidP="00EF1972">
      <w:pPr>
        <w:pStyle w:val="Textebrut"/>
      </w:pPr>
      <w:r w:rsidRPr="00EF1972">
        <w:t xml:space="preserve">Les textes de la réforme </w:t>
      </w:r>
      <w:r>
        <w:t xml:space="preserve">du </w:t>
      </w:r>
      <w:r w:rsidRPr="00EF1972">
        <w:t>troisième cycle doivent paraître au Journal officiel le 25 décembre. Leur application est prévue pour la rentrée 2026. La profession accueille favorablement les évolutions pédagogiques annoncées, tout en demandant des garanties sur la rémunération et l’agrément des maîtres de stage</w:t>
      </w:r>
    </w:p>
    <w:p w14:paraId="17DB80EA" w14:textId="77777777" w:rsidR="00EF1972" w:rsidRPr="00EF1972" w:rsidRDefault="00EF1972" w:rsidP="00EF1972">
      <w:pPr>
        <w:pStyle w:val="Textebrut"/>
      </w:pPr>
      <w:hyperlink r:id="rId111" w:history="1">
        <w:r w:rsidRPr="00EF1972">
          <w:rPr>
            <w:rStyle w:val="Lienhypertexte"/>
          </w:rPr>
          <w:t>https://www.lemoniteurdespharmacies.fr/profession/socio-professionnel/reforme-3c-ce-que-doivent-savoir-les-etudiants-et-les-pharmaciens-des-maintenant</w:t>
        </w:r>
      </w:hyperlink>
    </w:p>
    <w:p w14:paraId="2F1845E7" w14:textId="77777777" w:rsidR="00EF1972" w:rsidRDefault="00EF1972" w:rsidP="00AD203A">
      <w:pPr>
        <w:pStyle w:val="Textebrut"/>
      </w:pPr>
    </w:p>
    <w:p w14:paraId="77788B6F" w14:textId="77777777" w:rsidR="00F14515" w:rsidRPr="00F14515" w:rsidRDefault="00F14515" w:rsidP="00F14515">
      <w:pPr>
        <w:pStyle w:val="Textebrut"/>
        <w:rPr>
          <w:b/>
          <w:bCs/>
        </w:rPr>
      </w:pPr>
      <w:r w:rsidRPr="00F14515">
        <w:rPr>
          <w:b/>
          <w:bCs/>
        </w:rPr>
        <w:t>Mounjaro (tirzépatide), avis favorable au remboursement, avec un SMR important pour un ASMR IV (HAS, 19/11/2025, publié le 09/12/2025).</w:t>
      </w:r>
    </w:p>
    <w:p w14:paraId="668A2412" w14:textId="77777777" w:rsidR="00F14515" w:rsidRPr="00F14515" w:rsidRDefault="00F14515" w:rsidP="00F14515">
      <w:pPr>
        <w:pStyle w:val="Textebrut"/>
      </w:pPr>
      <w:r w:rsidRPr="00F14515">
        <w:t>Avis favorable au remboursement uniquement en complément d’un régime hypocalorique et d’une augmentation de l’activité physique dans le contrôle du poids, notamment pour la perte de poids et le maintien du poids, chez l’adulte ayant un indice de masse corporelle (IMC) initial ≥ 35 kg/m² en cas d’échec d’une prise en charge nutritionnelle bien conduite (&lt; 5 % de perte de poids à six mois).</w:t>
      </w:r>
    </w:p>
    <w:p w14:paraId="5C96C564" w14:textId="77777777" w:rsidR="00F14515" w:rsidRPr="00F14515" w:rsidRDefault="00F14515" w:rsidP="00F14515">
      <w:pPr>
        <w:pStyle w:val="Textebrut"/>
      </w:pPr>
      <w:r w:rsidRPr="00F14515">
        <w:t>Avis défavorable au remboursement dans les autres situations couvertes par l’indication AMM</w:t>
      </w:r>
    </w:p>
    <w:p w14:paraId="1F1F7B07" w14:textId="77777777" w:rsidR="00F14515" w:rsidRPr="00F14515" w:rsidRDefault="00F14515" w:rsidP="00F14515">
      <w:pPr>
        <w:pStyle w:val="Textebrut"/>
      </w:pPr>
      <w:hyperlink r:id="rId112" w:history="1">
        <w:r w:rsidRPr="00F14515">
          <w:rPr>
            <w:rStyle w:val="Lienhypertexte"/>
          </w:rPr>
          <w:t>https://www.has-sante.fr/jcms/p_3776029/fr/mounjaro-tirzepatide-obesite</w:t>
        </w:r>
      </w:hyperlink>
    </w:p>
    <w:p w14:paraId="2494229F" w14:textId="77777777" w:rsidR="00EF1972" w:rsidRDefault="00EF1972" w:rsidP="00AD203A">
      <w:pPr>
        <w:pStyle w:val="Textebrut"/>
      </w:pPr>
    </w:p>
    <w:p w14:paraId="42A3DDEE" w14:textId="77777777" w:rsidR="00DB7A87" w:rsidRPr="00DB7A87" w:rsidRDefault="00DB7A87" w:rsidP="00DB7A87">
      <w:pPr>
        <w:pStyle w:val="Textebrut"/>
        <w:rPr>
          <w:b/>
          <w:bCs/>
        </w:rPr>
      </w:pPr>
      <w:r w:rsidRPr="00DB7A87">
        <w:rPr>
          <w:b/>
          <w:bCs/>
        </w:rPr>
        <w:t>Grippe : démarrage de l’épidémie en France hexagonale (SpF, 11/12/2025).</w:t>
      </w:r>
    </w:p>
    <w:p w14:paraId="2385C5BC" w14:textId="77777777" w:rsidR="00DB7A87" w:rsidRPr="00DB7A87" w:rsidRDefault="00DB7A87" w:rsidP="00DB7A87">
      <w:pPr>
        <w:pStyle w:val="Textebrut"/>
      </w:pPr>
      <w:r w:rsidRPr="00DB7A87">
        <w:lastRenderedPageBreak/>
        <w:t>Alors que les indicateurs sanitaires signalent le démarrage de l’épidémie de grippe saisonnière dans l’Hexagone, Santé Publique France rappelle l’importance de la vaccination et des gestes barrières afin de limiter la diffusion du virus au sein de la population</w:t>
      </w:r>
    </w:p>
    <w:p w14:paraId="5DFF81B4" w14:textId="77777777" w:rsidR="00DB7A87" w:rsidRPr="00DB7A87" w:rsidRDefault="00DB7A87" w:rsidP="00DB7A87">
      <w:pPr>
        <w:pStyle w:val="Textebrut"/>
      </w:pPr>
      <w:hyperlink r:id="rId113" w:history="1">
        <w:r w:rsidRPr="00DB7A87">
          <w:rPr>
            <w:rStyle w:val="Lienhypertexte"/>
          </w:rPr>
          <w:t>https://www.santepubliquefrance.fr/les-actualites/2025/grippe-demarrage-de-l-epidemie-en-france-hexagonale</w:t>
        </w:r>
      </w:hyperlink>
    </w:p>
    <w:p w14:paraId="7A268B3E" w14:textId="77777777" w:rsidR="00F14515" w:rsidRDefault="00F14515" w:rsidP="00AD203A">
      <w:pPr>
        <w:pStyle w:val="Textebrut"/>
      </w:pPr>
    </w:p>
    <w:p w14:paraId="188850E9" w14:textId="77777777" w:rsidR="0029664E" w:rsidRPr="0029664E" w:rsidRDefault="0029664E" w:rsidP="0029664E">
      <w:pPr>
        <w:pStyle w:val="Textebrut"/>
        <w:rPr>
          <w:b/>
          <w:bCs/>
        </w:rPr>
      </w:pPr>
      <w:r w:rsidRPr="0029664E">
        <w:rPr>
          <w:b/>
          <w:bCs/>
        </w:rPr>
        <w:t>Communiqué du 11/12/2025 - Vaccination contre la grippe : un enjeu de santé publique à l’approche des fêtes.</w:t>
      </w:r>
    </w:p>
    <w:p w14:paraId="4094C25A" w14:textId="77777777" w:rsidR="0029664E" w:rsidRPr="0029664E" w:rsidRDefault="0029664E" w:rsidP="0029664E">
      <w:pPr>
        <w:pStyle w:val="Textebrut"/>
      </w:pPr>
      <w:r w:rsidRPr="0029664E">
        <w:t>Le ministre de la Santé, des Familles, de l’Autonomie et des Personnes handicapées, Stéphanie Rist encourage vivement toutes les personnes éligibles à se faire vacciner contre la grippe saisonnière dès maintenant. Cette recommandation intervient dans un contexte d’épidémie active : plusieurs régions sont déjà en phase épidémique et les fêtes de fin d’année favorisent la circulation du virus. La vaccination demeure le moyen le plus efficace de prévenir les formes graves de la maladie, en particulier chez les personnes les plus vulnérables telles que les seniors de plus de 65 ans, les femmes enceintes, les personnes immunodéprimées ou celles atteintes de maladies chroniques. Le respect des mesures barrières, particulièrement le port du masque en présence de symptômes, reste également un bon moyen de prévenir la diffusion des virus</w:t>
      </w:r>
    </w:p>
    <w:p w14:paraId="25F0CA04" w14:textId="77777777" w:rsidR="0029664E" w:rsidRPr="0029664E" w:rsidRDefault="0029664E" w:rsidP="0029664E">
      <w:pPr>
        <w:pStyle w:val="Textebrut"/>
      </w:pPr>
      <w:hyperlink r:id="rId114" w:history="1">
        <w:r w:rsidRPr="0029664E">
          <w:rPr>
            <w:rStyle w:val="Lienhypertexte"/>
          </w:rPr>
          <w:t>https://sante.gouv.fr/actualites-presse/presse/communiques-de-presse/article/vaccination-contre-la-grippe-un-enjeu-de-sante-publique-a-l-approche-des-fetes</w:t>
        </w:r>
      </w:hyperlink>
    </w:p>
    <w:p w14:paraId="69339164" w14:textId="77777777" w:rsidR="0029664E" w:rsidRDefault="0029664E" w:rsidP="00AD203A">
      <w:pPr>
        <w:pStyle w:val="Textebrut"/>
      </w:pPr>
    </w:p>
    <w:p w14:paraId="61BD9B09" w14:textId="77777777" w:rsidR="00ED7C40" w:rsidRPr="00ED7C40" w:rsidRDefault="00ED7C40" w:rsidP="00ED7C40">
      <w:pPr>
        <w:pStyle w:val="Textebrut"/>
        <w:rPr>
          <w:b/>
          <w:bCs/>
        </w:rPr>
      </w:pPr>
      <w:r w:rsidRPr="00ED7C40">
        <w:rPr>
          <w:b/>
          <w:bCs/>
        </w:rPr>
        <w:t>Sérums pour faire pousser les cils : un risque de changement de couleur des yeux (ANSES, 11/12/2025).</w:t>
      </w:r>
    </w:p>
    <w:p w14:paraId="41F18568" w14:textId="77777777" w:rsidR="00ED7C40" w:rsidRPr="00ED7C40" w:rsidRDefault="00ED7C40" w:rsidP="00ED7C40">
      <w:pPr>
        <w:pStyle w:val="Textebrut"/>
      </w:pPr>
      <w:r w:rsidRPr="00ED7C40">
        <w:t>Certains produits cosmétiques visant à faire pousser les cils contiennent des substances similaires aux prostaglandines, des hormones qui peuvent provoquer un foncement irréversible de l'iris et la fonte de la graisse autour de l'orbite. En attendant une évolution éventuelle de la réglementation européenne, l’Agence informe le public de ces effets</w:t>
      </w:r>
    </w:p>
    <w:p w14:paraId="6997B827" w14:textId="77777777" w:rsidR="00ED7C40" w:rsidRPr="00ED7C40" w:rsidRDefault="00ED7C40" w:rsidP="00ED7C40">
      <w:pPr>
        <w:pStyle w:val="Textebrut"/>
      </w:pPr>
      <w:hyperlink r:id="rId115" w:history="1">
        <w:r w:rsidRPr="00ED7C40">
          <w:rPr>
            <w:rStyle w:val="Lienhypertexte"/>
          </w:rPr>
          <w:t>https://www.anses.fr/fr/content/serums-pour-faire-pousser-les-cils-un-risque-de-changement-de-couleur-des-yeux</w:t>
        </w:r>
      </w:hyperlink>
    </w:p>
    <w:p w14:paraId="54D77381" w14:textId="77777777" w:rsidR="00DB7A87" w:rsidRDefault="00DB7A87" w:rsidP="00AD203A">
      <w:pPr>
        <w:pStyle w:val="Textebrut"/>
      </w:pPr>
    </w:p>
    <w:p w14:paraId="70780E79" w14:textId="77777777" w:rsidR="00CD001A" w:rsidRPr="00CD001A" w:rsidRDefault="00CD001A" w:rsidP="00CD001A">
      <w:pPr>
        <w:pStyle w:val="Textebrut"/>
        <w:rPr>
          <w:b/>
          <w:bCs/>
        </w:rPr>
      </w:pPr>
      <w:r w:rsidRPr="00CD001A">
        <w:rPr>
          <w:b/>
          <w:bCs/>
        </w:rPr>
        <w:t>Sanction d’un pharmacien titulaire d’officine pour divers manquements relevés à l’occasion d’une inspection de l’agence régionale de santé (CNOP, 11/12/2025).</w:t>
      </w:r>
    </w:p>
    <w:p w14:paraId="48D0383C" w14:textId="77777777" w:rsidR="00CD001A" w:rsidRPr="00CD001A" w:rsidRDefault="00CD001A" w:rsidP="00CD001A">
      <w:pPr>
        <w:pStyle w:val="Textebrut"/>
      </w:pPr>
      <w:r w:rsidRPr="00CD001A">
        <w:t>Le directeur général de l’ARS d’Île-de-France a formé une plainte contre un pharmacien titulaire d’officine à la suite de divers dysfonctionnements relevés à l’occasion d’une inspection. Il lui était notamment reproché des manquements relatifs à la gestion de médicaments stupéfiants, aux conditions de conservation des médicaments thermolabiles et à la tenue du registre des médicaments dérivés du sang</w:t>
      </w:r>
    </w:p>
    <w:p w14:paraId="770A2E6F" w14:textId="77777777" w:rsidR="00CD001A" w:rsidRPr="00CD001A" w:rsidRDefault="00CD001A" w:rsidP="00CD001A">
      <w:pPr>
        <w:pStyle w:val="Textebrut"/>
      </w:pPr>
      <w:hyperlink r:id="rId116" w:history="1">
        <w:r w:rsidRPr="00CD001A">
          <w:rPr>
            <w:rStyle w:val="Lienhypertexte"/>
          </w:rPr>
          <w:t>https://www.ordre.pharmacien.fr/les-communications/focus-sur/les-actualites/sanction-d-un-pharmacien-titulaire-d-officine-pour-divers-manquements-releves-a-l-occasion-d-une-inspection-de-l-agence-regionale-de-sante2</w:t>
        </w:r>
      </w:hyperlink>
    </w:p>
    <w:p w14:paraId="1ADC1302" w14:textId="77777777" w:rsidR="00ED7C40" w:rsidRDefault="00ED7C40" w:rsidP="00AD203A">
      <w:pPr>
        <w:pStyle w:val="Textebrut"/>
      </w:pPr>
    </w:p>
    <w:p w14:paraId="386D061E" w14:textId="77777777" w:rsidR="00051D41" w:rsidRPr="00051D41" w:rsidRDefault="00051D41" w:rsidP="00051D41">
      <w:pPr>
        <w:pStyle w:val="Textebrut"/>
        <w:rPr>
          <w:b/>
          <w:bCs/>
        </w:rPr>
      </w:pPr>
      <w:r w:rsidRPr="00051D41">
        <w:rPr>
          <w:b/>
          <w:bCs/>
        </w:rPr>
        <w:t>Rougeole en France du 1er janvier au 30 novembre 2025 (SpF, 12/12/2025).</w:t>
      </w:r>
    </w:p>
    <w:p w14:paraId="49908191" w14:textId="77777777" w:rsidR="00051D41" w:rsidRPr="00051D41" w:rsidRDefault="00051D41" w:rsidP="00051D41">
      <w:pPr>
        <w:pStyle w:val="Textebrut"/>
      </w:pPr>
      <w:r w:rsidRPr="00051D41">
        <w:t>Depuis le 01/01/2025, 868 cas de rougeole sont survenus et ont été déclarés (soit +2 nouveaux cas en novembre). La décroissance du nombre de cas observée depuis le mois de mai s’est poursuivie jusqu’en septembre et se maintient jusqu’en novembre, en lien avec la saisonnalité connue de la rougeole. Parmi ces cas, 305 (35 %) ont été hospitalisés (dont 12 en réanimation), 121 cas (14 %) ont présenté une complication (dont 70 pneumopathies et 2 encéphalites). 4 décès attribuables à la rougeole ont été rapportés, tous chez des patients immunodéprimés.</w:t>
      </w:r>
    </w:p>
    <w:p w14:paraId="47C77B41" w14:textId="77777777" w:rsidR="00051D41" w:rsidRPr="00051D41" w:rsidRDefault="00051D41" w:rsidP="00051D41">
      <w:pPr>
        <w:pStyle w:val="Textebrut"/>
      </w:pPr>
      <w:r w:rsidRPr="00051D41">
        <w:t>Parmi les sujets ciblés par la vaccination (âgés de plus d’un an et nés depuis 1980), pour lesquels le statut vaccinal était connu (n=614), 406 (66 %) étaient non ou incomplètement vaccinés, 191 (31 %) étaient vaccinés avec deux doses et 17 (3 %) cas étaient vaccinés sans que le nombre de doses reçues soit précisé</w:t>
      </w:r>
    </w:p>
    <w:p w14:paraId="4AD055D0" w14:textId="77777777" w:rsidR="00051D41" w:rsidRPr="00051D41" w:rsidRDefault="00051D41" w:rsidP="00051D41">
      <w:pPr>
        <w:pStyle w:val="Textebrut"/>
      </w:pPr>
      <w:hyperlink r:id="rId117" w:history="1">
        <w:r w:rsidRPr="00051D41">
          <w:rPr>
            <w:rStyle w:val="Lienhypertexte"/>
          </w:rPr>
          <w:t>https://www.santepubliquefrance.fr/maladies-et-traumatismes/maladies-a-prevention-vaccinale/rougeole/documents/bulletin-national/rougeole-en-france-du-1er-janvier-au-30-novembre-2025</w:t>
        </w:r>
      </w:hyperlink>
    </w:p>
    <w:p w14:paraId="2027C8B0" w14:textId="77777777" w:rsidR="00CD001A" w:rsidRDefault="00CD001A" w:rsidP="00AD203A">
      <w:pPr>
        <w:pStyle w:val="Textebrut"/>
      </w:pPr>
    </w:p>
    <w:p w14:paraId="79A2FEB6" w14:textId="77777777" w:rsidR="00666E90" w:rsidRPr="00666E90" w:rsidRDefault="00666E90" w:rsidP="00666E90">
      <w:pPr>
        <w:pStyle w:val="Textebrut"/>
        <w:rPr>
          <w:b/>
          <w:bCs/>
        </w:rPr>
      </w:pPr>
      <w:r w:rsidRPr="00666E90">
        <w:rPr>
          <w:b/>
          <w:bCs/>
        </w:rPr>
        <w:t>Carte Vitale numérique : peut-elle favoriser les fraudes ? (Le Moniteur des pharmacies, 12/12/2025).</w:t>
      </w:r>
    </w:p>
    <w:p w14:paraId="7D128619" w14:textId="77777777" w:rsidR="00666E90" w:rsidRPr="00666E90" w:rsidRDefault="00666E90" w:rsidP="00666E90">
      <w:pPr>
        <w:pStyle w:val="Textebrut"/>
      </w:pPr>
      <w:r w:rsidRPr="00666E90">
        <w:t>Depuis le 18 novembre dernier, tous les assurés peuvent utiliser la carte Vitale dématérialisée sur leur smartphone. Une généralisation qui soulève une question centrale : cette carte crée-t-elle une nouvelle vulnérabilité numérique ? C’est ce que pense Emmanuel Giguet, chercheur en cybersécurité au Centre national de la recherche scientifique (CNRS)</w:t>
      </w:r>
    </w:p>
    <w:p w14:paraId="4AAF6232" w14:textId="77777777" w:rsidR="00666E90" w:rsidRPr="00666E90" w:rsidRDefault="00666E90" w:rsidP="00666E90">
      <w:pPr>
        <w:pStyle w:val="Textebrut"/>
      </w:pPr>
      <w:hyperlink r:id="rId118" w:history="1">
        <w:r w:rsidRPr="00666E90">
          <w:rPr>
            <w:rStyle w:val="Lienhypertexte"/>
          </w:rPr>
          <w:t>https://www.lemoniteurdespharmacies.fr/business/numerique/digitalisation/carte-vitale-numerique-peut-elle-favoriser-les-fraudes</w:t>
        </w:r>
      </w:hyperlink>
    </w:p>
    <w:p w14:paraId="1FF81F43" w14:textId="77777777" w:rsidR="004A57E7" w:rsidRDefault="004A57E7" w:rsidP="00AD203A">
      <w:pPr>
        <w:pStyle w:val="Textebrut"/>
      </w:pPr>
    </w:p>
    <w:p w14:paraId="07B57854" w14:textId="77777777" w:rsidR="00666E90" w:rsidRPr="00666E90" w:rsidRDefault="00666E90" w:rsidP="00666E90">
      <w:pPr>
        <w:pStyle w:val="Textebrut"/>
        <w:rPr>
          <w:b/>
          <w:bCs/>
        </w:rPr>
      </w:pPr>
      <w:r w:rsidRPr="00666E90">
        <w:rPr>
          <w:b/>
          <w:bCs/>
        </w:rPr>
        <w:t>Antalgiques de palier 1 : pourquoi limiter la primodélivrance à deux boîtes est une ineptie (Le Moniteur des pharmacies, 12/12/2025).</w:t>
      </w:r>
    </w:p>
    <w:p w14:paraId="57D5F52C" w14:textId="77777777" w:rsidR="00666E90" w:rsidRPr="00666E90" w:rsidRDefault="00666E90" w:rsidP="00666E90">
      <w:pPr>
        <w:pStyle w:val="Textebrut"/>
      </w:pPr>
      <w:r w:rsidRPr="00666E90">
        <w:t>Une concertation entre les syndicats et la Direction générale de la santé (DGS) se déroule depuis plusieurs mois autour de nouvelles règles de dispensation des antalgiques de palier 1. Dans un souci de réduction du gaspillage et du mésusage, la DGS propose de réduire la primodispensation de ces médicaments à deux boîtes. Une mesure fortement décriée par les officinaux</w:t>
      </w:r>
    </w:p>
    <w:p w14:paraId="2CE33818" w14:textId="462B7DD6" w:rsidR="00666E90" w:rsidRDefault="00666E90" w:rsidP="00666E90">
      <w:pPr>
        <w:pStyle w:val="Textebrut"/>
      </w:pPr>
      <w:hyperlink r:id="rId119" w:history="1">
        <w:r w:rsidRPr="00666E90">
          <w:rPr>
            <w:rStyle w:val="Lienhypertexte"/>
          </w:rPr>
          <w:t>https://www.lemoniteurdespharmacies.fr/profession/socio-professionnel/antalgiques-de-palier-1-pourquoi-limiter-la-primo-delivrance-a-deux-boites-est-une-ineptie</w:t>
        </w:r>
      </w:hyperlink>
    </w:p>
    <w:p w14:paraId="776AB4C6" w14:textId="77777777" w:rsidR="00666E90" w:rsidRDefault="00666E90" w:rsidP="00666E90">
      <w:pPr>
        <w:pStyle w:val="Textebrut"/>
      </w:pPr>
    </w:p>
    <w:p w14:paraId="2C4487C0" w14:textId="77777777" w:rsidR="004E4CA6" w:rsidRPr="004E4CA6" w:rsidRDefault="004E4CA6" w:rsidP="004E4CA6">
      <w:pPr>
        <w:pStyle w:val="Textebrut"/>
        <w:rPr>
          <w:b/>
          <w:bCs/>
        </w:rPr>
      </w:pPr>
      <w:r w:rsidRPr="004E4CA6">
        <w:rPr>
          <w:b/>
          <w:bCs/>
        </w:rPr>
        <w:t>Protoxyde d’azote : Gérald Darmanin souhaite que le gaz soit classé comme stupéfiant (Le Monde, 12/12/2025).</w:t>
      </w:r>
    </w:p>
    <w:p w14:paraId="5C18A4F8" w14:textId="77777777" w:rsidR="004E4CA6" w:rsidRPr="004E4CA6" w:rsidRDefault="004E4CA6" w:rsidP="004E4CA6">
      <w:pPr>
        <w:pStyle w:val="Textebrut"/>
      </w:pPr>
      <w:r w:rsidRPr="004E4CA6">
        <w:t>Laurent Nuñez, le ministre de l’intérieur, a pour sa part évoqué des mesures à mettre en place, comme l’interdiction d’avoir un « usage détourné » du protoxyde d’azote, « pour un usage euphorisant, comme une drogue »</w:t>
      </w:r>
    </w:p>
    <w:p w14:paraId="387D9E3A" w14:textId="77777777" w:rsidR="004E4CA6" w:rsidRPr="004E4CA6" w:rsidRDefault="004E4CA6" w:rsidP="004E4CA6">
      <w:pPr>
        <w:pStyle w:val="Textebrut"/>
      </w:pPr>
      <w:hyperlink r:id="rId120" w:history="1">
        <w:r w:rsidRPr="004E4CA6">
          <w:rPr>
            <w:rStyle w:val="Lienhypertexte"/>
          </w:rPr>
          <w:t>https://www.lemonde.fr/societe/article/2025/12/12/protoxyde-d-azote-gerald-darmanin-souhaite-que-le-gaz-soit-classe-comme-stupefiant_6657033_3224.html</w:t>
        </w:r>
      </w:hyperlink>
    </w:p>
    <w:p w14:paraId="20A3E9B1" w14:textId="77777777" w:rsidR="00666E90" w:rsidRDefault="00666E90" w:rsidP="00666E90">
      <w:pPr>
        <w:pStyle w:val="Textebrut"/>
      </w:pPr>
    </w:p>
    <w:p w14:paraId="2B874AB3" w14:textId="77777777" w:rsidR="007F0138" w:rsidRPr="007F0138" w:rsidRDefault="007F0138" w:rsidP="007F0138">
      <w:pPr>
        <w:pStyle w:val="Textebrut"/>
        <w:rPr>
          <w:b/>
          <w:bCs/>
        </w:rPr>
      </w:pPr>
      <w:r w:rsidRPr="007F0138">
        <w:rPr>
          <w:b/>
          <w:bCs/>
        </w:rPr>
        <w:t>Avis du HCSP du 25/11/2025 relatif aux conditions d’ajournement des candidats au don de sang ayant eu recours à un traitement préventif pré-exposition (PrEP) au VIH par voie injectable</w:t>
      </w:r>
    </w:p>
    <w:p w14:paraId="172EA81D" w14:textId="004990AB" w:rsidR="004E4CA6" w:rsidRDefault="007F0138" w:rsidP="007F0138">
      <w:pPr>
        <w:pStyle w:val="Textebrut"/>
      </w:pPr>
      <w:hyperlink r:id="rId121" w:history="1">
        <w:r w:rsidRPr="007F0138">
          <w:rPr>
            <w:rStyle w:val="Lienhypertexte"/>
          </w:rPr>
          <w:t>https://www.hcsp.fr/Explore.cgi/avisrapportsdomaine?clefr=1471</w:t>
        </w:r>
      </w:hyperlink>
    </w:p>
    <w:p w14:paraId="4BDA474B" w14:textId="77777777" w:rsidR="007F0138" w:rsidRDefault="007F0138" w:rsidP="007F0138">
      <w:pPr>
        <w:pStyle w:val="Textebrut"/>
      </w:pPr>
    </w:p>
    <w:p w14:paraId="682B12D4" w14:textId="77777777" w:rsidR="00052186" w:rsidRPr="00052186" w:rsidRDefault="00052186" w:rsidP="00052186">
      <w:pPr>
        <w:pStyle w:val="Textebrut"/>
        <w:rPr>
          <w:b/>
          <w:bCs/>
        </w:rPr>
      </w:pPr>
      <w:r w:rsidRPr="00052186">
        <w:rPr>
          <w:b/>
          <w:bCs/>
        </w:rPr>
        <w:t>Rapport au parlement 2025 sur les expérimentations innovantes en santé (Ministère de la santé, 17/11/2025)</w:t>
      </w:r>
    </w:p>
    <w:p w14:paraId="577E2A81" w14:textId="77777777" w:rsidR="00052186" w:rsidRPr="00052186" w:rsidRDefault="00052186" w:rsidP="00052186">
      <w:pPr>
        <w:pStyle w:val="Textebrut"/>
      </w:pPr>
      <w:hyperlink r:id="rId122" w:history="1">
        <w:r w:rsidRPr="00052186">
          <w:rPr>
            <w:rStyle w:val="Lienhypertexte"/>
          </w:rPr>
          <w:t>https://sante.gouv.fr/IMG/pdf/rapport_parlement_art51_2025.pdf</w:t>
        </w:r>
      </w:hyperlink>
    </w:p>
    <w:p w14:paraId="1E3173DA" w14:textId="77777777" w:rsidR="00052186" w:rsidRPr="00052186" w:rsidRDefault="00052186" w:rsidP="00052186">
      <w:pPr>
        <w:pStyle w:val="Textebrut"/>
        <w:rPr>
          <w:b/>
          <w:bCs/>
        </w:rPr>
      </w:pPr>
      <w:r w:rsidRPr="00052186">
        <w:rPr>
          <w:b/>
          <w:bCs/>
        </w:rPr>
        <w:t>L’atlas du 51 – Les expérimentations par région (Ministère de la santé, actualisation juin 2025)</w:t>
      </w:r>
    </w:p>
    <w:p w14:paraId="6A3635A1" w14:textId="77777777" w:rsidR="00052186" w:rsidRPr="00052186" w:rsidRDefault="00052186" w:rsidP="00052186">
      <w:pPr>
        <w:pStyle w:val="Textebrut"/>
      </w:pPr>
      <w:hyperlink r:id="rId123" w:history="1">
        <w:r w:rsidRPr="00052186">
          <w:rPr>
            <w:rStyle w:val="Lienhypertexte"/>
          </w:rPr>
          <w:t>https://sante.gouv.fr/IMG/pdf/atlas51_2025.pdf</w:t>
        </w:r>
      </w:hyperlink>
    </w:p>
    <w:p w14:paraId="3571675F" w14:textId="77777777" w:rsidR="007F0138" w:rsidRDefault="007F0138" w:rsidP="007F0138">
      <w:pPr>
        <w:pStyle w:val="Textebrut"/>
      </w:pPr>
    </w:p>
    <w:p w14:paraId="5B7F8E82" w14:textId="77777777" w:rsidR="00052186" w:rsidRPr="00052186" w:rsidRDefault="00052186" w:rsidP="00052186">
      <w:pPr>
        <w:pStyle w:val="Textebrut"/>
        <w:rPr>
          <w:b/>
          <w:bCs/>
        </w:rPr>
      </w:pPr>
      <w:r w:rsidRPr="00052186">
        <w:rPr>
          <w:b/>
          <w:bCs/>
        </w:rPr>
        <w:t>12e édition du baromètre IFOP-autotest VIH et boîte jaune DASTRI (DASTRI, 01/12/2025).</w:t>
      </w:r>
    </w:p>
    <w:p w14:paraId="478AEFDC" w14:textId="77777777" w:rsidR="00052186" w:rsidRPr="00052186" w:rsidRDefault="00052186" w:rsidP="00052186">
      <w:pPr>
        <w:pStyle w:val="Textebrut"/>
      </w:pPr>
      <w:r w:rsidRPr="00052186">
        <w:t>Des utilisateurs plus impliqués que les pharmaciens dans une gestion securisée des autopiqueurs</w:t>
      </w:r>
    </w:p>
    <w:p w14:paraId="3820B492" w14:textId="77777777" w:rsidR="00052186" w:rsidRPr="00052186" w:rsidRDefault="00052186" w:rsidP="00052186">
      <w:pPr>
        <w:pStyle w:val="Textebrut"/>
      </w:pPr>
      <w:hyperlink r:id="rId124" w:history="1">
        <w:r w:rsidRPr="00052186">
          <w:rPr>
            <w:rStyle w:val="Lienhypertexte"/>
          </w:rPr>
          <w:t>https://www.dastri.fr/wp-content/uploads/2025/12/CP-DASTRI-Barometre-IFOP-VIH-2025.pdf</w:t>
        </w:r>
      </w:hyperlink>
    </w:p>
    <w:p w14:paraId="29D1E4AC" w14:textId="77777777" w:rsidR="00ED7C40" w:rsidRDefault="00ED7C40" w:rsidP="00AD203A">
      <w:pPr>
        <w:pStyle w:val="Textebrut"/>
      </w:pPr>
    </w:p>
    <w:p w14:paraId="20F3CF65" w14:textId="77777777" w:rsidR="0011285E" w:rsidRPr="0011285E" w:rsidRDefault="0011285E" w:rsidP="0011285E">
      <w:pPr>
        <w:pStyle w:val="Textebrut"/>
        <w:rPr>
          <w:b/>
          <w:bCs/>
        </w:rPr>
      </w:pPr>
      <w:r w:rsidRPr="0011285E">
        <w:rPr>
          <w:b/>
          <w:bCs/>
        </w:rPr>
        <w:t>Surveillance du marché des concentrateurs d’oxygène à usage collectif : les recommandations de l’Agence sont maintenues (ANSM, 16/12/2025).</w:t>
      </w:r>
    </w:p>
    <w:p w14:paraId="44681229" w14:textId="77777777" w:rsidR="0011285E" w:rsidRPr="0011285E" w:rsidRDefault="0011285E" w:rsidP="0011285E">
      <w:pPr>
        <w:pStyle w:val="Textebrut"/>
      </w:pPr>
      <w:r w:rsidRPr="0011285E">
        <w:t>Dans le cadre de nos missions de surveillance du marché des dispositifs médicaux, nous avons réalisé un bilan de l’utilisation des concentrateurs d’oxygène à usage collectif permettant d’alimenter en oxygène les établissements de santé. Il confirme la sécurité et l’efficacité de ces dispositifs médicaux. Par conséquent, nous maintenons nos recommandations de 2009 qui encadrent l’usage des concentrateurs d’oxygène</w:t>
      </w:r>
    </w:p>
    <w:p w14:paraId="678D78C6" w14:textId="77777777" w:rsidR="0011285E" w:rsidRPr="0011285E" w:rsidRDefault="0011285E" w:rsidP="0011285E">
      <w:pPr>
        <w:pStyle w:val="Textebrut"/>
      </w:pPr>
      <w:hyperlink r:id="rId125" w:history="1">
        <w:r w:rsidRPr="0011285E">
          <w:rPr>
            <w:rStyle w:val="Lienhypertexte"/>
          </w:rPr>
          <w:t>https://ansm.sante.fr/actualites/surveillance-du-marche-des-concentrateurs-doxygene-a-usage-collectif-les-recommandations-de-lagence-sont-maintenues</w:t>
        </w:r>
      </w:hyperlink>
    </w:p>
    <w:p w14:paraId="07E10355" w14:textId="77777777" w:rsidR="00052186" w:rsidRDefault="00052186" w:rsidP="00AD203A">
      <w:pPr>
        <w:pStyle w:val="Textebrut"/>
      </w:pPr>
    </w:p>
    <w:p w14:paraId="57926DCE" w14:textId="77777777" w:rsidR="00174892" w:rsidRPr="00174892" w:rsidRDefault="00174892" w:rsidP="00174892">
      <w:pPr>
        <w:pStyle w:val="Textebrut"/>
        <w:rPr>
          <w:b/>
          <w:bCs/>
        </w:rPr>
      </w:pPr>
      <w:r w:rsidRPr="00174892">
        <w:rPr>
          <w:b/>
          <w:bCs/>
        </w:rPr>
        <w:t>Ordonnance numérique version 3 : les éditeurs de LGO sont en retard (Le Quotidien du pharmacien, 16/12/2025).</w:t>
      </w:r>
    </w:p>
    <w:p w14:paraId="278B6575" w14:textId="77777777" w:rsidR="00174892" w:rsidRPr="00174892" w:rsidRDefault="00174892" w:rsidP="00174892">
      <w:pPr>
        <w:pStyle w:val="Textebrut"/>
      </w:pPr>
      <w:r w:rsidRPr="00174892">
        <w:t>À la mi-décembre, seulement deux éditeurs de logiciels sont agréés pour le déploiement de la version 3 de l’ordonnance numérique et peuvent donc intégrer ses dernières évolutions techniques, notamment la possibilité de la télétransmettre en temps réel à l’assurance-maladie. Les représentants des pharmaciens espèrent que les éditeurs de logiciels en retard pourront appliquer les corrections nécessaires d’ici à la fin de l’année</w:t>
      </w:r>
    </w:p>
    <w:p w14:paraId="2139AFC5" w14:textId="29C00961" w:rsidR="0011285E" w:rsidRDefault="00174892" w:rsidP="00174892">
      <w:pPr>
        <w:pStyle w:val="Textebrut"/>
      </w:pPr>
      <w:hyperlink r:id="rId126" w:history="1">
        <w:r w:rsidRPr="00174892">
          <w:rPr>
            <w:rStyle w:val="Lienhypertexte"/>
          </w:rPr>
          <w:t>https://www.lequotidiendupharmacien.fr/exercice-pro/ordonnance-numerique-version-3-les-editeurs-de-lgo-sont-en-retard</w:t>
        </w:r>
      </w:hyperlink>
    </w:p>
    <w:p w14:paraId="734850A7" w14:textId="77777777" w:rsidR="00C64D58" w:rsidRDefault="00C64D58" w:rsidP="00AD203A">
      <w:pPr>
        <w:pStyle w:val="Textebrut"/>
      </w:pPr>
    </w:p>
    <w:p w14:paraId="3B9DC33D" w14:textId="77777777" w:rsidR="00334EA0" w:rsidRPr="00334EA0" w:rsidRDefault="00334EA0" w:rsidP="00334EA0">
      <w:pPr>
        <w:pStyle w:val="Textebrut"/>
        <w:rPr>
          <w:b/>
          <w:bCs/>
        </w:rPr>
      </w:pPr>
      <w:r w:rsidRPr="00334EA0">
        <w:rPr>
          <w:b/>
          <w:bCs/>
        </w:rPr>
        <w:lastRenderedPageBreak/>
        <w:t>Infections hivernales : il est conseillé d’éviter l’ibuprofène ou le kétoprofène en première intention (ANSM, 17/12/2025).</w:t>
      </w:r>
    </w:p>
    <w:p w14:paraId="2E57DC58" w14:textId="77777777" w:rsidR="00334EA0" w:rsidRPr="00334EA0" w:rsidRDefault="00334EA0" w:rsidP="00334EA0">
      <w:pPr>
        <w:pStyle w:val="Textebrut"/>
      </w:pPr>
      <w:r w:rsidRPr="00334EA0">
        <w:t>En cas de fièvre ou de douleurs liées à une infection hivernale (angine, bronchite, otite…), les anti-inflammatoires non stéroïdiens comme l’ibuprofène ou le kétoprofène peuvent masquer les symptômes d’une infection bactérienne (streptocoque, pneumocoque) et retarder un traitement adapté. Le paracétamol est toujours à privilégier en première intention</w:t>
      </w:r>
    </w:p>
    <w:p w14:paraId="7BACE5FF" w14:textId="77777777" w:rsidR="00334EA0" w:rsidRPr="00334EA0" w:rsidRDefault="00334EA0" w:rsidP="00334EA0">
      <w:pPr>
        <w:pStyle w:val="Textebrut"/>
      </w:pPr>
      <w:hyperlink r:id="rId127" w:history="1">
        <w:r w:rsidRPr="00334EA0">
          <w:rPr>
            <w:rStyle w:val="Lienhypertexte"/>
          </w:rPr>
          <w:t>https://ansm.sante.fr/actualites/infections-hivernales-il-est-conseille-deviter-libuprofene-ou-le-ketoprofene-en-premiere-intention</w:t>
        </w:r>
      </w:hyperlink>
    </w:p>
    <w:p w14:paraId="28B68CA3" w14:textId="77777777" w:rsidR="00334EA0" w:rsidRDefault="00334EA0" w:rsidP="00AD203A">
      <w:pPr>
        <w:pStyle w:val="Textebrut"/>
      </w:pPr>
    </w:p>
    <w:p w14:paraId="63796FCC" w14:textId="77777777" w:rsidR="003B5294" w:rsidRPr="003B5294" w:rsidRDefault="003B5294" w:rsidP="003B5294">
      <w:pPr>
        <w:pStyle w:val="Textebrut"/>
        <w:rPr>
          <w:b/>
          <w:bCs/>
        </w:rPr>
      </w:pPr>
      <w:r w:rsidRPr="003B5294">
        <w:rPr>
          <w:b/>
          <w:bCs/>
        </w:rPr>
        <w:t>Le plan d’actions de lutte contre la tuberculose 2025-2029 (Ministère, 16/12/2025).</w:t>
      </w:r>
    </w:p>
    <w:p w14:paraId="44C2CE29" w14:textId="77777777" w:rsidR="003B5294" w:rsidRPr="003B5294" w:rsidRDefault="003B5294" w:rsidP="003B5294">
      <w:pPr>
        <w:pStyle w:val="Textebrut"/>
      </w:pPr>
      <w:r w:rsidRPr="003B5294">
        <w:t>La stratégie nationale de lutte contre la tuberculose s’est attachée pour la période 2019-2023 à maintenir un bas niveau d’incidence de la maladie en France. Lors de cette période, la lutte anti-tuberculose a bénéficié de leviers renouvelés, notamment grâce à la réforme des CLAT, de 2021, qui s’est traduite par la publication et la mise à jour de plusieurs textes</w:t>
      </w:r>
    </w:p>
    <w:p w14:paraId="006BC7B3" w14:textId="77777777" w:rsidR="003B5294" w:rsidRPr="003B5294" w:rsidRDefault="003B5294" w:rsidP="003B5294">
      <w:pPr>
        <w:pStyle w:val="Textebrut"/>
      </w:pPr>
      <w:hyperlink r:id="rId128" w:history="1">
        <w:r w:rsidRPr="003B5294">
          <w:rPr>
            <w:rStyle w:val="Lienhypertexte"/>
          </w:rPr>
          <w:t>https://sante.gouv.fr/soins-et-maladies/maladies/maladies-et-infections-respiratoires/tuberculose/article/le-plan-d-actions-de-lutte-contre-la-tuberculose-2025-2029</w:t>
        </w:r>
      </w:hyperlink>
    </w:p>
    <w:p w14:paraId="41D8D879" w14:textId="0BAA6596" w:rsidR="003B5294" w:rsidRPr="003B5294" w:rsidRDefault="003B5294" w:rsidP="003B5294">
      <w:pPr>
        <w:pStyle w:val="Textebrut"/>
      </w:pPr>
      <w:r w:rsidRPr="003B5294">
        <w:t>Le plan 2025-2029 :</w:t>
      </w:r>
    </w:p>
    <w:p w14:paraId="36F56783" w14:textId="77777777" w:rsidR="003B5294" w:rsidRPr="003B5294" w:rsidRDefault="003B5294" w:rsidP="003B5294">
      <w:pPr>
        <w:pStyle w:val="Textebrut"/>
      </w:pPr>
      <w:hyperlink r:id="rId129" w:history="1">
        <w:r w:rsidRPr="003B5294">
          <w:rPr>
            <w:rStyle w:val="Lienhypertexte"/>
          </w:rPr>
          <w:t>https://sante.gouv.fr/IMG/pdf/plan_tuberculose_2025-2029.pdf</w:t>
        </w:r>
      </w:hyperlink>
    </w:p>
    <w:p w14:paraId="741D80A3" w14:textId="77777777" w:rsidR="00334EA0" w:rsidRDefault="00334EA0" w:rsidP="00AD203A">
      <w:pPr>
        <w:pStyle w:val="Textebrut"/>
      </w:pPr>
    </w:p>
    <w:p w14:paraId="4E702DE0" w14:textId="77777777" w:rsidR="00F16F6E" w:rsidRPr="00F16F6E" w:rsidRDefault="00F16F6E" w:rsidP="00F16F6E">
      <w:pPr>
        <w:pStyle w:val="Textebrut"/>
        <w:rPr>
          <w:b/>
          <w:bCs/>
        </w:rPr>
      </w:pPr>
      <w:r w:rsidRPr="00F16F6E">
        <w:rPr>
          <w:b/>
          <w:bCs/>
        </w:rPr>
        <w:t>Licenciée pour absence de diplôme après 27 ans de travail, une préparatrice en pharmacie a fait condamner son employeur (L’Internaute, 17/12/2025).</w:t>
      </w:r>
    </w:p>
    <w:p w14:paraId="409CD5EF" w14:textId="77777777" w:rsidR="00F16F6E" w:rsidRPr="00F16F6E" w:rsidRDefault="00F16F6E" w:rsidP="00F16F6E">
      <w:pPr>
        <w:pStyle w:val="Textebrut"/>
      </w:pPr>
      <w:hyperlink r:id="rId130" w:history="1">
        <w:r w:rsidRPr="00F16F6E">
          <w:rPr>
            <w:rStyle w:val="Lienhypertexte"/>
          </w:rPr>
          <w:t>https://www.linternaute.com/argent/magazine/9460135-article-licenciement-preparatrice-pharmacie/</w:t>
        </w:r>
      </w:hyperlink>
    </w:p>
    <w:p w14:paraId="15BBC788" w14:textId="77777777" w:rsidR="003B5294" w:rsidRDefault="003B5294" w:rsidP="00AD203A">
      <w:pPr>
        <w:pStyle w:val="Textebrut"/>
      </w:pPr>
    </w:p>
    <w:p w14:paraId="510ABAA2" w14:textId="77777777" w:rsidR="00752285" w:rsidRPr="00752285" w:rsidRDefault="00752285" w:rsidP="00752285">
      <w:pPr>
        <w:pStyle w:val="Textebrut"/>
        <w:rPr>
          <w:b/>
          <w:bCs/>
        </w:rPr>
      </w:pPr>
      <w:r w:rsidRPr="00752285">
        <w:rPr>
          <w:b/>
          <w:bCs/>
        </w:rPr>
        <w:t>Grippe : un « fort impact » anticipé sur les hôpitaux pendant les vacances de fin d’année, selon des projections de Pasteur et Santé publique France (Le Monde, 17/12/2025).</w:t>
      </w:r>
    </w:p>
    <w:p w14:paraId="23A6BEE8" w14:textId="77777777" w:rsidR="00752285" w:rsidRPr="00752285" w:rsidRDefault="00752285" w:rsidP="00752285">
      <w:pPr>
        <w:pStyle w:val="Textebrut"/>
      </w:pPr>
      <w:r w:rsidRPr="00752285">
        <w:t>La modélisation publiée par ces institutions, qui prévoit un pic au tournant de l’année, vise à aider les autorités sanitaires et les professionnels de santé à anticiper la trajectoire de l’épidémie</w:t>
      </w:r>
    </w:p>
    <w:p w14:paraId="4EF68CE4" w14:textId="77777777" w:rsidR="00752285" w:rsidRPr="00752285" w:rsidRDefault="00752285" w:rsidP="00752285">
      <w:pPr>
        <w:pStyle w:val="Textebrut"/>
      </w:pPr>
      <w:hyperlink r:id="rId131" w:history="1">
        <w:r w:rsidRPr="00752285">
          <w:rPr>
            <w:rStyle w:val="Lienhypertexte"/>
          </w:rPr>
          <w:t>https://www.lemonde.fr/societe/article/2025/12/17/grippe-un-fort-impact-anticipe-sur-les-hopitaux-pendant-les-vacances-de-fin-d-annee-selon-des-projections-de-pasteur-et-sante-publique-france_6658429_3224.html</w:t>
        </w:r>
      </w:hyperlink>
    </w:p>
    <w:p w14:paraId="6387F306" w14:textId="77777777" w:rsidR="00752285" w:rsidRPr="00752285" w:rsidRDefault="00752285" w:rsidP="00752285">
      <w:pPr>
        <w:pStyle w:val="Textebrut"/>
        <w:rPr>
          <w:b/>
          <w:bCs/>
        </w:rPr>
      </w:pPr>
      <w:r w:rsidRPr="00752285">
        <w:rPr>
          <w:b/>
          <w:bCs/>
        </w:rPr>
        <w:t>Prévisions de la grippe saisonnière en France : un outil supplémentaire pour anticiper l’évolution de l’épidémie (Institut Pasteur, 17/12/2025)</w:t>
      </w:r>
    </w:p>
    <w:p w14:paraId="7D2FA6A7" w14:textId="7183121B" w:rsidR="00752285" w:rsidRDefault="00752285" w:rsidP="00752285">
      <w:pPr>
        <w:pStyle w:val="Textebrut"/>
      </w:pPr>
      <w:hyperlink r:id="rId132" w:history="1">
        <w:r w:rsidRPr="00752285">
          <w:rPr>
            <w:rStyle w:val="Lienhypertexte"/>
          </w:rPr>
          <w:t>https://www.pasteur.fr/fr/espace-presse/documents-presse/previsions-grippe-saisonniere-france-outil-supplementaire-anticiper-evolution-epidemie</w:t>
        </w:r>
      </w:hyperlink>
    </w:p>
    <w:p w14:paraId="40106A56" w14:textId="77777777" w:rsidR="00752285" w:rsidRDefault="00752285" w:rsidP="00752285">
      <w:pPr>
        <w:pStyle w:val="Textebrut"/>
      </w:pPr>
    </w:p>
    <w:p w14:paraId="0CFE8E89" w14:textId="77777777" w:rsidR="00E21954" w:rsidRPr="00E21954" w:rsidRDefault="00E21954" w:rsidP="00E21954">
      <w:pPr>
        <w:pStyle w:val="Textebrut"/>
        <w:rPr>
          <w:b/>
          <w:bCs/>
        </w:rPr>
      </w:pPr>
      <w:r w:rsidRPr="00E21954">
        <w:rPr>
          <w:b/>
          <w:bCs/>
        </w:rPr>
        <w:t>Grippe saisonnière 2025 : la France au cœur d’une épidémie (Institut Pasteur, 18/12/2025).</w:t>
      </w:r>
    </w:p>
    <w:p w14:paraId="1CAEDBD0" w14:textId="77777777" w:rsidR="00E21954" w:rsidRPr="00E21954" w:rsidRDefault="00E21954" w:rsidP="00E21954">
      <w:pPr>
        <w:pStyle w:val="Textebrut"/>
      </w:pPr>
      <w:r w:rsidRPr="00E21954">
        <w:t>L’épidémie de grippe s’installe officiellement sur l’ensemble du territoire français, un peu plus tôt que l’an dernier. Chaque année, l’Institut Pasteur surveille les virus respiratoires dont la grippe et, cette saison 2025-2026, il apporte une nouvelle expertise de prévision du pic épidémique par modélisation. Rappelons que, si la grippe saisonnière reste la plupart du temps bénigne, elle peut être à l’origine de décès, surtout chez les personnes fragiles</w:t>
      </w:r>
    </w:p>
    <w:p w14:paraId="7B337D52" w14:textId="77777777" w:rsidR="00E21954" w:rsidRPr="00E21954" w:rsidRDefault="00E21954" w:rsidP="00E21954">
      <w:pPr>
        <w:pStyle w:val="Textebrut"/>
      </w:pPr>
      <w:hyperlink r:id="rId133" w:history="1">
        <w:r w:rsidRPr="00E21954">
          <w:rPr>
            <w:rStyle w:val="Lienhypertexte"/>
          </w:rPr>
          <w:t>https://www.pasteur.fr/fr/international/actualites/grippe-saisonniere-2025-france-au-coeur-epidemie</w:t>
        </w:r>
      </w:hyperlink>
    </w:p>
    <w:p w14:paraId="46F0368D" w14:textId="77777777" w:rsidR="00752285" w:rsidRDefault="00752285" w:rsidP="00752285">
      <w:pPr>
        <w:pStyle w:val="Textebrut"/>
      </w:pPr>
    </w:p>
    <w:p w14:paraId="5F49C093" w14:textId="77777777" w:rsidR="000C36F2" w:rsidRPr="000C36F2" w:rsidRDefault="000C36F2" w:rsidP="000C36F2">
      <w:pPr>
        <w:pStyle w:val="Textebrut"/>
        <w:rPr>
          <w:b/>
          <w:bCs/>
        </w:rPr>
      </w:pPr>
      <w:r w:rsidRPr="000C36F2">
        <w:rPr>
          <w:b/>
          <w:bCs/>
        </w:rPr>
        <w:t>L’IA générative en santé : oui, avec un usage responsable (CNOP, 18/12/2025).</w:t>
      </w:r>
    </w:p>
    <w:p w14:paraId="2B6DB998" w14:textId="77777777" w:rsidR="000C36F2" w:rsidRPr="000C36F2" w:rsidRDefault="000C36F2" w:rsidP="000C36F2">
      <w:pPr>
        <w:pStyle w:val="Textebrut"/>
      </w:pPr>
      <w:r w:rsidRPr="000C36F2">
        <w:t>Les systèmes d’intelligence artificielle (IA) générative, tels que Mistral AI, CoPilot ou ChatGPT, se démocratisent à vitesse grand V. Faciles d’accès et de prise en main, des outils se développent également dans le secteur sanitaire, social et médico-social avec de nombreuses applications. Leur utilisation induit toutefois des risques qu’il convient de maitriser. La Haute Autorité de santé (HAS) publie des premières clés d’usage de l’IA générative en santé destinées aux professionnels, qu’ils soient experts ou non du sujet. Le guide volontairement concis se structure en 4 lignes directrices accompagnées d’exemples issus du terrain. Une fiche sur l’utilisation de l’IA générative en santé par les usagers viendra compléter ces travaux</w:t>
      </w:r>
    </w:p>
    <w:p w14:paraId="2B75CF2A" w14:textId="77777777" w:rsidR="000C36F2" w:rsidRPr="000C36F2" w:rsidRDefault="000C36F2" w:rsidP="000C36F2">
      <w:pPr>
        <w:pStyle w:val="Textebrut"/>
      </w:pPr>
      <w:hyperlink r:id="rId134" w:history="1">
        <w:r w:rsidRPr="000C36F2">
          <w:rPr>
            <w:rStyle w:val="Lienhypertexte"/>
          </w:rPr>
          <w:t>https://www.ordre.pharmacien.fr/les-communications/focus-sur/les-actualites/l-ia-generative-en-sante-oui-avec-un-usage-responsable</w:t>
        </w:r>
      </w:hyperlink>
    </w:p>
    <w:p w14:paraId="61995B04" w14:textId="77777777" w:rsidR="000C36F2" w:rsidRPr="000C36F2" w:rsidRDefault="000C36F2" w:rsidP="000C36F2">
      <w:pPr>
        <w:pStyle w:val="Textebrut"/>
      </w:pPr>
    </w:p>
    <w:p w14:paraId="5345A3B6" w14:textId="77777777" w:rsidR="000C36F2" w:rsidRPr="000C36F2" w:rsidRDefault="000C36F2" w:rsidP="000C36F2">
      <w:pPr>
        <w:pStyle w:val="Textebrut"/>
        <w:rPr>
          <w:b/>
          <w:bCs/>
        </w:rPr>
      </w:pPr>
      <w:r w:rsidRPr="000C36F2">
        <w:rPr>
          <w:b/>
          <w:bCs/>
        </w:rPr>
        <w:t>Cybersécurité : un défi de santé publique pour les pharmaciens (CNOP, 18/12/2025).</w:t>
      </w:r>
    </w:p>
    <w:p w14:paraId="31A64F3D" w14:textId="77777777" w:rsidR="000C36F2" w:rsidRPr="000C36F2" w:rsidRDefault="000C36F2" w:rsidP="000C36F2">
      <w:pPr>
        <w:pStyle w:val="Textebrut"/>
      </w:pPr>
      <w:r w:rsidRPr="000C36F2">
        <w:t>Avec l’accélération numérique du système de santé, les risques s’accroissent en matière de cybersécurité. Et les pharmaciens, tous métiers confondus, y sont particulièrement exposés. Pour y faire face, il est nécessaire de développer une culture partagée par tous afin de protéger les systèmes d’information et les données des patients, permettant de continuer à répondre aux enjeux de santé publique</w:t>
      </w:r>
    </w:p>
    <w:p w14:paraId="543AB3FF" w14:textId="77777777" w:rsidR="000C36F2" w:rsidRPr="000C36F2" w:rsidRDefault="000C36F2" w:rsidP="000C36F2">
      <w:pPr>
        <w:pStyle w:val="Textebrut"/>
      </w:pPr>
      <w:hyperlink r:id="rId135" w:history="1">
        <w:r w:rsidRPr="000C36F2">
          <w:rPr>
            <w:rStyle w:val="Lienhypertexte"/>
          </w:rPr>
          <w:t>https://www.ordre.pharmacien.fr/les-communications/focus-sur/la-revue/tous-pharmaciens-la-revue-n-29-decembre-2025/cybersecurite-un-defi-de-sante-publique-pour-les-pharmaciens</w:t>
        </w:r>
      </w:hyperlink>
    </w:p>
    <w:p w14:paraId="6B18197F" w14:textId="77777777" w:rsidR="000C36F2" w:rsidRPr="000C36F2" w:rsidRDefault="000C36F2" w:rsidP="000C36F2">
      <w:pPr>
        <w:pStyle w:val="Textebrut"/>
      </w:pPr>
    </w:p>
    <w:p w14:paraId="69A2A00B" w14:textId="77777777" w:rsidR="00271FDA" w:rsidRPr="00271FDA" w:rsidRDefault="00271FDA" w:rsidP="00271FDA">
      <w:pPr>
        <w:pStyle w:val="Textebrut"/>
        <w:rPr>
          <w:b/>
          <w:bCs/>
        </w:rPr>
      </w:pPr>
      <w:r w:rsidRPr="00271FDA">
        <w:rPr>
          <w:b/>
          <w:bCs/>
        </w:rPr>
        <w:t>Fluorure de sodium : proposition de classement comme perturbateur endocrinien et toxique pour la reproduction (ANSES, 18/12/2025).</w:t>
      </w:r>
    </w:p>
    <w:p w14:paraId="1EE2B14C" w14:textId="77777777" w:rsidR="00271FDA" w:rsidRPr="00271FDA" w:rsidRDefault="00271FDA" w:rsidP="00271FDA">
      <w:pPr>
        <w:pStyle w:val="Textebrut"/>
      </w:pPr>
      <w:r w:rsidRPr="00271FDA">
        <w:t>Suite à des évaluations menées dans le cadre du règlement CLP (classification, étiquetage et emballage des produits), l’Anses propose de classer le fluorure de sodium comme perturbateur endocrinien pour la santé humaine (catégorie 1) et substance toxique pour la reproduction (catégorie 1B). Le dossier scientifique est en consultation publique sur le site de l’Agence européenne des produits chimiques (ECHA) jusqu’au 16 janvier 2026</w:t>
      </w:r>
    </w:p>
    <w:p w14:paraId="79B86847" w14:textId="77777777" w:rsidR="00271FDA" w:rsidRPr="00271FDA" w:rsidRDefault="00271FDA" w:rsidP="00271FDA">
      <w:pPr>
        <w:pStyle w:val="Textebrut"/>
      </w:pPr>
      <w:hyperlink r:id="rId136" w:history="1">
        <w:r w:rsidRPr="00271FDA">
          <w:rPr>
            <w:rStyle w:val="Lienhypertexte"/>
          </w:rPr>
          <w:t>https://www.anses.fr/fr/content/fluorure-de-sodium-proposition-de-classement-comme-perturbateur-endocrinien-et-toxique-pour</w:t>
        </w:r>
      </w:hyperlink>
    </w:p>
    <w:p w14:paraId="32856A6C" w14:textId="77777777" w:rsidR="00271FDA" w:rsidRPr="00271FDA" w:rsidRDefault="00271FDA" w:rsidP="00271FDA">
      <w:pPr>
        <w:pStyle w:val="Textebrut"/>
        <w:rPr>
          <w:b/>
          <w:bCs/>
        </w:rPr>
      </w:pPr>
      <w:r w:rsidRPr="00271FDA">
        <w:rPr>
          <w:b/>
          <w:bCs/>
        </w:rPr>
        <w:t>Fluorure de sodium : faut-il s’inquiéter pour les dentifrices ? (Le Moniteur des pharmacies, 18/12/2025).</w:t>
      </w:r>
    </w:p>
    <w:p w14:paraId="43508A2D" w14:textId="77777777" w:rsidR="00271FDA" w:rsidRPr="00271FDA" w:rsidRDefault="00271FDA" w:rsidP="00271FDA">
      <w:pPr>
        <w:pStyle w:val="Textebrut"/>
      </w:pPr>
      <w:r w:rsidRPr="00271FDA">
        <w:t>L’Anses propose de classer le fluorure de sodium comme perturbateur endocrinien et substance toxique pour la reproduction. Une consultation publique est ouverte par l’Agence européenne des produits chimiques jusqu’au 16 janvier 2026, avant une éventuelle évolution réglementaire au niveau européen</w:t>
      </w:r>
    </w:p>
    <w:p w14:paraId="03D1AB21" w14:textId="77777777" w:rsidR="00271FDA" w:rsidRPr="00271FDA" w:rsidRDefault="00271FDA" w:rsidP="00271FDA">
      <w:pPr>
        <w:pStyle w:val="Textebrut"/>
      </w:pPr>
      <w:hyperlink r:id="rId137" w:history="1">
        <w:r w:rsidRPr="00271FDA">
          <w:rPr>
            <w:rStyle w:val="Lienhypertexte"/>
          </w:rPr>
          <w:t>https://www.lemoniteurdespharmacies.fr/conseils/maux-du-quotidien/fluorure-de-sodium-faut-il-sinquieter-pour-les-dentifrices</w:t>
        </w:r>
      </w:hyperlink>
    </w:p>
    <w:p w14:paraId="1D9ECF1B" w14:textId="77777777" w:rsidR="00271FDA" w:rsidRPr="00271FDA" w:rsidRDefault="00271FDA" w:rsidP="00271FDA">
      <w:pPr>
        <w:pStyle w:val="Textebrut"/>
      </w:pPr>
    </w:p>
    <w:p w14:paraId="72A0B9A1" w14:textId="77777777" w:rsidR="00A5514E" w:rsidRPr="00A5514E" w:rsidRDefault="00A5514E" w:rsidP="00A5514E">
      <w:pPr>
        <w:pStyle w:val="Textebrut"/>
        <w:rPr>
          <w:b/>
          <w:bCs/>
        </w:rPr>
      </w:pPr>
      <w:r w:rsidRPr="00A5514E">
        <w:rPr>
          <w:b/>
          <w:bCs/>
        </w:rPr>
        <w:t>La protection fonctionnelle des agents publics dans l'exercice de leurs fonctions (La pause DAJ, Carole Henry, adjointe à la cheffe du bureau des questions judiciaires et du droit privé, 17/12/2025)</w:t>
      </w:r>
    </w:p>
    <w:p w14:paraId="1AFE517F" w14:textId="77777777" w:rsidR="00A5514E" w:rsidRPr="00A5514E" w:rsidRDefault="00A5514E" w:rsidP="00A5514E">
      <w:pPr>
        <w:pStyle w:val="Textebrut"/>
      </w:pPr>
      <w:hyperlink r:id="rId138" w:history="1">
        <w:r w:rsidRPr="00A5514E">
          <w:rPr>
            <w:rStyle w:val="Lienhypertexte"/>
          </w:rPr>
          <w:t>https://paco.intranet.social.gouv.fr/servicescommuns/DAJ/ressources_juridiques/Documents/Pause%20DAJ%20Protection%20fonctionnelle%2017122025.pdf</w:t>
        </w:r>
      </w:hyperlink>
    </w:p>
    <w:p w14:paraId="2989404B" w14:textId="77777777" w:rsidR="00A5514E" w:rsidRPr="00A5514E" w:rsidRDefault="00A5514E" w:rsidP="00A5514E">
      <w:pPr>
        <w:pStyle w:val="Textebrut"/>
      </w:pPr>
      <w:r w:rsidRPr="00A5514E">
        <w:t>Voir aussi à ce sujet :</w:t>
      </w:r>
    </w:p>
    <w:p w14:paraId="117437D8" w14:textId="77777777" w:rsidR="00A5514E" w:rsidRPr="00A5514E" w:rsidRDefault="00A5514E" w:rsidP="00A5514E">
      <w:pPr>
        <w:pStyle w:val="Textebrut"/>
        <w:rPr>
          <w:b/>
          <w:bCs/>
        </w:rPr>
      </w:pPr>
      <w:r w:rsidRPr="00A5514E">
        <w:rPr>
          <w:b/>
          <w:bCs/>
        </w:rPr>
        <w:t>Le kit « Protection fonctionnelle » de la DAJ (08/09/2025)</w:t>
      </w:r>
    </w:p>
    <w:p w14:paraId="328F0E98" w14:textId="77777777" w:rsidR="00A5514E" w:rsidRPr="00A5514E" w:rsidRDefault="00A5514E" w:rsidP="00A5514E">
      <w:pPr>
        <w:pStyle w:val="Textebrut"/>
      </w:pPr>
      <w:hyperlink r:id="rId139" w:history="1">
        <w:r w:rsidRPr="00A5514E">
          <w:rPr>
            <w:rStyle w:val="Lienhypertexte"/>
          </w:rPr>
          <w:t>https://paco.intranet.social.gouv.fr/servicescommuns/DAJ/ressources_juridiques/Pages/Le-Kit-Protection-fonctionnelle.aspx</w:t>
        </w:r>
      </w:hyperlink>
    </w:p>
    <w:p w14:paraId="352FAEBE" w14:textId="77777777" w:rsidR="00A5514E" w:rsidRPr="00A5514E" w:rsidRDefault="00A5514E" w:rsidP="00A5514E">
      <w:pPr>
        <w:pStyle w:val="Textebrut"/>
        <w:rPr>
          <w:b/>
          <w:bCs/>
        </w:rPr>
      </w:pPr>
      <w:r w:rsidRPr="00A5514E">
        <w:rPr>
          <w:b/>
          <w:bCs/>
        </w:rPr>
        <w:t>Le dossier « Protection fonctionnelle » élaboré par l’ARS Nouvelle-Aquitaine (2022)</w:t>
      </w:r>
    </w:p>
    <w:p w14:paraId="69A1EB89" w14:textId="014F7A7B" w:rsidR="00E21954" w:rsidRDefault="00A5514E" w:rsidP="00A5514E">
      <w:pPr>
        <w:pStyle w:val="Textebrut"/>
      </w:pPr>
      <w:hyperlink r:id="rId140" w:history="1">
        <w:r w:rsidRPr="00A5514E">
          <w:rPr>
            <w:rStyle w:val="Lienhypertexte"/>
          </w:rPr>
          <w:t>https://indi.intranet.social.gouv.fr/na/info-securite/Documents/Forms/AllItems.aspx?RootFolder=%2fna%2finfo%2dsecurite%2fDocuments%2fPROTECTION%20FONCTIONNELLE&amp;FolderCTID=0x012000F4C00EF08216154387963B0AC6CABA3A</w:t>
        </w:r>
      </w:hyperlink>
    </w:p>
    <w:p w14:paraId="3D12CF27" w14:textId="77777777" w:rsidR="00F16F6E" w:rsidRDefault="00F16F6E" w:rsidP="00AD203A">
      <w:pPr>
        <w:pStyle w:val="Textebrut"/>
      </w:pPr>
    </w:p>
    <w:p w14:paraId="330A91BC" w14:textId="77777777" w:rsidR="00FA4D39" w:rsidRPr="00FA4D39" w:rsidRDefault="00FA4D39" w:rsidP="00FA4D39">
      <w:pPr>
        <w:pStyle w:val="Textebrut"/>
        <w:rPr>
          <w:b/>
          <w:bCs/>
        </w:rPr>
      </w:pPr>
      <w:r w:rsidRPr="00FA4D39">
        <w:rPr>
          <w:b/>
          <w:bCs/>
        </w:rPr>
        <w:t>Fluoroquinolones : une consommation en baisse mais des mésusages qui persistent (ANSM, 19/12/2025).</w:t>
      </w:r>
    </w:p>
    <w:p w14:paraId="378595D7" w14:textId="77777777" w:rsidR="00FA4D39" w:rsidRPr="00FA4D39" w:rsidRDefault="00FA4D39" w:rsidP="00FA4D39">
      <w:pPr>
        <w:pStyle w:val="Textebrut"/>
      </w:pPr>
      <w:r w:rsidRPr="00FA4D39">
        <w:t>Entre 2014 et 2023, l’utilisation des fluoroquinolones en France a diminué de moitié, passant de 4,8 à 2,2 millions de délivrances annuelles. Néanmoins, les deux tiers des prescriptions en 2023 seraient non conformes aux recommandations les plus récentes, exposant les patients à des risques d’effets indésirables très rares mais graves, parfois invalidants et irréversibles.</w:t>
      </w:r>
    </w:p>
    <w:p w14:paraId="1AD229F5" w14:textId="77777777" w:rsidR="00FA4D39" w:rsidRPr="00FA4D39" w:rsidRDefault="00FA4D39" w:rsidP="00FA4D39">
      <w:pPr>
        <w:pStyle w:val="Textebrut"/>
      </w:pPr>
      <w:r w:rsidRPr="00FA4D39">
        <w:t>Face à ce constat, nous continuons d’améliorer l’information des patients et de sensibiliser les professionnels de santé à un usage approprié des fluoroquinolones, antibiotiques dont le recours ne doit s’envisager que dans certaines indications très limitées</w:t>
      </w:r>
    </w:p>
    <w:p w14:paraId="0BA04F1C" w14:textId="77777777" w:rsidR="00FA4D39" w:rsidRPr="00FA4D39" w:rsidRDefault="00FA4D39" w:rsidP="00FA4D39">
      <w:pPr>
        <w:pStyle w:val="Textebrut"/>
      </w:pPr>
      <w:hyperlink r:id="rId141" w:history="1">
        <w:r w:rsidRPr="00FA4D39">
          <w:rPr>
            <w:rStyle w:val="Lienhypertexte"/>
          </w:rPr>
          <w:t>https://ansm.sante.fr/actualites/fluoroquinolones-une-consommation-en-baisse-mais-des-mesusages-qui-persistent</w:t>
        </w:r>
      </w:hyperlink>
    </w:p>
    <w:p w14:paraId="542241C0" w14:textId="77777777" w:rsidR="00FA4D39" w:rsidRPr="00FA4D39" w:rsidRDefault="00FA4D39" w:rsidP="00FA4D39">
      <w:pPr>
        <w:pStyle w:val="Textebrut"/>
        <w:rPr>
          <w:b/>
          <w:bCs/>
        </w:rPr>
      </w:pPr>
      <w:r w:rsidRPr="00FA4D39">
        <w:rPr>
          <w:b/>
          <w:bCs/>
        </w:rPr>
        <w:t>Mésusage des fluoroquinolones (EPI-PHARE, 19/12/2025).</w:t>
      </w:r>
    </w:p>
    <w:p w14:paraId="414154A4" w14:textId="77777777" w:rsidR="00FA4D39" w:rsidRPr="00FA4D39" w:rsidRDefault="00FA4D39" w:rsidP="00FA4D39">
      <w:pPr>
        <w:pStyle w:val="Textebrut"/>
      </w:pPr>
      <w:r w:rsidRPr="00FA4D39">
        <w:t>Étude du mésusage lié à l’indication des fluoroquinolones par voie orale chez les patients de 20 ans et plus par les médecins généralistes au sein de la base THIN® en 2014, 2019 et 2023</w:t>
      </w:r>
    </w:p>
    <w:p w14:paraId="0258F505" w14:textId="77777777" w:rsidR="00FA4D39" w:rsidRPr="00FA4D39" w:rsidRDefault="00FA4D39" w:rsidP="00FA4D39">
      <w:pPr>
        <w:pStyle w:val="Textebrut"/>
      </w:pPr>
      <w:hyperlink r:id="rId142" w:history="1">
        <w:r w:rsidRPr="00FA4D39">
          <w:rPr>
            <w:rStyle w:val="Lienhypertexte"/>
          </w:rPr>
          <w:t>https://www.epi-phare.fr/rapports-detudes-et-publications/mesusage-fluoroquinolones/</w:t>
        </w:r>
      </w:hyperlink>
    </w:p>
    <w:p w14:paraId="5DC15557" w14:textId="77777777" w:rsidR="005D1F89" w:rsidRDefault="005D1F89" w:rsidP="00361AD6">
      <w:pPr>
        <w:pStyle w:val="Textebrut"/>
      </w:pPr>
    </w:p>
    <w:p w14:paraId="3D426DFA" w14:textId="77777777" w:rsidR="00705F9F" w:rsidRPr="00705F9F" w:rsidRDefault="00705F9F" w:rsidP="00705F9F">
      <w:pPr>
        <w:pStyle w:val="Textebrut"/>
        <w:rPr>
          <w:b/>
          <w:bCs/>
        </w:rPr>
      </w:pPr>
      <w:r w:rsidRPr="00705F9F">
        <w:rPr>
          <w:b/>
          <w:bCs/>
        </w:rPr>
        <w:lastRenderedPageBreak/>
        <w:t>Dopage : la France est le deuxième pays comptant le plus grand nombre de cas positifs en 2024 (Le Monde, 18/12/2025).</w:t>
      </w:r>
    </w:p>
    <w:p w14:paraId="3881E397" w14:textId="77777777" w:rsidR="00705F9F" w:rsidRPr="00705F9F" w:rsidRDefault="00705F9F" w:rsidP="00705F9F">
      <w:pPr>
        <w:pStyle w:val="Textebrut"/>
      </w:pPr>
      <w:r w:rsidRPr="00705F9F">
        <w:t>Selon le rapport annuel de l’Agence mondiale antidopage, publié mardi 16 décembre, 91 athlètes français ont été testés positifs en 2024. Seule l’Inde fait pire</w:t>
      </w:r>
    </w:p>
    <w:p w14:paraId="6A04F48A" w14:textId="77777777" w:rsidR="00705F9F" w:rsidRPr="00705F9F" w:rsidRDefault="00705F9F" w:rsidP="00705F9F">
      <w:pPr>
        <w:pStyle w:val="Textebrut"/>
      </w:pPr>
      <w:hyperlink r:id="rId143" w:history="1">
        <w:r w:rsidRPr="00705F9F">
          <w:rPr>
            <w:rStyle w:val="Lienhypertexte"/>
          </w:rPr>
          <w:t>https://www.lemonde.fr/sport/article/2025/12/18/dopage-la-france-est-le-deuxieme-pays-comptant-le-plus-grand-nombre-de-cas-positifs-en-2024_6658525_3242.html</w:t>
        </w:r>
      </w:hyperlink>
    </w:p>
    <w:p w14:paraId="5FE6F2D6" w14:textId="77777777" w:rsidR="00FA4D39" w:rsidRDefault="00FA4D39" w:rsidP="00361AD6">
      <w:pPr>
        <w:pStyle w:val="Textebrut"/>
      </w:pPr>
    </w:p>
    <w:p w14:paraId="4B3B9676" w14:textId="77777777" w:rsidR="00AF1DC1" w:rsidRPr="00AF1DC1" w:rsidRDefault="00AF1DC1" w:rsidP="00AF1DC1">
      <w:pPr>
        <w:pStyle w:val="Textebrut"/>
        <w:rPr>
          <w:b/>
          <w:bCs/>
        </w:rPr>
      </w:pPr>
      <w:r w:rsidRPr="00AF1DC1">
        <w:rPr>
          <w:b/>
          <w:bCs/>
        </w:rPr>
        <w:t>Le vaccin contre les infections à papillomavirus humains est désormais remboursé jusqu’à 26 ans (ameli.fr, 19/12/2025).</w:t>
      </w:r>
    </w:p>
    <w:p w14:paraId="4807F88B" w14:textId="77777777" w:rsidR="00AF1DC1" w:rsidRPr="00AF1DC1" w:rsidRDefault="00AF1DC1" w:rsidP="00AF1DC1">
      <w:pPr>
        <w:pStyle w:val="Textebrut"/>
      </w:pPr>
      <w:r w:rsidRPr="00AF1DC1">
        <w:t>Depuis le 12 décembre 2025, le vaccin Gardasil 9 contre les infections à papillomavirus humains (HPV) est remboursé par l’Assurance Maladie pour toutes les jeunes femmes et tous les jeunes hommes âgés de 11 à 26 ans</w:t>
      </w:r>
    </w:p>
    <w:p w14:paraId="74D6D7DE" w14:textId="77777777" w:rsidR="00AF1DC1" w:rsidRPr="00AF1DC1" w:rsidRDefault="00AF1DC1" w:rsidP="00AF1DC1">
      <w:pPr>
        <w:pStyle w:val="Textebrut"/>
      </w:pPr>
      <w:hyperlink r:id="rId144" w:history="1">
        <w:r w:rsidRPr="00AF1DC1">
          <w:rPr>
            <w:rStyle w:val="Lienhypertexte"/>
          </w:rPr>
          <w:t>https://www.ameli.fr/assure/actualites/le-vaccin-contre-les-infections-papillomavirus-humains-est-desormais-rembourse-jusqu-26-ans</w:t>
        </w:r>
      </w:hyperlink>
    </w:p>
    <w:p w14:paraId="085B4261" w14:textId="77777777" w:rsidR="00705F9F" w:rsidRDefault="00705F9F" w:rsidP="00361AD6">
      <w:pPr>
        <w:pStyle w:val="Textebrut"/>
      </w:pPr>
    </w:p>
    <w:p w14:paraId="3BD0E1D6" w14:textId="77777777" w:rsidR="00110374" w:rsidRPr="00110374" w:rsidRDefault="00110374" w:rsidP="00110374">
      <w:pPr>
        <w:pStyle w:val="Textebrut"/>
        <w:rPr>
          <w:b/>
          <w:bCs/>
        </w:rPr>
      </w:pPr>
      <w:r w:rsidRPr="00110374">
        <w:rPr>
          <w:b/>
          <w:bCs/>
        </w:rPr>
        <w:t>Accès précoce à des médicaments présumés innovants : pour un pari mieux éclairé (HAS, 19/12/2025).</w:t>
      </w:r>
    </w:p>
    <w:p w14:paraId="5774A1C3" w14:textId="77777777" w:rsidR="00110374" w:rsidRPr="00110374" w:rsidRDefault="00110374" w:rsidP="00110374">
      <w:pPr>
        <w:pStyle w:val="Textebrut"/>
      </w:pPr>
      <w:r w:rsidRPr="00110374">
        <w:t>L’évaluation des demandes d’accès précoce à des médicaments comprend par nature une forme d’incertitude. En effet, elle repose notamment sur l’appréciation de la présomption d’innovation et non sur la démonstration de cette innovation. Afin de définir les données minimales requises pour confirmer ou réfuter le bénéfice clinique supplémentaire du traitement par rapport aux alternatives disponibles et ainsi limiter la prise de risque pour les patients, la Haute Autorité de santé (HAS) actualise sa doctrine d’évaluation</w:t>
      </w:r>
    </w:p>
    <w:p w14:paraId="306E9992" w14:textId="77777777" w:rsidR="00110374" w:rsidRPr="00110374" w:rsidRDefault="00110374" w:rsidP="00110374">
      <w:pPr>
        <w:pStyle w:val="Textebrut"/>
      </w:pPr>
      <w:hyperlink r:id="rId145" w:history="1">
        <w:r w:rsidRPr="00110374">
          <w:rPr>
            <w:rStyle w:val="Lienhypertexte"/>
          </w:rPr>
          <w:t>https://www.has-sante.fr/jcms/p_3806377/fr/acces-precoce-a-des-medicaments-presumes-innovants-pour-un-pari-mieux-eclaire</w:t>
        </w:r>
      </w:hyperlink>
    </w:p>
    <w:p w14:paraId="3EFE75CB" w14:textId="77777777" w:rsidR="00AF1DC1" w:rsidRDefault="00AF1DC1" w:rsidP="00361AD6">
      <w:pPr>
        <w:pStyle w:val="Textebrut"/>
      </w:pPr>
    </w:p>
    <w:p w14:paraId="68B3821C" w14:textId="77777777" w:rsidR="003C23FC" w:rsidRPr="003C23FC" w:rsidRDefault="003C23FC" w:rsidP="003C23FC">
      <w:pPr>
        <w:pStyle w:val="Textebrut"/>
        <w:rPr>
          <w:b/>
          <w:bCs/>
        </w:rPr>
      </w:pPr>
      <w:r w:rsidRPr="003C23FC">
        <w:rPr>
          <w:b/>
          <w:bCs/>
        </w:rPr>
        <w:t>FLUCELVAX : Intégration de l’extension d’indication chez l’enfant à partir de 6 mois dans la stratégie antigrippale (Avis HAS du 18/12/2025).</w:t>
      </w:r>
    </w:p>
    <w:p w14:paraId="49935213" w14:textId="77777777" w:rsidR="003C23FC" w:rsidRPr="003C23FC" w:rsidRDefault="003C23FC" w:rsidP="003C23FC">
      <w:pPr>
        <w:pStyle w:val="Textebrut"/>
      </w:pPr>
      <w:r w:rsidRPr="003C23FC">
        <w:t>En France, la vaccination antigrippale saisonnière est recommandée chaque année aux personnes âgées de 65 ans et plus, aux personnes à risque de grippe sévère ou compliquée, aux soignants et aux enfants à partir de l'âge de 6 mois présentant des facteurs de risque de forme grave. Les nourrissons sans comorbidité d’au moins 24 mois peuvent également bénéficier de la vaccination, avec les vaccins antigrippaux indiqués pour cette classe d’âge.</w:t>
      </w:r>
    </w:p>
    <w:p w14:paraId="33C07DF1" w14:textId="77777777" w:rsidR="003C23FC" w:rsidRPr="003C23FC" w:rsidRDefault="003C23FC" w:rsidP="003C23FC">
      <w:pPr>
        <w:pStyle w:val="Textebrut"/>
      </w:pPr>
      <w:r w:rsidRPr="003C23FC">
        <w:t>En avril 2025, le vaccin FLUCELVAX a reçu une extension d’indication chez l’enfant à partir de 6 mois. D’après le laboratoire, la population d’enfants âgés de 6 à 23 mois à risque, à vacciner, serait de l’ordre de 290 000 chaque année. De précédents travaux de la HAS ont permis d’établir la stratégie vaccinale pour les enfants à partir de 2 ans. La HAS publie ce jour l’avis concernant l’évaluation de la pertinence d’intégrer FLUCELVAX dans la stratégie vaccinale antigrippale chez l’enfant à partir de 6 mois, suite à l’extension de son indication</w:t>
      </w:r>
    </w:p>
    <w:p w14:paraId="1DDE15D2" w14:textId="7AAC549F" w:rsidR="00110374" w:rsidRDefault="003C23FC" w:rsidP="003C23FC">
      <w:pPr>
        <w:pStyle w:val="Textebrut"/>
      </w:pPr>
      <w:hyperlink r:id="rId146" w:history="1">
        <w:r w:rsidRPr="003C23FC">
          <w:rPr>
            <w:rStyle w:val="Lienhypertexte"/>
          </w:rPr>
          <w:t>https://www.has-sante.fr/jcms/p_3804134/fr/flucelvax-integration-de-l-extension-d-indication-chez-l-enfant-a-partir-de-6-mois-dans-la-strategie-antigrippale-avis</w:t>
        </w:r>
      </w:hyperlink>
    </w:p>
    <w:p w14:paraId="0BDB9CB4" w14:textId="77777777" w:rsidR="003C23FC" w:rsidRDefault="003C23FC" w:rsidP="003C23FC">
      <w:pPr>
        <w:pStyle w:val="Textebrut"/>
      </w:pPr>
    </w:p>
    <w:p w14:paraId="5D888C47" w14:textId="77777777" w:rsidR="009F695C" w:rsidRPr="009F695C" w:rsidRDefault="009F695C" w:rsidP="009F695C">
      <w:pPr>
        <w:pStyle w:val="Textebrut"/>
        <w:rPr>
          <w:b/>
          <w:bCs/>
        </w:rPr>
      </w:pPr>
      <w:r w:rsidRPr="009F695C">
        <w:rPr>
          <w:b/>
          <w:bCs/>
        </w:rPr>
        <w:t>Quand un pharmacien adjoint se retrouve devant une chambre de discipline (Le Moniteur des pharmacies, 19/12/2025).</w:t>
      </w:r>
    </w:p>
    <w:p w14:paraId="5A7A5CB4" w14:textId="77777777" w:rsidR="009F695C" w:rsidRPr="009F695C" w:rsidRDefault="009F695C" w:rsidP="009F695C">
      <w:pPr>
        <w:pStyle w:val="Textebrut"/>
      </w:pPr>
      <w:r w:rsidRPr="009F695C">
        <w:t>Être pharmacien adjoint, c’est exercer au cœur de l’officine… et concentrer une part importante du risque disciplinaire. Le récent rapport d’activité des juridictions ordinales montre que les adjoints sont régulièrement mis en cause, qu’il s’agisse d’erreurs de délivrance, de difficultés relationnelles avec les patients ou de conflits internes</w:t>
      </w:r>
    </w:p>
    <w:p w14:paraId="23434839" w14:textId="77777777" w:rsidR="009F695C" w:rsidRPr="009F695C" w:rsidRDefault="009F695C" w:rsidP="009F695C">
      <w:pPr>
        <w:pStyle w:val="Textebrut"/>
      </w:pPr>
      <w:hyperlink r:id="rId147" w:history="1">
        <w:r w:rsidRPr="009F695C">
          <w:rPr>
            <w:rStyle w:val="Lienhypertexte"/>
          </w:rPr>
          <w:t>https://www.lemoniteurdespharmacies.fr/legislation/justice/quand-un-pharmacien-adjoint-se-retrouve-devant-une-chambre-de-discipline</w:t>
        </w:r>
      </w:hyperlink>
    </w:p>
    <w:p w14:paraId="3065DD95" w14:textId="77777777" w:rsidR="003C23FC" w:rsidRDefault="003C23FC" w:rsidP="003C23FC">
      <w:pPr>
        <w:pStyle w:val="Textebrut"/>
      </w:pPr>
    </w:p>
    <w:p w14:paraId="4B926EB3" w14:textId="77777777" w:rsidR="00560B92" w:rsidRDefault="00560B92" w:rsidP="003C23FC">
      <w:pPr>
        <w:pStyle w:val="Textebrut"/>
      </w:pPr>
    </w:p>
    <w:p w14:paraId="278B39CB" w14:textId="77777777" w:rsidR="004208D3" w:rsidRPr="004208D3" w:rsidRDefault="004208D3" w:rsidP="004208D3">
      <w:pPr>
        <w:pStyle w:val="Textebrut"/>
        <w:rPr>
          <w:b/>
          <w:bCs/>
        </w:rPr>
      </w:pPr>
      <w:r w:rsidRPr="004208D3">
        <w:rPr>
          <w:b/>
          <w:bCs/>
        </w:rPr>
        <w:t>Ordonnance numérique : la V3 se fait attendre (Le Moniteur des pharmacies, 19/12/2025).</w:t>
      </w:r>
    </w:p>
    <w:p w14:paraId="2334ECCD" w14:textId="77777777" w:rsidR="004208D3" w:rsidRPr="004208D3" w:rsidRDefault="004208D3" w:rsidP="004208D3">
      <w:pPr>
        <w:pStyle w:val="Textebrut"/>
      </w:pPr>
      <w:r w:rsidRPr="004208D3">
        <w:t>Une réunion du comité technique paritaire permanent national (CTPPN) organisée le 15 décembre révèle les difficultés de généralisation de l’ordonnance numérique. La version 3 de ce dispositif, censée réparer une faille de sécurité majeure, n’est en effet que très partiellement déployée dans le réseau officinal</w:t>
      </w:r>
    </w:p>
    <w:p w14:paraId="16D6A399" w14:textId="406D35F6" w:rsidR="009F695C" w:rsidRDefault="004208D3" w:rsidP="004208D3">
      <w:pPr>
        <w:pStyle w:val="Textebrut"/>
      </w:pPr>
      <w:hyperlink r:id="rId148" w:history="1">
        <w:r w:rsidRPr="004208D3">
          <w:rPr>
            <w:rStyle w:val="Lienhypertexte"/>
          </w:rPr>
          <w:t>https://www.lemoniteurdespharmacies.fr/profession/socio-professionnel/ordonnance-numerique-la-v3-se-fait-attendre</w:t>
        </w:r>
      </w:hyperlink>
    </w:p>
    <w:p w14:paraId="73192275" w14:textId="77777777" w:rsidR="004208D3" w:rsidRDefault="004208D3" w:rsidP="004208D3">
      <w:pPr>
        <w:pStyle w:val="Textebrut"/>
      </w:pPr>
    </w:p>
    <w:p w14:paraId="1A1D9306" w14:textId="77777777" w:rsidR="004208D3" w:rsidRPr="004208D3" w:rsidRDefault="004208D3" w:rsidP="004208D3">
      <w:pPr>
        <w:pStyle w:val="Textebrut"/>
        <w:rPr>
          <w:b/>
          <w:bCs/>
        </w:rPr>
      </w:pPr>
      <w:r w:rsidRPr="004208D3">
        <w:rPr>
          <w:b/>
          <w:bCs/>
        </w:rPr>
        <w:t>Des cosmétiques qui scintillent… de nanoparticules (Le Moniteur des pharmacies, 19/12/2025).</w:t>
      </w:r>
    </w:p>
    <w:p w14:paraId="7B9E07B2" w14:textId="77777777" w:rsidR="004208D3" w:rsidRPr="004208D3" w:rsidRDefault="004208D3" w:rsidP="004208D3">
      <w:pPr>
        <w:pStyle w:val="Textebrut"/>
      </w:pPr>
      <w:r w:rsidRPr="004208D3">
        <w:t>Une enquête met en évidence la présence systématique de nanoparticules de dioxyde de titane dans des cosmétiques scintillants non solaires. Des résultats jugés suffisamment préoccupants pour justifier une saisine de l’Anses et des sollicitations au niveau européen</w:t>
      </w:r>
    </w:p>
    <w:p w14:paraId="789A328B" w14:textId="77777777" w:rsidR="004208D3" w:rsidRPr="004208D3" w:rsidRDefault="004208D3" w:rsidP="004208D3">
      <w:pPr>
        <w:pStyle w:val="Textebrut"/>
      </w:pPr>
      <w:hyperlink r:id="rId149" w:history="1">
        <w:r w:rsidRPr="004208D3">
          <w:rPr>
            <w:rStyle w:val="Lienhypertexte"/>
          </w:rPr>
          <w:t>https://www.lemoniteurdespharmacies.fr/therapeutique/produits/parapharmacie/des-cosmetiques-qui-scintillent-de-nanoparticules</w:t>
        </w:r>
      </w:hyperlink>
    </w:p>
    <w:p w14:paraId="47B551F8" w14:textId="77777777" w:rsidR="004208D3" w:rsidRDefault="004208D3" w:rsidP="004208D3">
      <w:pPr>
        <w:pStyle w:val="Textebrut"/>
      </w:pPr>
    </w:p>
    <w:p w14:paraId="6D3396C7" w14:textId="11978FC8" w:rsidR="00DA168B" w:rsidRPr="00DA168B" w:rsidRDefault="00DA168B" w:rsidP="00DA168B">
      <w:pPr>
        <w:pStyle w:val="Textebrut"/>
        <w:rPr>
          <w:b/>
          <w:bCs/>
        </w:rPr>
      </w:pPr>
      <w:r w:rsidRPr="00DA168B">
        <w:rPr>
          <w:b/>
          <w:bCs/>
        </w:rPr>
        <w:t>Décentralisation : les agences régionales de santé résistent au populisme de Lecornu (Mediapart, 21/12/2026).</w:t>
      </w:r>
    </w:p>
    <w:p w14:paraId="0B2B106A" w14:textId="0D7C1B65" w:rsidR="004208D3" w:rsidRDefault="00DA168B" w:rsidP="00DA168B">
      <w:pPr>
        <w:pStyle w:val="Textebrut"/>
      </w:pPr>
      <w:r>
        <w:t>Le premier ministre veut démanteler les agences régionales de santé, en confiant certaines de leurs missions aux départements et aux préfets. En prônant cette simplification à marche forcée, il se met ainsi dans la roue du RN, qui réclame leur suppression. Les réactions en défense sont nombreuses</w:t>
      </w:r>
    </w:p>
    <w:p w14:paraId="24D05E3B" w14:textId="59750542" w:rsidR="00FA4D39" w:rsidRDefault="00DA168B" w:rsidP="00361AD6">
      <w:pPr>
        <w:pStyle w:val="Textebrut"/>
      </w:pPr>
      <w:hyperlink r:id="rId150" w:history="1">
        <w:r w:rsidRPr="00D71CF3">
          <w:rPr>
            <w:rStyle w:val="Lienhypertexte"/>
          </w:rPr>
          <w:t>https://peps.sante.gouv.fr/actu/2025/25_mediapart_fin-ars-en-2026_21122026.pdf</w:t>
        </w:r>
      </w:hyperlink>
    </w:p>
    <w:p w14:paraId="701CF021" w14:textId="77777777" w:rsidR="00DA168B" w:rsidRDefault="00DA168B" w:rsidP="00361AD6">
      <w:pPr>
        <w:pStyle w:val="Textebrut"/>
      </w:pPr>
    </w:p>
    <w:p w14:paraId="466BE7F8" w14:textId="77777777" w:rsidR="006E5A29" w:rsidRPr="006E5A29" w:rsidRDefault="006E5A29" w:rsidP="006E5A29">
      <w:pPr>
        <w:pStyle w:val="Textebrut"/>
        <w:rPr>
          <w:b/>
          <w:bCs/>
        </w:rPr>
      </w:pPr>
      <w:r w:rsidRPr="006E5A29">
        <w:rPr>
          <w:b/>
          <w:bCs/>
        </w:rPr>
        <w:t>Le calendrier des vaccinations (Ministère, actualisation du 19/12/2025).</w:t>
      </w:r>
    </w:p>
    <w:p w14:paraId="34AEE69E" w14:textId="77777777" w:rsidR="006E5A29" w:rsidRPr="006E5A29" w:rsidRDefault="006E5A29" w:rsidP="006E5A29">
      <w:pPr>
        <w:pStyle w:val="Textebrut"/>
      </w:pPr>
      <w:r w:rsidRPr="006E5A29">
        <w:t>Vaccination contre les infections à papillomavirus humains (HPV) : La vaccination contre les infections à papillomavirus humains (HPV) est élargie à l’ensemble des jeunes hommes et aux jeunes femmes jusqu’à l’âge de 26 ans révolus. A partir de 15 ans, ce vaccin doit être administré selon un schéma à 3 doses (M0, M2, M6). Les 3 doses doivent être administrées en moins d’un an.</w:t>
      </w:r>
    </w:p>
    <w:p w14:paraId="34D206DA" w14:textId="77777777" w:rsidR="006E5A29" w:rsidRPr="006E5A29" w:rsidRDefault="006E5A29" w:rsidP="006E5A29">
      <w:pPr>
        <w:pStyle w:val="Textebrut"/>
      </w:pPr>
      <w:r w:rsidRPr="006E5A29">
        <w:t>Vaccination contre les Infections à pneumocoque : Le vaccin CAPVAXIVE est intégré dans la stratégie actuelle de vaccination contre les infections à pneumocoque chez les adultes à risque accru d’infection à pneumocoque et chez tous les adultes de 65 ans et plus selon un schéma unique à une dose, au même titre que PREVENAR-20.</w:t>
      </w:r>
    </w:p>
    <w:p w14:paraId="785DAFA9" w14:textId="77777777" w:rsidR="006E5A29" w:rsidRPr="006E5A29" w:rsidRDefault="006E5A29" w:rsidP="006E5A29">
      <w:pPr>
        <w:pStyle w:val="Textebrut"/>
      </w:pPr>
      <w:r w:rsidRPr="006E5A29">
        <w:t>Vaccination contre la grippe saisonnière : Il est recommandé de vacciner les personnes âgées de 65 ans et plus, préférentiellement avec les vaccins Efluelda (vaccin hautement dosé) et Fluad (vaccin avec adjuvant). Les vaccins à dose standard peuvent également être utilisés chez cette population</w:t>
      </w:r>
    </w:p>
    <w:p w14:paraId="2F0619FD" w14:textId="3D28D7C3" w:rsidR="00DA168B" w:rsidRDefault="006E5A29" w:rsidP="006E5A29">
      <w:pPr>
        <w:pStyle w:val="Textebrut"/>
      </w:pPr>
      <w:hyperlink r:id="rId151" w:history="1">
        <w:r w:rsidRPr="006E5A29">
          <w:rPr>
            <w:rStyle w:val="Lienhypertexte"/>
          </w:rPr>
          <w:t>https://sante.gouv.fr/prevention-en-sante/preserver-sa-sante/vaccination/calendrier-vaccinal</w:t>
        </w:r>
      </w:hyperlink>
    </w:p>
    <w:p w14:paraId="71A2BFB8" w14:textId="77777777" w:rsidR="00A5514E" w:rsidRDefault="00A5514E" w:rsidP="00361AD6">
      <w:pPr>
        <w:pStyle w:val="Textebrut"/>
      </w:pPr>
    </w:p>
    <w:p w14:paraId="64557DFA" w14:textId="77777777" w:rsidR="00C43169" w:rsidRPr="00C43169" w:rsidRDefault="00C43169" w:rsidP="00C43169">
      <w:pPr>
        <w:pStyle w:val="Textebrut"/>
        <w:rPr>
          <w:b/>
          <w:bCs/>
        </w:rPr>
      </w:pPr>
      <w:r w:rsidRPr="00C43169">
        <w:rPr>
          <w:b/>
          <w:bCs/>
        </w:rPr>
        <w:t>Coupe-faim : plus pratique et moins cher, le Wegovy bientôt vendu en comprimés aux Etats-Unis (Les Echos, 23/12/2025).</w:t>
      </w:r>
    </w:p>
    <w:p w14:paraId="3ECED84E" w14:textId="77777777" w:rsidR="00C43169" w:rsidRPr="00C43169" w:rsidRDefault="00C43169" w:rsidP="00C43169">
      <w:pPr>
        <w:pStyle w:val="Textebrut"/>
      </w:pPr>
      <w:r w:rsidRPr="00C43169">
        <w:t>Les autorités sanitaires américaines ont donné leur feu vert à la commercialisation l'an prochain d'une version orale du célèbre médicament coupe-faim de Novo Nordisk. Les patients européens devront encore patienter</w:t>
      </w:r>
    </w:p>
    <w:p w14:paraId="204D052D" w14:textId="77777777" w:rsidR="00C43169" w:rsidRPr="00C43169" w:rsidRDefault="00C43169" w:rsidP="00C43169">
      <w:pPr>
        <w:pStyle w:val="Textebrut"/>
      </w:pPr>
      <w:hyperlink r:id="rId152" w:history="1">
        <w:r w:rsidRPr="00C43169">
          <w:rPr>
            <w:rStyle w:val="Lienhypertexte"/>
          </w:rPr>
          <w:t>https://www.lesechos.fr/industrie-services/pharmacie-sante/coupe-faim-plus-pratique-et-moins-cher-le-wegovy-bientot-vendu-en-comprimes-aux-etats-unis-2206398</w:t>
        </w:r>
      </w:hyperlink>
    </w:p>
    <w:p w14:paraId="333B7213" w14:textId="77777777" w:rsidR="00174892" w:rsidRDefault="00174892" w:rsidP="00361AD6">
      <w:pPr>
        <w:pStyle w:val="Textebrut"/>
      </w:pPr>
    </w:p>
    <w:p w14:paraId="72B71515" w14:textId="77777777" w:rsidR="00C43169" w:rsidRPr="00C43169" w:rsidRDefault="00C43169" w:rsidP="00C43169">
      <w:pPr>
        <w:pStyle w:val="Textebrut"/>
        <w:rPr>
          <w:b/>
          <w:bCs/>
        </w:rPr>
      </w:pPr>
      <w:r w:rsidRPr="00C43169">
        <w:rPr>
          <w:b/>
          <w:bCs/>
        </w:rPr>
        <w:t>Prévention des hospitalisations pour bronchiolite chez le nouveau-né : Beyfortus montre une efficacité supérieure à celle offerte par Abrysvo (ANSM, 22/12/2025).</w:t>
      </w:r>
    </w:p>
    <w:p w14:paraId="74B0CAA6" w14:textId="77777777" w:rsidR="00C43169" w:rsidRPr="00C43169" w:rsidRDefault="00C43169" w:rsidP="00C43169">
      <w:pPr>
        <w:pStyle w:val="Textebrut"/>
      </w:pPr>
      <w:r w:rsidRPr="00C43169">
        <w:t>Epi-Phare, groupement d’intérêt scientifique entre l’ANSM et la Cnam, publie dans le JAMA (The Journal of the American Medical Association) les résultats d’une étude comparant l’efficacité des deux stratégies de prévention du virus respiratoire syncytial (VRS), principal responsable des bronchiolites chez les nourrissons :</w:t>
      </w:r>
    </w:p>
    <w:p w14:paraId="3D5B449B" w14:textId="77777777" w:rsidR="00C43169" w:rsidRPr="00C43169" w:rsidRDefault="00C43169" w:rsidP="00C43169">
      <w:pPr>
        <w:pStyle w:val="Textebrut"/>
      </w:pPr>
      <w:r w:rsidRPr="00C43169">
        <w:t xml:space="preserve"> L’immunisation directe par l’injection au nouveau-né de l’anticorps monoclonal nirsevimab (Beyfortus) ;</w:t>
      </w:r>
    </w:p>
    <w:p w14:paraId="7163C359" w14:textId="77777777" w:rsidR="00C43169" w:rsidRPr="00C43169" w:rsidRDefault="00C43169" w:rsidP="00C43169">
      <w:pPr>
        <w:pStyle w:val="Textebrut"/>
      </w:pPr>
      <w:r w:rsidRPr="00C43169">
        <w:t xml:space="preserve"> L’immunisation indirecte par la vaccination des femmes enceintes par Abrysvo, recommandée entre 32 et 36 semaines d’aménorrhée par la Haute autorité de santé.</w:t>
      </w:r>
    </w:p>
    <w:p w14:paraId="1B4A33C2" w14:textId="77777777" w:rsidR="00C43169" w:rsidRPr="00C43169" w:rsidRDefault="00C43169" w:rsidP="00C43169">
      <w:pPr>
        <w:pStyle w:val="Textebrut"/>
      </w:pPr>
      <w:r w:rsidRPr="00C43169">
        <w:t>Bien que les deux approches soient très efficaces, cette étude montre que le Beyfortus administré au nouveau-né offre une protection supérieure à celle obtenue avec la vaccination de la femme enceinte par Abrysvo</w:t>
      </w:r>
    </w:p>
    <w:p w14:paraId="08B047DC" w14:textId="77777777" w:rsidR="00C43169" w:rsidRPr="00C43169" w:rsidRDefault="00C43169" w:rsidP="00C43169">
      <w:pPr>
        <w:pStyle w:val="Textebrut"/>
      </w:pPr>
      <w:hyperlink r:id="rId153" w:history="1">
        <w:r w:rsidRPr="00C43169">
          <w:rPr>
            <w:rStyle w:val="Lienhypertexte"/>
          </w:rPr>
          <w:t>https://ansm.sante.fr/actualites/prevention-des-hospitalisations-pour-bronchiolite-chez-le-nouveau-ne-beyfortus-montre-une-efficacite-superieure-a-celle-offerte-par-abrysvo</w:t>
        </w:r>
      </w:hyperlink>
    </w:p>
    <w:p w14:paraId="6DC1871B" w14:textId="77777777" w:rsidR="00C43169" w:rsidRPr="00C43169" w:rsidRDefault="00C43169" w:rsidP="00C43169">
      <w:pPr>
        <w:pStyle w:val="Textebrut"/>
        <w:rPr>
          <w:b/>
          <w:bCs/>
        </w:rPr>
      </w:pPr>
      <w:r w:rsidRPr="00C43169">
        <w:rPr>
          <w:b/>
          <w:bCs/>
        </w:rPr>
        <w:t>Efficacité comparative Beyfortus vs Abrysvo(VRS) (EPI-PHARE, 22/12/2025).</w:t>
      </w:r>
    </w:p>
    <w:p w14:paraId="3468FBE3" w14:textId="77777777" w:rsidR="00C43169" w:rsidRPr="00C43169" w:rsidRDefault="00C43169" w:rsidP="00C43169">
      <w:pPr>
        <w:pStyle w:val="Textebrut"/>
      </w:pPr>
      <w:r w:rsidRPr="00C43169">
        <w:t>Efficacité comparative de l’immunisation des nourrissons par le nirsevimab (Beyfortus) par rapport à la vaccination maternelle par le vaccin RSVpreF (Abrysvo) contre les hospitalisations liées au virus respiratoire syncytial</w:t>
      </w:r>
    </w:p>
    <w:p w14:paraId="3A940EA7" w14:textId="77777777" w:rsidR="00C43169" w:rsidRPr="00C43169" w:rsidRDefault="00C43169" w:rsidP="00C43169">
      <w:pPr>
        <w:pStyle w:val="Textebrut"/>
      </w:pPr>
      <w:hyperlink r:id="rId154" w:history="1">
        <w:r w:rsidRPr="00C43169">
          <w:rPr>
            <w:rStyle w:val="Lienhypertexte"/>
          </w:rPr>
          <w:t>https://www.epi-phare.fr/rapports-detudes-et-publications/efficacite-beyfortus-abrysvo-vrs/</w:t>
        </w:r>
      </w:hyperlink>
    </w:p>
    <w:p w14:paraId="5D02F8AE" w14:textId="77777777" w:rsidR="00C43169" w:rsidRPr="00C43169" w:rsidRDefault="00C43169" w:rsidP="00C43169">
      <w:pPr>
        <w:pStyle w:val="Textebrut"/>
        <w:rPr>
          <w:b/>
          <w:bCs/>
        </w:rPr>
      </w:pPr>
      <w:r w:rsidRPr="00C43169">
        <w:rPr>
          <w:b/>
          <w:bCs/>
        </w:rPr>
        <w:t>Beyfortus vs Abrysvo pour les hospitalisations liées au virus respiratoire syncytial chez les nouveau-nés (EPI-PHARE, 22/12/2025).</w:t>
      </w:r>
    </w:p>
    <w:p w14:paraId="560B0726" w14:textId="77777777" w:rsidR="00C43169" w:rsidRPr="00C43169" w:rsidRDefault="00C43169" w:rsidP="00C43169">
      <w:pPr>
        <w:pStyle w:val="Textebrut"/>
      </w:pPr>
      <w:r w:rsidRPr="00C43169">
        <w:t>Par rapport à la vaccination maternelle avec le vaccin RSVpreF, l’immunisation passive des nourrissons avec le nirsevimab a été associée à une diminution des risques d’hospitalisation et de complications graves liées au VRS. Ces résultats reflètent la première saison VRS avec l’utilisation de ces stratégies d’immunisation en France métropolitaine ; leur utilisation devrait être réévaluée dans le cadre d’études futures</w:t>
      </w:r>
    </w:p>
    <w:p w14:paraId="001E11C7" w14:textId="77777777" w:rsidR="00C43169" w:rsidRPr="00C43169" w:rsidRDefault="00C43169" w:rsidP="00C43169">
      <w:pPr>
        <w:pStyle w:val="Textebrut"/>
      </w:pPr>
      <w:hyperlink r:id="rId155" w:history="1">
        <w:r w:rsidRPr="00C43169">
          <w:rPr>
            <w:rStyle w:val="Lienhypertexte"/>
          </w:rPr>
          <w:t>https://www.epi-phare.fr/rapports-detudes-et-publications/beyfortus-abrysvo-jama/</w:t>
        </w:r>
      </w:hyperlink>
    </w:p>
    <w:p w14:paraId="433BECAE" w14:textId="77777777" w:rsidR="00C43169" w:rsidRDefault="00C43169" w:rsidP="00361AD6">
      <w:pPr>
        <w:pStyle w:val="Textebrut"/>
      </w:pPr>
    </w:p>
    <w:p w14:paraId="73B03838" w14:textId="77777777" w:rsidR="00C43169" w:rsidRPr="00C43169" w:rsidRDefault="00C43169" w:rsidP="00C43169">
      <w:pPr>
        <w:pStyle w:val="Textebrut"/>
        <w:rPr>
          <w:b/>
          <w:bCs/>
        </w:rPr>
      </w:pPr>
      <w:r w:rsidRPr="00C43169">
        <w:rPr>
          <w:b/>
          <w:bCs/>
        </w:rPr>
        <w:t>Nicotine : le Conseil d’Etat suspend le décret d’interdiction de vente de sachet prévu pour avril 2026 (Le Monde, 22/12/2025).</w:t>
      </w:r>
    </w:p>
    <w:p w14:paraId="4A69C17E" w14:textId="77777777" w:rsidR="00C43169" w:rsidRPr="00C43169" w:rsidRDefault="00C43169" w:rsidP="00C43169">
      <w:pPr>
        <w:pStyle w:val="Textebrut"/>
      </w:pPr>
      <w:r w:rsidRPr="00C43169">
        <w:t>L’entrée en vigueur de ce décret était prévue pour le 1ᵉʳ avril 2026, s’inscrivant dans un contexte plus large de nouvelles mesures antitabac en France, dont l’interdiction des cigarettes électroniques jetables, ou l’interdiction de fumer dans les espaces publics</w:t>
      </w:r>
    </w:p>
    <w:p w14:paraId="0FC6CF73" w14:textId="5630D012" w:rsidR="005D1F89" w:rsidRDefault="00C43169" w:rsidP="00C43169">
      <w:pPr>
        <w:pStyle w:val="Textebrut"/>
      </w:pPr>
      <w:hyperlink r:id="rId156" w:history="1">
        <w:r w:rsidRPr="00C43169">
          <w:rPr>
            <w:rStyle w:val="Lienhypertexte"/>
          </w:rPr>
          <w:t>https://www.lemonde.fr/sante/article/2025/12/22/nicotine-le-conseil-d-etat-suspend-le-decret-d-interdiction-de-vente-de-sachet-prevu-pour-avril-2026_6659155_1651302.html</w:t>
        </w:r>
      </w:hyperlink>
    </w:p>
    <w:p w14:paraId="5A81075A" w14:textId="77777777" w:rsidR="00C43169" w:rsidRDefault="00C43169" w:rsidP="00C43169">
      <w:pPr>
        <w:pStyle w:val="Textebrut"/>
      </w:pPr>
    </w:p>
    <w:p w14:paraId="41747C4D" w14:textId="77777777" w:rsidR="004063D1" w:rsidRPr="004063D1" w:rsidRDefault="004063D1" w:rsidP="004063D1">
      <w:pPr>
        <w:pStyle w:val="Textebrut"/>
        <w:rPr>
          <w:b/>
          <w:bCs/>
        </w:rPr>
      </w:pPr>
      <w:r w:rsidRPr="004063D1">
        <w:rPr>
          <w:b/>
          <w:bCs/>
        </w:rPr>
        <w:t>Asafo : un outil encore très perfectible (Le Moniteur des pharmacies, 22/12/2025).</w:t>
      </w:r>
    </w:p>
    <w:p w14:paraId="2CD1615A" w14:textId="77777777" w:rsidR="004063D1" w:rsidRPr="004063D1" w:rsidRDefault="004063D1" w:rsidP="004063D1">
      <w:pPr>
        <w:pStyle w:val="Textebrut"/>
      </w:pPr>
      <w:r w:rsidRPr="004063D1">
        <w:t>Fraudes massives, trafics organisés, officines en première ligne : face à des pertes évaluées à plus de 628 millions d’euros en 2024, l’Assurance maladie a déployé Asafo, un téléservice national de signalement des fausses ordonnances. Un an après son lancement, l’outil affiche des résultats mais reste lourd, mal intégré et insuffisant selon les pharmaciens</w:t>
      </w:r>
    </w:p>
    <w:p w14:paraId="77908931" w14:textId="77777777" w:rsidR="004063D1" w:rsidRPr="004063D1" w:rsidRDefault="004063D1" w:rsidP="004063D1">
      <w:pPr>
        <w:pStyle w:val="Textebrut"/>
      </w:pPr>
      <w:hyperlink r:id="rId157" w:history="1">
        <w:r w:rsidRPr="004063D1">
          <w:rPr>
            <w:rStyle w:val="Lienhypertexte"/>
          </w:rPr>
          <w:t>https://www.lemoniteurdespharmacies.fr/profession/socio-professionnel/asafo-un-outil-encore-tres-perfectible</w:t>
        </w:r>
      </w:hyperlink>
    </w:p>
    <w:p w14:paraId="67C4CCDF" w14:textId="77777777" w:rsidR="00C43169" w:rsidRDefault="00C43169" w:rsidP="00C43169">
      <w:pPr>
        <w:pStyle w:val="Textebrut"/>
      </w:pPr>
    </w:p>
    <w:p w14:paraId="4CD6CD73" w14:textId="77777777" w:rsidR="00804B9C" w:rsidRPr="00804B9C" w:rsidRDefault="00804B9C" w:rsidP="00804B9C">
      <w:pPr>
        <w:pStyle w:val="Textebrut"/>
        <w:rPr>
          <w:b/>
          <w:bCs/>
        </w:rPr>
      </w:pPr>
      <w:r w:rsidRPr="00804B9C">
        <w:rPr>
          <w:b/>
          <w:bCs/>
        </w:rPr>
        <w:t>Tensions économiques : les pharmaciens dans la tourmente (Le Moniteur des pharmacies, 22/12/2025).</w:t>
      </w:r>
    </w:p>
    <w:p w14:paraId="679492A9" w14:textId="77777777" w:rsidR="00804B9C" w:rsidRPr="00804B9C" w:rsidRDefault="00804B9C" w:rsidP="00804B9C">
      <w:pPr>
        <w:pStyle w:val="Textebrut"/>
      </w:pPr>
      <w:r w:rsidRPr="00804B9C">
        <w:t>Le marché des génériques, pilier économique des pharmacies, vacille : prix bas, pénuries et production concentrée fragilisent marges et approvisionnement. Anticipation et maîtrise de la substitution deviennent essentielles face à une politique du médicament à bout de souffle</w:t>
      </w:r>
    </w:p>
    <w:p w14:paraId="49CB4E16" w14:textId="77777777" w:rsidR="00804B9C" w:rsidRPr="00804B9C" w:rsidRDefault="00804B9C" w:rsidP="00804B9C">
      <w:pPr>
        <w:pStyle w:val="Textebrut"/>
      </w:pPr>
      <w:hyperlink r:id="rId158" w:history="1">
        <w:r w:rsidRPr="00804B9C">
          <w:rPr>
            <w:rStyle w:val="Lienhypertexte"/>
          </w:rPr>
          <w:t>https://www.lemoniteurdespharmacies.fr/business/economie/strategie-et-gestion/tensions-economiques-les-pharmaciens-dans-la-tourmente</w:t>
        </w:r>
      </w:hyperlink>
    </w:p>
    <w:p w14:paraId="6774F743" w14:textId="77777777" w:rsidR="004063D1" w:rsidRDefault="004063D1" w:rsidP="00C43169">
      <w:pPr>
        <w:pStyle w:val="Textebrut"/>
      </w:pPr>
    </w:p>
    <w:p w14:paraId="744DC37D" w14:textId="77777777" w:rsidR="00804B9C" w:rsidRPr="00804B9C" w:rsidRDefault="00804B9C" w:rsidP="00804B9C">
      <w:pPr>
        <w:pStyle w:val="Textebrut"/>
        <w:rPr>
          <w:b/>
          <w:bCs/>
        </w:rPr>
      </w:pPr>
      <w:r w:rsidRPr="00804B9C">
        <w:rPr>
          <w:b/>
          <w:bCs/>
        </w:rPr>
        <w:t>Exposition humaine aux médicaments vétérinaires : prévenir les situations à risque (Le Moniteur des pharmacies, 22/12/2025).</w:t>
      </w:r>
    </w:p>
    <w:p w14:paraId="66517790" w14:textId="77777777" w:rsidR="00804B9C" w:rsidRPr="00804B9C" w:rsidRDefault="00804B9C" w:rsidP="00804B9C">
      <w:pPr>
        <w:pStyle w:val="Textebrut"/>
      </w:pPr>
      <w:r w:rsidRPr="00804B9C">
        <w:t>Les effets indésirables liés aux produits vétérinaires peuvent toucher l’animal traité ainsi que les personnes exposées. Le suivi des déclarations d’incidents chez l’humain permet d’identifier les situations à risque pour le propriétaire</w:t>
      </w:r>
    </w:p>
    <w:p w14:paraId="5E64B18B" w14:textId="77777777" w:rsidR="00804B9C" w:rsidRPr="00804B9C" w:rsidRDefault="00804B9C" w:rsidP="00804B9C">
      <w:pPr>
        <w:pStyle w:val="Textebrut"/>
      </w:pPr>
      <w:hyperlink r:id="rId159" w:history="1">
        <w:r w:rsidRPr="00804B9C">
          <w:rPr>
            <w:rStyle w:val="Lienhypertexte"/>
          </w:rPr>
          <w:t>https://www.lemoniteurdespharmacies.fr/therapeutique/medicaments/mieux-delivrer/exposition-humaine-aux-medicaments-veterinaires-prevenir-les-situations-a-risque</w:t>
        </w:r>
      </w:hyperlink>
    </w:p>
    <w:p w14:paraId="0707940C" w14:textId="77777777" w:rsidR="00804B9C" w:rsidRDefault="00804B9C" w:rsidP="00C43169">
      <w:pPr>
        <w:pStyle w:val="Textebrut"/>
      </w:pPr>
    </w:p>
    <w:p w14:paraId="6A96541C" w14:textId="77777777" w:rsidR="000E5B4D" w:rsidRPr="000E5B4D" w:rsidRDefault="000E5B4D" w:rsidP="000E5B4D">
      <w:pPr>
        <w:pStyle w:val="Textebrut"/>
        <w:rPr>
          <w:b/>
          <w:bCs/>
        </w:rPr>
      </w:pPr>
      <w:r w:rsidRPr="000E5B4D">
        <w:rPr>
          <w:b/>
          <w:bCs/>
        </w:rPr>
        <w:t>La protection sociale en France et en Europe en 2024 - Résultats des comptes de la protection sociale - Édition 2025 (DREES, 18/12/2025).</w:t>
      </w:r>
    </w:p>
    <w:p w14:paraId="24259E40" w14:textId="77777777" w:rsidR="000E5B4D" w:rsidRPr="000E5B4D" w:rsidRDefault="000E5B4D" w:rsidP="000E5B4D">
      <w:pPr>
        <w:pStyle w:val="Textebrut"/>
      </w:pPr>
      <w:r w:rsidRPr="000E5B4D">
        <w:t>La Direction de la recherche, des études, de l’évaluation et des statistiques (Drees) publie La protection sociale en France et en Europe en 2024. Ce Panorama analyse les principaux résultats des comptes de la protection sociale pour l’année 2024, pour la France et pour l’ensemble des pays européens. Au-delà de l’exercice comptable, ce Panorama retrace l’évolution des politiques sociales en France et en Europe</w:t>
      </w:r>
    </w:p>
    <w:p w14:paraId="5234BC30" w14:textId="77777777" w:rsidR="000E5B4D" w:rsidRPr="000E5B4D" w:rsidRDefault="000E5B4D" w:rsidP="000E5B4D">
      <w:pPr>
        <w:pStyle w:val="Textebrut"/>
      </w:pPr>
      <w:hyperlink r:id="rId160" w:history="1">
        <w:r w:rsidRPr="000E5B4D">
          <w:rPr>
            <w:rStyle w:val="Lienhypertexte"/>
          </w:rPr>
          <w:t>https://drees.solidarites-sante.gouv.fr/publications-communique-de-presse/panoramas-de-la-drees/251217-protection-sociale-france-europe-2024</w:t>
        </w:r>
      </w:hyperlink>
    </w:p>
    <w:p w14:paraId="3733CC78" w14:textId="77777777" w:rsidR="00804B9C" w:rsidRDefault="00804B9C" w:rsidP="00C43169">
      <w:pPr>
        <w:pStyle w:val="Textebrut"/>
      </w:pPr>
    </w:p>
    <w:p w14:paraId="1A218DDD" w14:textId="77777777" w:rsidR="00F77138" w:rsidRPr="00F77138" w:rsidRDefault="00F77138" w:rsidP="00F77138">
      <w:pPr>
        <w:pStyle w:val="Textebrut"/>
        <w:rPr>
          <w:b/>
          <w:bCs/>
        </w:rPr>
      </w:pPr>
      <w:r w:rsidRPr="00F77138">
        <w:rPr>
          <w:b/>
          <w:bCs/>
        </w:rPr>
        <w:t>Détournement de brevets : la riposte européenne s’organise (Le Moniteur des pharmacies, 23/12/2025).</w:t>
      </w:r>
    </w:p>
    <w:p w14:paraId="144C140E" w14:textId="77777777" w:rsidR="00F77138" w:rsidRPr="00F77138" w:rsidRDefault="00F77138" w:rsidP="00F77138">
      <w:pPr>
        <w:pStyle w:val="Textebrut"/>
      </w:pPr>
      <w:r w:rsidRPr="00F77138">
        <w:t>Batailles juridiques, brevets prolongés, génériques bloqués : les pratiques des laboratoires inquiètent Bruxelles. L’Europe veut repenser son système de brevets pour concilier innovation, concurrence et accès aux soins</w:t>
      </w:r>
    </w:p>
    <w:p w14:paraId="45AA1C7A" w14:textId="77777777" w:rsidR="00F77138" w:rsidRPr="00F77138" w:rsidRDefault="00F77138" w:rsidP="00F77138">
      <w:pPr>
        <w:pStyle w:val="Textebrut"/>
      </w:pPr>
      <w:hyperlink r:id="rId161" w:history="1">
        <w:r w:rsidRPr="00F77138">
          <w:rPr>
            <w:rStyle w:val="Lienhypertexte"/>
          </w:rPr>
          <w:t>https://www.lemoniteurdespharmacies.fr/business/economie/strategie-et-gestion/detournement-de-brevets-la-riposte-europeenne-sorganise</w:t>
        </w:r>
      </w:hyperlink>
    </w:p>
    <w:p w14:paraId="18962763" w14:textId="77777777" w:rsidR="000E5B4D" w:rsidRDefault="000E5B4D" w:rsidP="00C43169">
      <w:pPr>
        <w:pStyle w:val="Textebrut"/>
      </w:pPr>
    </w:p>
    <w:p w14:paraId="688A8BCD" w14:textId="77777777" w:rsidR="00F77138" w:rsidRPr="00F77138" w:rsidRDefault="00F77138" w:rsidP="00F77138">
      <w:pPr>
        <w:pStyle w:val="Textebrut"/>
        <w:rPr>
          <w:b/>
          <w:bCs/>
        </w:rPr>
      </w:pPr>
      <w:r w:rsidRPr="00F77138">
        <w:rPr>
          <w:b/>
          <w:bCs/>
        </w:rPr>
        <w:t>Réseau France Santé : une dizaine d’officines déjà sélectionnées (Le Moniteur des pharmacies, 23/12/2025).</w:t>
      </w:r>
    </w:p>
    <w:p w14:paraId="26221C67" w14:textId="77777777" w:rsidR="00F77138" w:rsidRPr="00F77138" w:rsidRDefault="00F77138" w:rsidP="00F77138">
      <w:pPr>
        <w:pStyle w:val="Textebrut"/>
      </w:pPr>
      <w:r w:rsidRPr="00F77138">
        <w:t>La première vague de labellisation des futures Maisons France Santé a commencé. Des dizaines de structures de soins ont été sélectionnées par les agences régionales de Santé (ARS), parmi lesquelles figurent également des officines</w:t>
      </w:r>
    </w:p>
    <w:p w14:paraId="05A86899" w14:textId="77777777" w:rsidR="00F77138" w:rsidRPr="00F77138" w:rsidRDefault="00F77138" w:rsidP="00F77138">
      <w:pPr>
        <w:pStyle w:val="Textebrut"/>
      </w:pPr>
      <w:hyperlink r:id="rId162" w:history="1">
        <w:r w:rsidRPr="00F77138">
          <w:rPr>
            <w:rStyle w:val="Lienhypertexte"/>
          </w:rPr>
          <w:t>https://www.lemoniteurdespharmacies.fr/profession/interpro/reseau-france-sante-une-dizaine-dofficines-deja-selectionnees</w:t>
        </w:r>
      </w:hyperlink>
    </w:p>
    <w:p w14:paraId="4DF8E7AB" w14:textId="77777777" w:rsidR="00F77138" w:rsidRDefault="00F77138" w:rsidP="00C43169">
      <w:pPr>
        <w:pStyle w:val="Textebrut"/>
      </w:pPr>
    </w:p>
    <w:p w14:paraId="088454DB" w14:textId="77777777" w:rsidR="00F77138" w:rsidRDefault="00F77138" w:rsidP="00C43169">
      <w:pPr>
        <w:pStyle w:val="Textebrut"/>
      </w:pPr>
    </w:p>
    <w:p w14:paraId="021FC2C9" w14:textId="77777777" w:rsidR="00F77138" w:rsidRDefault="00F77138" w:rsidP="00C43169">
      <w:pPr>
        <w:pStyle w:val="Textebrut"/>
      </w:pPr>
    </w:p>
    <w:p w14:paraId="2EC9C346" w14:textId="77777777" w:rsidR="00C73E01" w:rsidRDefault="00C73E01" w:rsidP="00361AD6">
      <w:pPr>
        <w:pStyle w:val="Textebrut"/>
      </w:pPr>
    </w:p>
    <w:p w14:paraId="0D551938" w14:textId="77777777" w:rsidR="00C73E01" w:rsidRDefault="00C73E01" w:rsidP="00361AD6">
      <w:pPr>
        <w:pStyle w:val="Textebrut"/>
      </w:pPr>
    </w:p>
    <w:p w14:paraId="14B52E95" w14:textId="77777777" w:rsidR="00C73E01" w:rsidRDefault="00C73E01" w:rsidP="00361AD6">
      <w:pPr>
        <w:pStyle w:val="Textebrut"/>
      </w:pPr>
    </w:p>
    <w:p w14:paraId="05C8D2ED" w14:textId="77777777" w:rsidR="00C73E01" w:rsidRDefault="00C73E01" w:rsidP="00C73E01">
      <w:pPr>
        <w:pStyle w:val="PEPS"/>
      </w:pPr>
      <w:r>
        <w:t>Rubrique ruptures :</w:t>
      </w:r>
    </w:p>
    <w:p w14:paraId="04508031"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1F528878" w14:textId="77777777" w:rsidR="005C757B" w:rsidRDefault="005C757B" w:rsidP="00361AD6">
      <w:pPr>
        <w:pStyle w:val="Textebrut"/>
      </w:pPr>
      <w:r>
        <w:t>L’information complète et actualisée de la situation de toutes les spécialités est disponible sur le site de l’ANSM :</w:t>
      </w:r>
    </w:p>
    <w:p w14:paraId="3C4A2951" w14:textId="77777777" w:rsidR="00C73E01" w:rsidRDefault="005C757B" w:rsidP="00361AD6">
      <w:pPr>
        <w:pStyle w:val="Textebrut"/>
      </w:pPr>
      <w:hyperlink r:id="rId163" w:history="1">
        <w:r w:rsidRPr="003C18E1">
          <w:rPr>
            <w:rStyle w:val="Lienhypertexte"/>
          </w:rPr>
          <w:t>https://ansm.sante.fr/disponibilites-des-produits-de-sante/medicaments</w:t>
        </w:r>
      </w:hyperlink>
    </w:p>
    <w:p w14:paraId="041FCFB9" w14:textId="77777777" w:rsidR="005C757B" w:rsidRDefault="005C757B" w:rsidP="00361AD6">
      <w:pPr>
        <w:pStyle w:val="Textebrut"/>
      </w:pPr>
    </w:p>
    <w:p w14:paraId="208C4630" w14:textId="77777777" w:rsidR="00B864F0" w:rsidRPr="00B864F0" w:rsidRDefault="00B864F0" w:rsidP="00B864F0">
      <w:pPr>
        <w:pStyle w:val="Textebrut"/>
        <w:rPr>
          <w:b/>
          <w:bCs/>
        </w:rPr>
      </w:pPr>
      <w:r w:rsidRPr="00B864F0">
        <w:rPr>
          <w:b/>
          <w:bCs/>
        </w:rPr>
        <w:t>Plan hivernal (ANSM, actualisation du 19/12/2025)</w:t>
      </w:r>
    </w:p>
    <w:p w14:paraId="406D602D" w14:textId="77777777" w:rsidR="00B864F0" w:rsidRPr="00B864F0" w:rsidRDefault="00B864F0" w:rsidP="00B864F0">
      <w:pPr>
        <w:pStyle w:val="Textebrut"/>
      </w:pPr>
      <w:hyperlink r:id="rId164" w:history="1">
        <w:r w:rsidRPr="00B864F0">
          <w:rPr>
            <w:rStyle w:val="Lienhypertexte"/>
          </w:rPr>
          <w:t>https://ansm.sante.fr/dossiers-thematiques/plan-hivernal</w:t>
        </w:r>
      </w:hyperlink>
    </w:p>
    <w:p w14:paraId="4EAD0160" w14:textId="77777777" w:rsidR="00B864F0" w:rsidRPr="00B864F0" w:rsidRDefault="00B864F0" w:rsidP="00FA7426">
      <w:pPr>
        <w:pStyle w:val="Textebrut"/>
      </w:pPr>
    </w:p>
    <w:p w14:paraId="46D26439" w14:textId="04446395" w:rsidR="00FA7426" w:rsidRPr="00FA7426" w:rsidRDefault="00FA7426" w:rsidP="00FA7426">
      <w:pPr>
        <w:pStyle w:val="Textebrut"/>
        <w:rPr>
          <w:b/>
          <w:bCs/>
        </w:rPr>
      </w:pPr>
      <w:r w:rsidRPr="00FA7426">
        <w:rPr>
          <w:b/>
          <w:bCs/>
        </w:rPr>
        <w:t>Plan hivernal 2025-2026 : point sur l’approvisionnement en médicaments (ANSM, 15/12/2025).</w:t>
      </w:r>
    </w:p>
    <w:p w14:paraId="105BBD58" w14:textId="77777777" w:rsidR="00FA7426" w:rsidRPr="00FA7426" w:rsidRDefault="00FA7426" w:rsidP="00FA7426">
      <w:pPr>
        <w:pStyle w:val="Textebrut"/>
      </w:pPr>
      <w:r w:rsidRPr="00FA7426">
        <w:t>L’ANSM a réuni le 11 décembre 2025 des représentants des patients, des professionnels de santé, des acteurs de la chaîne du médicament et des institutions dans le cadre du suivi du plan hivernal afin de partager le point de situation épidémiologique mensuel, d’analyser les données d’approvisionnement des médicaments suivis dans le cadre du plan hivernal, et de recueillir les retours du terrain.</w:t>
      </w:r>
    </w:p>
    <w:p w14:paraId="2A7B9C42" w14:textId="77777777" w:rsidR="00FA7426" w:rsidRPr="00FA7426" w:rsidRDefault="00FA7426" w:rsidP="00FA7426">
      <w:pPr>
        <w:pStyle w:val="Textebrut"/>
      </w:pPr>
      <w:r w:rsidRPr="00FA7426">
        <w:t>Alors que la saison hivernale s’installe, les virus circulent davantage et les pharmacies enregistrent une augmentation saisonnière comme attendu des ventes de médicaments. La couverture des besoins des patients est assurée. Cette rencontre a permis de revenir sur l’augmentation de la consommation en antibiotiques observée en 2024. L’usage abusif et/ou inapproprié des antibiotiques contribue au développement et à la dissémination de bactéries résistantes</w:t>
      </w:r>
    </w:p>
    <w:p w14:paraId="632647CC" w14:textId="77777777" w:rsidR="00FA7426" w:rsidRPr="00FA7426" w:rsidRDefault="00FA7426" w:rsidP="00FA7426">
      <w:pPr>
        <w:pStyle w:val="Textebrut"/>
      </w:pPr>
      <w:hyperlink r:id="rId165" w:history="1">
        <w:r w:rsidRPr="00FA7426">
          <w:rPr>
            <w:rStyle w:val="Lienhypertexte"/>
          </w:rPr>
          <w:t>https://ansm.sante.fr/actualites/plan-hivernal-2025-2026-point-sur-lapprovisionnement-en-medicaments</w:t>
        </w:r>
      </w:hyperlink>
    </w:p>
    <w:p w14:paraId="4D5EAAE4" w14:textId="77777777" w:rsidR="00FA7426" w:rsidRPr="00FA7426" w:rsidRDefault="00FA7426" w:rsidP="00CD001A">
      <w:pPr>
        <w:pStyle w:val="Textebrut"/>
      </w:pPr>
    </w:p>
    <w:p w14:paraId="6F71D3EF" w14:textId="673A9478" w:rsidR="00CD001A" w:rsidRPr="00CD001A" w:rsidRDefault="00CD001A" w:rsidP="00CD001A">
      <w:pPr>
        <w:pStyle w:val="Textebrut"/>
        <w:rPr>
          <w:b/>
          <w:bCs/>
        </w:rPr>
      </w:pPr>
      <w:r w:rsidRPr="00CD001A">
        <w:rPr>
          <w:b/>
          <w:bCs/>
        </w:rPr>
        <w:t>DP-Ruptures : la nouvelle version de l’outil de l’Ordre (CNOP, 11/12/2025).</w:t>
      </w:r>
    </w:p>
    <w:p w14:paraId="7CDC70D4" w14:textId="77777777" w:rsidR="00CD001A" w:rsidRPr="00CD001A" w:rsidRDefault="00CD001A" w:rsidP="00CD001A">
      <w:pPr>
        <w:pStyle w:val="Textebrut"/>
      </w:pPr>
      <w:r w:rsidRPr="00CD001A">
        <w:t>Le DP-Ruptures est un service mis à disposition des laboratoires exploitants, des grossistes répartiteurs et des pharmaciens dispensateurs permettant un échange d’information en matière d'approvisionnement des spécialités pharmaceutiques. Tour d’horizon des nouveautés intégrées dans la nouvelle version de cet outil central pour la lutte contre les tensions d’approvisionnement</w:t>
      </w:r>
    </w:p>
    <w:p w14:paraId="2FE182B5" w14:textId="77777777" w:rsidR="00CD001A" w:rsidRPr="00CD001A" w:rsidRDefault="00CD001A" w:rsidP="00CD001A">
      <w:pPr>
        <w:pStyle w:val="Textebrut"/>
      </w:pPr>
      <w:hyperlink r:id="rId166" w:history="1">
        <w:r w:rsidRPr="00CD001A">
          <w:rPr>
            <w:rStyle w:val="Lienhypertexte"/>
          </w:rPr>
          <w:t>https://www.ordre.pharmacien.fr/les-communications/focus-sur/les-actualites/dp-ruptures-la-nouvelle-version-de-l-outil-de-l-ordre</w:t>
        </w:r>
      </w:hyperlink>
    </w:p>
    <w:p w14:paraId="1736C005" w14:textId="77777777" w:rsidR="00CD001A" w:rsidRDefault="00CD001A" w:rsidP="00361AD6">
      <w:pPr>
        <w:pStyle w:val="Textebrut"/>
      </w:pPr>
    </w:p>
    <w:p w14:paraId="32A30626" w14:textId="77777777" w:rsidR="00400D81" w:rsidRPr="00400D81" w:rsidRDefault="00400D81" w:rsidP="00400D81">
      <w:pPr>
        <w:pStyle w:val="Textebrut"/>
        <w:rPr>
          <w:b/>
          <w:bCs/>
        </w:rPr>
      </w:pPr>
      <w:r w:rsidRPr="00400D81">
        <w:rPr>
          <w:b/>
          <w:bCs/>
        </w:rPr>
        <w:t>Point de situation sur l’approvisionnement en médicaments psychotropes en France au 4 décembre 2025 (ANSM, 09/12/2025).</w:t>
      </w:r>
    </w:p>
    <w:p w14:paraId="332FB560" w14:textId="77777777" w:rsidR="00400D81" w:rsidRPr="00400D81" w:rsidRDefault="00400D81" w:rsidP="00400D81">
      <w:pPr>
        <w:pStyle w:val="Textebrut"/>
      </w:pPr>
      <w:r w:rsidRPr="00400D81">
        <w:t>Poursuivant sa mobilisation pour lutter contre les tensions d’approvisionnement en médicaments psychotropes, l’ANSM fait le point sur les dernières évolutions concernant leur disponibilité en France.</w:t>
      </w:r>
    </w:p>
    <w:p w14:paraId="484DE7FC" w14:textId="77777777" w:rsidR="00400D81" w:rsidRPr="00400D81" w:rsidRDefault="00400D81" w:rsidP="00400D81">
      <w:pPr>
        <w:pStyle w:val="Textebrut"/>
      </w:pPr>
      <w:r w:rsidRPr="00400D81">
        <w:t xml:space="preserve">De manière générale, la situation tend à s’améliorer progressivement. Des tensions subsistent dans certaines régions quand d’autres régions ont retrouvé une situation quasi-normale. La disponibilité en pharmacie reste dépendante des dates effectives d’approvisionnement en médicaments. Dans ce contexte, l’ANSM maintient avec </w:t>
      </w:r>
      <w:r w:rsidRPr="00400D81">
        <w:lastRenderedPageBreak/>
        <w:t>l’ensemble des acteurs son suivi rapproché. Par ailleurs, nous restons fortement engagés dans la stratégie de renforcement de l’offre de soin visant l’élargissement de l’offre de soin en France et la sécurisation à long terme de l’approvisionnement en médicaments</w:t>
      </w:r>
    </w:p>
    <w:p w14:paraId="6FC98CA7" w14:textId="77777777" w:rsidR="00400D81" w:rsidRPr="00400D81" w:rsidRDefault="00400D81" w:rsidP="00400D81">
      <w:pPr>
        <w:pStyle w:val="Textebrut"/>
      </w:pPr>
      <w:hyperlink r:id="rId167" w:history="1">
        <w:r w:rsidRPr="00400D81">
          <w:rPr>
            <w:rStyle w:val="Lienhypertexte"/>
          </w:rPr>
          <w:t>https://ansm.sante.fr/actualites/point-de-situation-sur-lapprovisionnement-en-medicaments-psychotropes-en-france-au-4-decembre-2025</w:t>
        </w:r>
      </w:hyperlink>
    </w:p>
    <w:p w14:paraId="78920518" w14:textId="77777777" w:rsidR="00400D81" w:rsidRDefault="00400D81" w:rsidP="002B19D0">
      <w:pPr>
        <w:pStyle w:val="Textebrut"/>
      </w:pPr>
    </w:p>
    <w:p w14:paraId="400D286C" w14:textId="5964515B" w:rsidR="002B19D0" w:rsidRPr="00400D81" w:rsidRDefault="002B19D0" w:rsidP="002B19D0">
      <w:pPr>
        <w:pStyle w:val="Textebrut"/>
        <w:rPr>
          <w:b/>
          <w:bCs/>
        </w:rPr>
      </w:pPr>
      <w:r w:rsidRPr="00400D81">
        <w:rPr>
          <w:b/>
          <w:bCs/>
        </w:rPr>
        <w:t>Point de situation sur les approvisionnements des produits de contraste (ANSM, actualisation du 04/12/2025).</w:t>
      </w:r>
    </w:p>
    <w:p w14:paraId="53D47FFD" w14:textId="77777777" w:rsidR="002B19D0" w:rsidRPr="002B19D0" w:rsidRDefault="002B19D0" w:rsidP="002B19D0">
      <w:pPr>
        <w:pStyle w:val="Textebrut"/>
      </w:pPr>
      <w:r w:rsidRPr="002B19D0">
        <w:t>Pour faciliter l’identification des produits de contraste disponibles dans les laboratoires par les professionnels de santé et patients concernés, nous publions un point de situation de ceux qui sont commercialisés en France. Construits à partir des données transmises par les laboratoires, ces tableaux seront régulièrement actualisés</w:t>
      </w:r>
    </w:p>
    <w:p w14:paraId="1A3EF510" w14:textId="77777777" w:rsidR="002B19D0" w:rsidRPr="002B19D0" w:rsidRDefault="002B19D0" w:rsidP="002B19D0">
      <w:pPr>
        <w:pStyle w:val="Textebrut"/>
      </w:pPr>
      <w:hyperlink r:id="rId168" w:history="1">
        <w:r w:rsidRPr="002B19D0">
          <w:rPr>
            <w:rStyle w:val="Lienhypertexte"/>
          </w:rPr>
          <w:t>https://ansm.sante.fr/actualites/point-de-situation-sur-les-approvisionnements-des-produits-de-contraste</w:t>
        </w:r>
      </w:hyperlink>
    </w:p>
    <w:p w14:paraId="08FEE779" w14:textId="77777777" w:rsidR="002B19D0" w:rsidRDefault="002B19D0" w:rsidP="00044F16">
      <w:pPr>
        <w:pStyle w:val="Textebrut"/>
      </w:pPr>
    </w:p>
    <w:p w14:paraId="3D037A9A" w14:textId="54F653EF" w:rsidR="00044F16" w:rsidRPr="00044F16" w:rsidRDefault="00044F16" w:rsidP="00044F16">
      <w:pPr>
        <w:pStyle w:val="Textebrut"/>
      </w:pPr>
      <w:r w:rsidRPr="00044F16">
        <w:t>Octim 150 microgrammes/dose, solution pour pulvérisation nasale – [acétate de desmopressine trihydraté] – Rupture de stock depuis le 17/08/2020 (ANSM, actualisation du 28/11/2025).</w:t>
      </w:r>
    </w:p>
    <w:p w14:paraId="4983282F" w14:textId="77777777" w:rsidR="00044F16" w:rsidRPr="00044F16" w:rsidRDefault="00044F16" w:rsidP="00044F16">
      <w:pPr>
        <w:pStyle w:val="Textebrut"/>
      </w:pPr>
      <w:r w:rsidRPr="00044F16">
        <w:t>Consultez le courrier du laboratoire Ferring SAS d'octobre 2025 à destination des patients : Courrier du laboratoire Ferring SAS à destination des patients (28/11/2025). Remise à disposition en janvier 2026</w:t>
      </w:r>
    </w:p>
    <w:p w14:paraId="47A95C6E" w14:textId="77777777" w:rsidR="00044F16" w:rsidRPr="00044F16" w:rsidRDefault="00044F16" w:rsidP="00044F16">
      <w:pPr>
        <w:pStyle w:val="Textebrut"/>
      </w:pPr>
      <w:hyperlink r:id="rId169" w:history="1">
        <w:r w:rsidRPr="00044F16">
          <w:rPr>
            <w:rStyle w:val="Lienhypertexte"/>
          </w:rPr>
          <w:t>https://ansm.sante.fr/disponibilites-des-produits-de-sante/medicaments/octim-150-microgrammes-dose-solution-pour-pulverisation-nasale-acetate-de-desmopressine-trihydrate</w:t>
        </w:r>
      </w:hyperlink>
    </w:p>
    <w:p w14:paraId="474BBB22" w14:textId="77777777" w:rsidR="00044F16" w:rsidRPr="00044F16" w:rsidRDefault="00044F16" w:rsidP="00044F16">
      <w:pPr>
        <w:pStyle w:val="Textebrut"/>
      </w:pPr>
      <w:r w:rsidRPr="00044F16">
        <w:t>Indisponibilité du médicament Octim (desmopressine) : mise à disposition des patients d’un guide pratique pour l’utilisation de l’alternative Octostim (ANSM, actualisation du 28/11/2025).</w:t>
      </w:r>
    </w:p>
    <w:p w14:paraId="3F56D2A8" w14:textId="77777777" w:rsidR="00044F16" w:rsidRPr="00044F16" w:rsidRDefault="00044F16" w:rsidP="00044F16">
      <w:pPr>
        <w:pStyle w:val="Textebrut"/>
      </w:pPr>
      <w:r w:rsidRPr="00044F16">
        <w:t>Le médicament Octim 150 µg/dose (solution pour pulvérisation nasale) sera remis à disposition à partir de janvier 2026. Pour des raisons de délais d’approvisionnement, il sera disponible en pharmacie environ 3 semaines après la reprise des approvisionnements. Le médicament Octostim 15 µg/mL (solution injectable) qui le remplaçait ne sera plus importé. Afin d’éviter toute rupture de traitement et de faciliter la transition : Nous invitons les patients à consulter leur médecin ou centre de référence d’ici janvier 2026 afin que leur traitement puisse être adapté ; nous demandons aux médecins d’anticiper la prescription d’Octim 150 µg/dose pour janvier 2026 en remplacement d’Octosim 15 µg/mL</w:t>
      </w:r>
    </w:p>
    <w:p w14:paraId="00DC3F91" w14:textId="77777777" w:rsidR="00044F16" w:rsidRPr="00044F16" w:rsidRDefault="00044F16" w:rsidP="00044F16">
      <w:pPr>
        <w:pStyle w:val="Textebrut"/>
      </w:pPr>
      <w:hyperlink r:id="rId170" w:history="1">
        <w:r w:rsidRPr="00044F16">
          <w:rPr>
            <w:rStyle w:val="Lienhypertexte"/>
          </w:rPr>
          <w:t>https://ansm.sante.fr/actualites/indisponibilite-du-medicament-octim-desmopressine-mise-a-disposition-des-patients-dun-guide-pratique-pour-lutilisation-de-lalternative-octostim</w:t>
        </w:r>
      </w:hyperlink>
    </w:p>
    <w:p w14:paraId="1C7F4A8F" w14:textId="77777777" w:rsidR="00044F16" w:rsidRPr="00044F16" w:rsidRDefault="00044F16" w:rsidP="00044F16">
      <w:pPr>
        <w:pStyle w:val="Textebrut"/>
      </w:pPr>
      <w:r w:rsidRPr="00044F16">
        <w:t>Défaut qualité des spécialités Minirin Spray 10 µg et Minirin 0,1 mg/ml endonasale : remise à disposition du Minirin Spray 10 µg (ANSM, actualisation du 28/11/2025).</w:t>
      </w:r>
    </w:p>
    <w:p w14:paraId="5A5C2238" w14:textId="77777777" w:rsidR="00044F16" w:rsidRPr="00044F16" w:rsidRDefault="00044F16" w:rsidP="00044F16">
      <w:pPr>
        <w:pStyle w:val="Textebrut"/>
      </w:pPr>
      <w:r w:rsidRPr="00044F16">
        <w:t>Le médicament Minirin Spray 10 µg/dose, solution endonasale en flacon pulvérisateur, sera remis à disposition à partir de janvier 2026. Pour des raisons de délais d’approvisionnement, il sera disponible en pharmacie dans un délai de 3 semaines environ après la reprise des approvisionnements par le laboratoire. Le médicament qui le remplaçait depuis 2020, Minurin 0,1 mg/ml solution endonasale, ne sera plus importé. Nous rappelons que les posologies des deux médicaments sont identiques, c’est-à-dire qu’une dose de Minirin Spray 10 µg = une dose de Minurin 0,1 mg/ml, solution endonasale. Nous invitons les patients à demander conseil à leur pharmacien ou à prendre contact avec leur médecin s’ils ont un doute sur la manière d’utiliser Minirin Spray 10 µg/dose</w:t>
      </w:r>
    </w:p>
    <w:p w14:paraId="1B99B49F" w14:textId="77777777" w:rsidR="00044F16" w:rsidRPr="00044F16" w:rsidRDefault="00044F16" w:rsidP="00044F16">
      <w:pPr>
        <w:pStyle w:val="Textebrut"/>
      </w:pPr>
      <w:hyperlink r:id="rId171" w:history="1">
        <w:r w:rsidRPr="00044F16">
          <w:rPr>
            <w:rStyle w:val="Lienhypertexte"/>
          </w:rPr>
          <w:t>https://ansm.sante.fr/actualites/defaut-qualite-des-specialites-minirin-spray-10-ug-et-minirin-0-1-mg-ml-endonasale-conduite-a-tenir-par-les-patients-et-les-professionnels-de-sante-actualisation-de-linformation-du-27-juillet-2020</w:t>
        </w:r>
      </w:hyperlink>
    </w:p>
    <w:p w14:paraId="09156459" w14:textId="77777777" w:rsidR="00553783" w:rsidRDefault="00553783" w:rsidP="00361AD6">
      <w:pPr>
        <w:pStyle w:val="Textebrut"/>
      </w:pPr>
    </w:p>
    <w:p w14:paraId="44393542" w14:textId="77777777" w:rsidR="00553783" w:rsidRPr="00553783" w:rsidRDefault="00553783" w:rsidP="00553783">
      <w:pPr>
        <w:pStyle w:val="Textebrut"/>
      </w:pPr>
      <w:r w:rsidRPr="00553783">
        <w:t>Epipen, solution injectable en stylo pré-rempli – [adrénaline] – Remise à disposition à partir du 28/11/2025 (ANSM, 28/11/2025)</w:t>
      </w:r>
    </w:p>
    <w:p w14:paraId="61BCF0CD" w14:textId="77777777" w:rsidR="00553783" w:rsidRPr="00553783" w:rsidRDefault="00553783" w:rsidP="00553783">
      <w:pPr>
        <w:pStyle w:val="Textebrut"/>
      </w:pPr>
      <w:hyperlink r:id="rId172" w:history="1">
        <w:r w:rsidRPr="00553783">
          <w:rPr>
            <w:rStyle w:val="Lienhypertexte"/>
          </w:rPr>
          <w:t>https://ansm.sante.fr/disponibilites-des-produits-de-sante/medicaments/epipen-solution-injectable-en-stylo-pre-rempli-adrenaline</w:t>
        </w:r>
      </w:hyperlink>
    </w:p>
    <w:p w14:paraId="5965C212" w14:textId="77777777" w:rsidR="00553783" w:rsidRDefault="00553783" w:rsidP="00361AD6">
      <w:pPr>
        <w:pStyle w:val="Textebrut"/>
      </w:pPr>
    </w:p>
    <w:p w14:paraId="544F9EAF" w14:textId="77777777" w:rsidR="003E25A0" w:rsidRPr="003E25A0" w:rsidRDefault="003E25A0" w:rsidP="003E25A0">
      <w:pPr>
        <w:pStyle w:val="Textebrut"/>
      </w:pPr>
      <w:r w:rsidRPr="003E25A0">
        <w:t>Vitamine B12 Delagrange 1000 microgrammes/2 ml, solution injectable (IM) et buvable – [cyanocobalamine] – Remise à disposition à partir du 01/12/2025 (ANSM, 01/12/2025)</w:t>
      </w:r>
    </w:p>
    <w:p w14:paraId="0D878661" w14:textId="77777777" w:rsidR="003E25A0" w:rsidRPr="003E25A0" w:rsidRDefault="003E25A0" w:rsidP="003E25A0">
      <w:pPr>
        <w:pStyle w:val="Textebrut"/>
      </w:pPr>
      <w:hyperlink r:id="rId173" w:history="1">
        <w:r w:rsidRPr="003E25A0">
          <w:rPr>
            <w:rStyle w:val="Lienhypertexte"/>
          </w:rPr>
          <w:t>https://ansm.sante.fr/disponibilites-des-produits-de-sante/medicaments/vitamine-b12-delagrange-1000-microgrammes-2-ml-solution-injectable-im-et-buvable-cyanocobalamine</w:t>
        </w:r>
      </w:hyperlink>
    </w:p>
    <w:p w14:paraId="0141BDCA" w14:textId="77777777" w:rsidR="009D3222" w:rsidRDefault="009D3222" w:rsidP="00361AD6">
      <w:pPr>
        <w:pStyle w:val="Textebrut"/>
      </w:pPr>
    </w:p>
    <w:p w14:paraId="6A94115A" w14:textId="77777777" w:rsidR="0017365B" w:rsidRPr="0017365B" w:rsidRDefault="0017365B" w:rsidP="0017365B">
      <w:pPr>
        <w:pStyle w:val="Textebrut"/>
      </w:pPr>
      <w:r w:rsidRPr="0017365B">
        <w:lastRenderedPageBreak/>
        <w:t>Rifinah 300 mg/150 mg, comprimé enrobé – [isoniazid, rifampicine] – Tension d’approvisionnement depuis le 15/02/2024 (ANSM, actualisation du 02/12/2025).</w:t>
      </w:r>
    </w:p>
    <w:p w14:paraId="4D6A9A2A" w14:textId="77777777" w:rsidR="0017365B" w:rsidRPr="0017365B" w:rsidRDefault="0017365B" w:rsidP="0017365B">
      <w:pPr>
        <w:pStyle w:val="Textebrut"/>
      </w:pPr>
      <w:r w:rsidRPr="0017365B">
        <w:t>Tension d’approvisionnement. Mise en place d’un contingentement quantitatif en ville et à l’hôpital. Remise à disposition normale indéterminée</w:t>
      </w:r>
    </w:p>
    <w:p w14:paraId="0DA90963" w14:textId="77777777" w:rsidR="0017365B" w:rsidRPr="0017365B" w:rsidRDefault="0017365B" w:rsidP="0017365B">
      <w:pPr>
        <w:pStyle w:val="Textebrut"/>
      </w:pPr>
      <w:hyperlink r:id="rId174" w:history="1">
        <w:r w:rsidRPr="0017365B">
          <w:rPr>
            <w:rStyle w:val="Lienhypertexte"/>
          </w:rPr>
          <w:t>https://ansm.sante.fr/disponibilites-des-produits-de-sante/medicaments/rifinah-300-mg-150-mg-comprime-enrobe-isoniazid-rifampicine</w:t>
        </w:r>
      </w:hyperlink>
    </w:p>
    <w:p w14:paraId="28D9E36C" w14:textId="77777777" w:rsidR="0017365B" w:rsidRPr="0017365B" w:rsidRDefault="0017365B" w:rsidP="0017365B">
      <w:pPr>
        <w:pStyle w:val="Textebrut"/>
      </w:pPr>
    </w:p>
    <w:p w14:paraId="49F67283" w14:textId="77777777" w:rsidR="0017365B" w:rsidRPr="0017365B" w:rsidRDefault="0017365B" w:rsidP="0017365B">
      <w:pPr>
        <w:pStyle w:val="Textebrut"/>
      </w:pPr>
      <w:r w:rsidRPr="0017365B">
        <w:t>Rifater, comprimé enrobé – [isoniazide, pyrazinamid, rifampicine] – Tension d’approvisionnement depuis le 21/ 03 /2024 (ANSM, actualisation du 02/12/2025).</w:t>
      </w:r>
    </w:p>
    <w:p w14:paraId="0E93E1FC" w14:textId="77777777" w:rsidR="0017365B" w:rsidRPr="0017365B" w:rsidRDefault="0017365B" w:rsidP="0017365B">
      <w:pPr>
        <w:pStyle w:val="Textebrut"/>
      </w:pPr>
      <w:r w:rsidRPr="0017365B">
        <w:t>Tension d’approvisionnement. Mise en place d’un contingentement quantitatif en ville et à l’hôpital. Remise à disposition normale indéterminée</w:t>
      </w:r>
    </w:p>
    <w:p w14:paraId="5A514495" w14:textId="77777777" w:rsidR="0017365B" w:rsidRPr="0017365B" w:rsidRDefault="0017365B" w:rsidP="0017365B">
      <w:pPr>
        <w:pStyle w:val="Textebrut"/>
      </w:pPr>
      <w:hyperlink r:id="rId175" w:history="1">
        <w:r w:rsidRPr="0017365B">
          <w:rPr>
            <w:rStyle w:val="Lienhypertexte"/>
          </w:rPr>
          <w:t>https://ansm.sante.fr/disponibilites-des-produits-de-sante/medicaments/rifater-comprime-enrobe-isoniazide-pyrazinamid-rifampicine</w:t>
        </w:r>
      </w:hyperlink>
    </w:p>
    <w:p w14:paraId="6A75AFB1" w14:textId="77777777" w:rsidR="0017365B" w:rsidRDefault="0017365B" w:rsidP="00361AD6">
      <w:pPr>
        <w:pStyle w:val="Textebrut"/>
      </w:pPr>
    </w:p>
    <w:p w14:paraId="7E1E7A17" w14:textId="77777777" w:rsidR="00BF2654" w:rsidRPr="00BF2654" w:rsidRDefault="00BF2654" w:rsidP="00BF2654">
      <w:pPr>
        <w:pStyle w:val="Textebrut"/>
      </w:pPr>
      <w:r w:rsidRPr="00BF2654">
        <w:t>Teralithe 250 mg, comprimé sécable – [lithium (carbonate de)] – Tension d’approvisionnement depuis le 17/09/2025 (ANSM, 08/12/2025).</w:t>
      </w:r>
    </w:p>
    <w:p w14:paraId="723ED018" w14:textId="77777777" w:rsidR="00BF2654" w:rsidRPr="00BF2654" w:rsidRDefault="00BF2654" w:rsidP="00BF2654">
      <w:pPr>
        <w:pStyle w:val="Textebrut"/>
      </w:pPr>
      <w:r w:rsidRPr="00BF2654">
        <w:t>Situation en ville : tension.  Situation à l'hôpital : tension.  Contingentement quantitatif en ville et à l'hôpital.  Disponibilité d'un stock limité de dépannage d'urgence en ville et à l'hôpital. Lettre d’information du laboratoire en date du 22/10/2025 à l'attention des professionnels de santé. Présence sur le marché de lots des médicaments Teralithe (250 mg et LP 400 mg) comportant des notices qui ne sont pas à jour. Consultez le courrier d'information en date du 27/10/2025 à destination des professionnels de santé et des patients concernant la mise à jour des notices (29/10/2025). Date de remise à disposition prévue : fin décembre 2025</w:t>
      </w:r>
    </w:p>
    <w:p w14:paraId="6EC21FC7" w14:textId="77777777" w:rsidR="00BF2654" w:rsidRPr="00BF2654" w:rsidRDefault="00BF2654" w:rsidP="00BF2654">
      <w:pPr>
        <w:pStyle w:val="Textebrut"/>
      </w:pPr>
      <w:hyperlink r:id="rId176" w:history="1">
        <w:r w:rsidRPr="00BF2654">
          <w:rPr>
            <w:rStyle w:val="Lienhypertexte"/>
          </w:rPr>
          <w:t>https://ansm.sante.fr/disponibilites-des-produits-de-sante/medicaments/teralithe-250-mg-comprime-secable-lithium-carbonate-de</w:t>
        </w:r>
      </w:hyperlink>
    </w:p>
    <w:p w14:paraId="189ED48A" w14:textId="77777777" w:rsidR="00BF2654" w:rsidRDefault="00BF2654" w:rsidP="00361AD6">
      <w:pPr>
        <w:pStyle w:val="Textebrut"/>
      </w:pPr>
    </w:p>
    <w:p w14:paraId="7014CDF0" w14:textId="77777777" w:rsidR="00BF2654" w:rsidRPr="00BF2654" w:rsidRDefault="00BF2654" w:rsidP="00BF2654">
      <w:pPr>
        <w:pStyle w:val="Textebrut"/>
      </w:pPr>
      <w:r w:rsidRPr="00BF2654">
        <w:t>Immunoglobuline humaine normale IV et SC (à base de) – [Immunoglobuline humaine normale (IgG)] – Tension d’approvisionnement depuis le 01/04/2021 (ANSM, actualisation du 08/12/2025).</w:t>
      </w:r>
    </w:p>
    <w:p w14:paraId="692D527E" w14:textId="77777777" w:rsidR="00BF2654" w:rsidRPr="00BF2654" w:rsidRDefault="00BF2654" w:rsidP="00BF2654">
      <w:pPr>
        <w:pStyle w:val="Textebrut"/>
      </w:pPr>
      <w:r w:rsidRPr="00BF2654">
        <w:t>Immunoglobuline IV : Tension d’approvisionnement. Distribution contingentée. Mise à disposition exceptionnelle et transitoire par LFB de la spécialité Clairyg 50 mg/ml, solution pour perfusion (format 5 g/100 mL) initialement destinée aux marchés marocain et turc. Lettre d’information du laboratoire LFB à l’attention des professionnels de santé (22/09/2025). Mise à disposition exceptionnelle et transitoire par LFB de la spécialité Clairyg 50 mg/mL, solution pour perfusion (format 10 g/200 ml) initialement destinée au marché turc. Lettre d’information du laboratoire LFB à l’attention des professionnels de santé (26/11/2025). Remise à disposition indéterminée</w:t>
      </w:r>
    </w:p>
    <w:p w14:paraId="0AC2919B" w14:textId="77777777" w:rsidR="00BF2654" w:rsidRPr="00BF2654" w:rsidRDefault="00BF2654" w:rsidP="00BF2654">
      <w:pPr>
        <w:pStyle w:val="Textebrut"/>
      </w:pPr>
      <w:r w:rsidRPr="00BF2654">
        <w:t>Immunoglobulines SC : Tension d’approvisionnement. Distribution contingentée. Remise à disposition indéterminée. Consultez le rappel de la hiérarchisation des indications</w:t>
      </w:r>
    </w:p>
    <w:p w14:paraId="2F9A28AC" w14:textId="65589503" w:rsidR="00BF2654" w:rsidRDefault="00BF2654" w:rsidP="00BF2654">
      <w:pPr>
        <w:pStyle w:val="Textebrut"/>
      </w:pPr>
      <w:hyperlink r:id="rId177" w:history="1">
        <w:r w:rsidRPr="00BF2654">
          <w:rPr>
            <w:rStyle w:val="Lienhypertexte"/>
          </w:rPr>
          <w:t>https://ansm.sante.fr/disponibilites-des-produits-de-sante/medicaments/immunoglobuline-humaine-normale-iv-et-sc-a-base-de-immunoglobuline-humaine-normale-igg</w:t>
        </w:r>
      </w:hyperlink>
    </w:p>
    <w:p w14:paraId="36229931" w14:textId="77777777" w:rsidR="004A293F" w:rsidRDefault="004A293F" w:rsidP="00BF2654">
      <w:pPr>
        <w:pStyle w:val="Textebrut"/>
      </w:pPr>
    </w:p>
    <w:p w14:paraId="37C98D0D" w14:textId="77777777" w:rsidR="004A293F" w:rsidRPr="004A293F" w:rsidRDefault="004A293F" w:rsidP="004A293F">
      <w:pPr>
        <w:pStyle w:val="Textebrut"/>
      </w:pPr>
      <w:r w:rsidRPr="004A293F">
        <w:t>Pyostacine 500 mg, comprimé pelliculé – [pristinamycine] – Remise à disposition à partir du 10/12/2025 (ANSM, 10/12/2025)</w:t>
      </w:r>
    </w:p>
    <w:p w14:paraId="4A34FA06" w14:textId="77777777" w:rsidR="004A293F" w:rsidRPr="004A293F" w:rsidRDefault="004A293F" w:rsidP="004A293F">
      <w:pPr>
        <w:pStyle w:val="Textebrut"/>
      </w:pPr>
      <w:hyperlink r:id="rId178" w:history="1">
        <w:r w:rsidRPr="004A293F">
          <w:rPr>
            <w:rStyle w:val="Lienhypertexte"/>
          </w:rPr>
          <w:t>https://ansm.sante.fr/disponibilites-des-produits-de-sante/medicaments/pyostacine-500-mg-comprime-pellicule-pristinamycine</w:t>
        </w:r>
      </w:hyperlink>
    </w:p>
    <w:p w14:paraId="21F4C95E" w14:textId="77777777" w:rsidR="004A293F" w:rsidRDefault="004A293F" w:rsidP="00BF2654">
      <w:pPr>
        <w:pStyle w:val="Textebrut"/>
      </w:pPr>
    </w:p>
    <w:p w14:paraId="60464CE5" w14:textId="77777777" w:rsidR="00337EED" w:rsidRPr="00337EED" w:rsidRDefault="00337EED" w:rsidP="00337EED">
      <w:pPr>
        <w:pStyle w:val="Textebrut"/>
      </w:pPr>
      <w:r w:rsidRPr="00337EED">
        <w:t>Fungizone 10 %, suspension buvable – [amphotéricine B] – Remise à disposition à partir du 15/12/2025 (ANSM, 15/12/2025)</w:t>
      </w:r>
    </w:p>
    <w:p w14:paraId="0400D725" w14:textId="77777777" w:rsidR="00337EED" w:rsidRPr="00337EED" w:rsidRDefault="00337EED" w:rsidP="00337EED">
      <w:pPr>
        <w:pStyle w:val="Textebrut"/>
      </w:pPr>
      <w:hyperlink r:id="rId179" w:history="1">
        <w:r w:rsidRPr="00337EED">
          <w:rPr>
            <w:rStyle w:val="Lienhypertexte"/>
          </w:rPr>
          <w:t>https://ansm.sante.fr/disponibilites-des-produits-de-sante/medicaments/fungizone-10-suspension-buvable-amphotericine-b</w:t>
        </w:r>
      </w:hyperlink>
    </w:p>
    <w:p w14:paraId="796F00BC" w14:textId="77777777" w:rsidR="00337EED" w:rsidRDefault="00337EED" w:rsidP="00BF2654">
      <w:pPr>
        <w:pStyle w:val="Textebrut"/>
      </w:pPr>
    </w:p>
    <w:p w14:paraId="7CF62776" w14:textId="77777777" w:rsidR="00B26BB6" w:rsidRPr="00B26BB6" w:rsidRDefault="00B26BB6" w:rsidP="00B26BB6">
      <w:pPr>
        <w:pStyle w:val="Textebrut"/>
      </w:pPr>
      <w:r w:rsidRPr="00B26BB6">
        <w:t>Venlafaxine Viatris 50 mg, comprimé pelliculé – [venlafaxine] – Remise à disposition à partir du 15/12/2025 (ANSM, 15/12/2025)</w:t>
      </w:r>
    </w:p>
    <w:p w14:paraId="0A54D235" w14:textId="77777777" w:rsidR="00B26BB6" w:rsidRPr="00B26BB6" w:rsidRDefault="00B26BB6" w:rsidP="00B26BB6">
      <w:pPr>
        <w:pStyle w:val="Textebrut"/>
      </w:pPr>
      <w:hyperlink r:id="rId180" w:history="1">
        <w:r w:rsidRPr="00B26BB6">
          <w:rPr>
            <w:rStyle w:val="Lienhypertexte"/>
          </w:rPr>
          <w:t>https://ansm.sante.fr/disponibilites-des-produits-de-sante/medicaments/venlafaxine-viatris-50-mg-comprime-pellicule-venlafaxine</w:t>
        </w:r>
      </w:hyperlink>
    </w:p>
    <w:p w14:paraId="2347C7D9" w14:textId="77777777" w:rsidR="00B26BB6" w:rsidRDefault="00B26BB6" w:rsidP="00BF2654">
      <w:pPr>
        <w:pStyle w:val="Textebrut"/>
      </w:pPr>
    </w:p>
    <w:p w14:paraId="75F1D075" w14:textId="67BFF768" w:rsidR="00702188" w:rsidRPr="00702188" w:rsidRDefault="00702188" w:rsidP="00702188">
      <w:pPr>
        <w:pStyle w:val="Textebrut"/>
      </w:pPr>
      <w:r w:rsidRPr="00702188">
        <w:t xml:space="preserve">Spécialités à base de Venlafaxine LP 37,5 mg et LP 75 mg en gélule à libération prolongée – [venlafaxine] – Tension d’approvisionnement depuis le 20/03/2025 (ANSM, actualisation du </w:t>
      </w:r>
      <w:r w:rsidR="00717424">
        <w:t>22</w:t>
      </w:r>
      <w:r w:rsidRPr="00702188">
        <w:t>/12/2025).</w:t>
      </w:r>
    </w:p>
    <w:p w14:paraId="58D70E84" w14:textId="77777777" w:rsidR="00702188" w:rsidRPr="00702188" w:rsidRDefault="00702188" w:rsidP="00702188">
      <w:pPr>
        <w:pStyle w:val="Textebrut"/>
      </w:pPr>
      <w:r w:rsidRPr="00702188">
        <w:t>Distribution contingentée des spécialités à base de Venlafaxine LP 37,5 mg et LP 75 mg en gélule à libération prolongée.</w:t>
      </w:r>
    </w:p>
    <w:p w14:paraId="4D54BB17" w14:textId="77777777" w:rsidR="00702188" w:rsidRPr="00702188" w:rsidRDefault="00702188" w:rsidP="00702188">
      <w:pPr>
        <w:pStyle w:val="Textebrut"/>
      </w:pPr>
      <w:r w:rsidRPr="00702188">
        <w:t>Mise à disposition exceptionnelle et transitoire d’unités de la spécialité Venlafaxin Medical Valley 37,5 mg depottableter , initialement destinées au marché suédois depuis le 27 août 2025. Lettre d'information du laboratoire Teva Santé à l'attention des professionnels de santé (27/08/2025)</w:t>
      </w:r>
    </w:p>
    <w:p w14:paraId="469A32BA" w14:textId="77777777" w:rsidR="00702188" w:rsidRPr="00702188" w:rsidRDefault="00702188" w:rsidP="00702188">
      <w:pPr>
        <w:pStyle w:val="Textebrut"/>
      </w:pPr>
      <w:r w:rsidRPr="00702188">
        <w:t>Lettre d'information du laboratoire Teva Santé à l'attention des patients (27/08/2025).</w:t>
      </w:r>
    </w:p>
    <w:p w14:paraId="2498ED74" w14:textId="77777777" w:rsidR="00702188" w:rsidRPr="00702188" w:rsidRDefault="00702188" w:rsidP="00702188">
      <w:pPr>
        <w:pStyle w:val="Textebrut"/>
      </w:pPr>
      <w:r w:rsidRPr="00702188">
        <w:t>Mise à disposition exceptionnelle et transitoire d’unités de la spécialité Venlafaxine HCl Sandoz XR 37,5 mg, harde capsules met verlengde afgifte, initialement destinées au marché néerlandais depuis le 9 septembre 2025. Lettre d'information du laboratoire Sandoz à l'attention des professionnels de santé (10/09/2025).Lettre d'information du laboratoire Sandoz à l'attention des patients (10/09/2025)</w:t>
      </w:r>
    </w:p>
    <w:p w14:paraId="19DA337D" w14:textId="77777777" w:rsidR="00702188" w:rsidRPr="00702188" w:rsidRDefault="00702188" w:rsidP="00702188">
      <w:pPr>
        <w:pStyle w:val="Textebrut"/>
      </w:pPr>
      <w:r w:rsidRPr="00702188">
        <w:t>Mise à disposition exceptionnelle et transitoire d’unités de la spécialité Venlafaxin Medical Valley 37,5 mg depottabletter, initialement destinées au marché suédois depuis le 21 octobre 2025. Lettre d'information du laboratoire Sandoz à l'attention des professionnels de santé (22/10/2025)</w:t>
      </w:r>
    </w:p>
    <w:p w14:paraId="62F60CAA" w14:textId="77777777" w:rsidR="00702188" w:rsidRPr="00702188" w:rsidRDefault="00702188" w:rsidP="00702188">
      <w:pPr>
        <w:pStyle w:val="Textebrut"/>
      </w:pPr>
      <w:r w:rsidRPr="00702188">
        <w:t>Lettre d'information du laboratoire Sandoz à l'attention des patients (22/10/2025). Mise à disposition exceptionnelle et transitoire d’unités de la spécialité Venlafaxin Medical Valley 75 mg depottabletter, initialement destinées au marché suédois depuis le 8 octobre 2025. Lettre d'information du laboratoire Viatris à l'attention des professionnels de santé (23/10/2025). Lettre d'information du laboratoire Viatris à l'attention des patients (23/10/2025).</w:t>
      </w:r>
    </w:p>
    <w:p w14:paraId="1450AFD3" w14:textId="77777777" w:rsidR="00702188" w:rsidRPr="00702188" w:rsidRDefault="00702188" w:rsidP="00702188">
      <w:pPr>
        <w:pStyle w:val="Textebrut"/>
      </w:pPr>
      <w:r w:rsidRPr="00702188">
        <w:t>Mise à disposition exceptionnelle et transitoire d’unités de la spécialité Venlafaxin Medical Valley 75 mg depottabletter, initialement destinées au marché suédois à partir du 16 décembre 2025. Lettre d'information du laboratoire Sandoz à l'attention des professionnels de santé (17/12/2025). Lettre d'information du laboratoire Sandoz à l'attention des patients (17/12/2025).</w:t>
      </w:r>
    </w:p>
    <w:p w14:paraId="7D0696DC" w14:textId="77777777" w:rsidR="00717424" w:rsidRPr="00717424" w:rsidRDefault="00717424" w:rsidP="00717424">
      <w:pPr>
        <w:pStyle w:val="Textebrut"/>
      </w:pPr>
      <w:r w:rsidRPr="00717424">
        <w:t>Mise à disposition exceptionnelle et transitoire d’unités de la spécialité Venlasov XL 75 mg Prolonged-Release Capsules, initialement destinées au Royaume-Uni à partir du 22 décembre 2025. Lettre d'information du laboratoire Viatris à l'attention des professionnels de santé (22/12/2025). Lettre d'information du laboratoire Viatris à l'attention des patients (22/12/2025).</w:t>
      </w:r>
    </w:p>
    <w:p w14:paraId="00D66306" w14:textId="77777777" w:rsidR="00717424" w:rsidRPr="00717424" w:rsidRDefault="00717424" w:rsidP="00717424">
      <w:pPr>
        <w:pStyle w:val="Textebrut"/>
      </w:pPr>
      <w:r w:rsidRPr="00717424">
        <w:t>Remise à disposition normale prévue début 2026</w:t>
      </w:r>
    </w:p>
    <w:p w14:paraId="25CC9EAD" w14:textId="77777777" w:rsidR="00702188" w:rsidRPr="00702188" w:rsidRDefault="00702188" w:rsidP="00702188">
      <w:pPr>
        <w:pStyle w:val="Textebrut"/>
      </w:pPr>
      <w:hyperlink r:id="rId181" w:history="1">
        <w:r w:rsidRPr="00702188">
          <w:rPr>
            <w:rStyle w:val="Lienhypertexte"/>
          </w:rPr>
          <w:t>https://ansm.sante.fr/disponibilites-des-produits-de-sante/medicaments/specialites-a-base-de-venlafaxine-lp-37-5-mg-et-lp-75-mg-en-gelule-a-liberation-prolongee-venlafaxine</w:t>
        </w:r>
      </w:hyperlink>
    </w:p>
    <w:p w14:paraId="233737C8" w14:textId="1381BB0D" w:rsidR="00702188" w:rsidRDefault="00702188" w:rsidP="00BF2654">
      <w:pPr>
        <w:pStyle w:val="Textebrut"/>
      </w:pPr>
    </w:p>
    <w:p w14:paraId="77BB43A1" w14:textId="77777777" w:rsidR="00BF2D2A" w:rsidRPr="00BF2D2A" w:rsidRDefault="00BF2D2A" w:rsidP="00BF2D2A">
      <w:pPr>
        <w:pStyle w:val="Textebrut"/>
      </w:pPr>
      <w:r w:rsidRPr="00BF2D2A">
        <w:t>Quasym L.P., gélule à libération modifiée – [méthylphénidate] – Tension d’approvisionnement depuis le 12/12/2023 (ANSM, actualisation du 19/12/2025).</w:t>
      </w:r>
    </w:p>
    <w:p w14:paraId="661E75AA" w14:textId="77777777" w:rsidR="00BF2D2A" w:rsidRPr="00BF2D2A" w:rsidRDefault="00BF2D2A" w:rsidP="00BF2D2A">
      <w:pPr>
        <w:pStyle w:val="Textebrut"/>
      </w:pPr>
      <w:r w:rsidRPr="00BF2D2A">
        <w:t>Remise à disposition des spécialités Quasym L.P. 10 mg, gélule à libération modifiée et Quasym L.P. 30 mg, gélule à libération modifiée. Tension d'approvisionnement en ville avec distribution contingentée de la spécialité Quasym L.P. 20 mg, gélule à libération modifiée. Arrêt des ventes directes. Consultez les recommandations pour les pharmaciens. Remise à disposition prévue courant 2026</w:t>
      </w:r>
    </w:p>
    <w:p w14:paraId="3994F677" w14:textId="77777777" w:rsidR="00BF2D2A" w:rsidRPr="00BF2D2A" w:rsidRDefault="00BF2D2A" w:rsidP="00BF2D2A">
      <w:pPr>
        <w:pStyle w:val="Textebrut"/>
      </w:pPr>
      <w:hyperlink r:id="rId182" w:history="1">
        <w:r w:rsidRPr="00BF2D2A">
          <w:rPr>
            <w:rStyle w:val="Lienhypertexte"/>
          </w:rPr>
          <w:t>https://ansm.sante.fr/disponibilites-des-produits-de-sante/medicaments/quasym-l-p-gelule-a-liberation-modifiee-methylphenidate</w:t>
        </w:r>
      </w:hyperlink>
    </w:p>
    <w:p w14:paraId="49ABC8A5" w14:textId="77777777" w:rsidR="00BF2D2A" w:rsidRDefault="00BF2D2A" w:rsidP="00BF2654">
      <w:pPr>
        <w:pStyle w:val="Textebrut"/>
      </w:pPr>
    </w:p>
    <w:p w14:paraId="3515D514" w14:textId="77777777" w:rsidR="00717424" w:rsidRDefault="00717424" w:rsidP="00BF2654">
      <w:pPr>
        <w:pStyle w:val="Textebrut"/>
      </w:pPr>
    </w:p>
    <w:sectPr w:rsidR="00717424" w:rsidSect="004568FE">
      <w:headerReference w:type="even" r:id="rId183"/>
      <w:headerReference w:type="default" r:id="rId184"/>
      <w:footerReference w:type="even" r:id="rId185"/>
      <w:footerReference w:type="default" r:id="rId186"/>
      <w:headerReference w:type="first" r:id="rId187"/>
      <w:footerReference w:type="first" r:id="rId188"/>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233551" w14:textId="77777777" w:rsidR="002508E9" w:rsidRDefault="002508E9">
      <w:r>
        <w:separator/>
      </w:r>
    </w:p>
  </w:endnote>
  <w:endnote w:type="continuationSeparator" w:id="0">
    <w:p w14:paraId="6616080B" w14:textId="77777777" w:rsidR="002508E9" w:rsidRDefault="002508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722F0"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8C094" w14:textId="77777777" w:rsidR="00987053" w:rsidRDefault="00987053">
    <w:pPr>
      <w:pStyle w:val="Pieddepage"/>
    </w:pPr>
  </w:p>
  <w:p w14:paraId="55E0BF36" w14:textId="77777777" w:rsidR="008B3189" w:rsidRDefault="008B3189">
    <w:pPr>
      <w:pStyle w:val="Pieddepage"/>
    </w:pPr>
    <w:r>
      <w:t xml:space="preserve">Contact : </w:t>
    </w:r>
    <w:hyperlink r:id="rId1" w:history="1">
      <w:r w:rsidRPr="009D2627">
        <w:rPr>
          <w:rStyle w:val="Lienhypertexte"/>
        </w:rPr>
        <w:t>ars-bfc-peps@ars.sante.fr</w:t>
      </w:r>
    </w:hyperlink>
  </w:p>
  <w:p w14:paraId="2A146577" w14:textId="77777777" w:rsidR="008B3189" w:rsidRDefault="008B3189">
    <w:pPr>
      <w:pStyle w:val="Pieddepage"/>
    </w:pPr>
  </w:p>
  <w:p w14:paraId="6B8560D1"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A44F5"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C58D64" w14:textId="77777777" w:rsidR="002508E9" w:rsidRDefault="002508E9">
      <w:r>
        <w:separator/>
      </w:r>
    </w:p>
  </w:footnote>
  <w:footnote w:type="continuationSeparator" w:id="0">
    <w:p w14:paraId="357C128B" w14:textId="77777777" w:rsidR="002508E9" w:rsidRDefault="002508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F01CB"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668AE"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A867EB"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0FA71C5A"/>
    <w:multiLevelType w:val="hybridMultilevel"/>
    <w:tmpl w:val="9A2E6A9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5"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BB27E37"/>
    <w:multiLevelType w:val="hybridMultilevel"/>
    <w:tmpl w:val="B70821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07D40C1"/>
    <w:multiLevelType w:val="multilevel"/>
    <w:tmpl w:val="F7CAB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8BA4ED0"/>
    <w:multiLevelType w:val="hybridMultilevel"/>
    <w:tmpl w:val="967A71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8"/>
  </w:num>
  <w:num w:numId="2" w16cid:durableId="1892185552">
    <w:abstractNumId w:val="7"/>
  </w:num>
  <w:num w:numId="3" w16cid:durableId="1366295517">
    <w:abstractNumId w:val="0"/>
  </w:num>
  <w:num w:numId="4" w16cid:durableId="1869682685">
    <w:abstractNumId w:val="1"/>
  </w:num>
  <w:num w:numId="5" w16cid:durableId="483862807">
    <w:abstractNumId w:val="15"/>
  </w:num>
  <w:num w:numId="6" w16cid:durableId="106702296">
    <w:abstractNumId w:val="17"/>
  </w:num>
  <w:num w:numId="7" w16cid:durableId="211118289">
    <w:abstractNumId w:val="4"/>
  </w:num>
  <w:num w:numId="8" w16cid:durableId="2127459736">
    <w:abstractNumId w:val="14"/>
  </w:num>
  <w:num w:numId="9" w16cid:durableId="1835490178">
    <w:abstractNumId w:val="2"/>
  </w:num>
  <w:num w:numId="10" w16cid:durableId="358509021">
    <w:abstractNumId w:val="20"/>
  </w:num>
  <w:num w:numId="11" w16cid:durableId="802238835">
    <w:abstractNumId w:val="8"/>
  </w:num>
  <w:num w:numId="12" w16cid:durableId="1119682966">
    <w:abstractNumId w:val="5"/>
  </w:num>
  <w:num w:numId="13" w16cid:durableId="1384252903">
    <w:abstractNumId w:val="23"/>
  </w:num>
  <w:num w:numId="14" w16cid:durableId="624848701">
    <w:abstractNumId w:val="19"/>
  </w:num>
  <w:num w:numId="15" w16cid:durableId="758873685">
    <w:abstractNumId w:val="25"/>
  </w:num>
  <w:num w:numId="16" w16cid:durableId="1294290176">
    <w:abstractNumId w:val="22"/>
  </w:num>
  <w:num w:numId="17" w16cid:durableId="534585621">
    <w:abstractNumId w:val="21"/>
  </w:num>
  <w:num w:numId="18" w16cid:durableId="1675378248">
    <w:abstractNumId w:val="6"/>
  </w:num>
  <w:num w:numId="19" w16cid:durableId="974604461">
    <w:abstractNumId w:val="13"/>
  </w:num>
  <w:num w:numId="20" w16cid:durableId="886448293">
    <w:abstractNumId w:val="10"/>
  </w:num>
  <w:num w:numId="21" w16cid:durableId="2009556170">
    <w:abstractNumId w:val="12"/>
  </w:num>
  <w:num w:numId="22" w16cid:durableId="10105033">
    <w:abstractNumId w:val="16"/>
  </w:num>
  <w:num w:numId="23" w16cid:durableId="803281040">
    <w:abstractNumId w:val="26"/>
  </w:num>
  <w:num w:numId="24" w16cid:durableId="257905769">
    <w:abstractNumId w:val="3"/>
  </w:num>
  <w:num w:numId="25" w16cid:durableId="2132822347">
    <w:abstractNumId w:val="24"/>
  </w:num>
  <w:num w:numId="26" w16cid:durableId="1713185558">
    <w:abstractNumId w:val="9"/>
  </w:num>
  <w:num w:numId="27" w16cid:durableId="12409390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8E9"/>
    <w:rsid w:val="0000124D"/>
    <w:rsid w:val="00003243"/>
    <w:rsid w:val="000041FF"/>
    <w:rsid w:val="000100AD"/>
    <w:rsid w:val="000109A8"/>
    <w:rsid w:val="000109BE"/>
    <w:rsid w:val="00010FF1"/>
    <w:rsid w:val="00011F75"/>
    <w:rsid w:val="0001329F"/>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4B23"/>
    <w:rsid w:val="000354FF"/>
    <w:rsid w:val="00035A9A"/>
    <w:rsid w:val="0003659F"/>
    <w:rsid w:val="00036C93"/>
    <w:rsid w:val="00044905"/>
    <w:rsid w:val="00044F16"/>
    <w:rsid w:val="00045122"/>
    <w:rsid w:val="000468D6"/>
    <w:rsid w:val="00046D24"/>
    <w:rsid w:val="000474C3"/>
    <w:rsid w:val="00047BE1"/>
    <w:rsid w:val="00047CE5"/>
    <w:rsid w:val="0005013A"/>
    <w:rsid w:val="00051965"/>
    <w:rsid w:val="00051C3F"/>
    <w:rsid w:val="00051D41"/>
    <w:rsid w:val="00052186"/>
    <w:rsid w:val="00052663"/>
    <w:rsid w:val="00052F60"/>
    <w:rsid w:val="00052FC0"/>
    <w:rsid w:val="00053858"/>
    <w:rsid w:val="0005411B"/>
    <w:rsid w:val="00055320"/>
    <w:rsid w:val="00055A22"/>
    <w:rsid w:val="00056C53"/>
    <w:rsid w:val="00057490"/>
    <w:rsid w:val="000620C4"/>
    <w:rsid w:val="000624DA"/>
    <w:rsid w:val="0006252A"/>
    <w:rsid w:val="0006276C"/>
    <w:rsid w:val="00062F77"/>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36F2"/>
    <w:rsid w:val="000C4685"/>
    <w:rsid w:val="000C5402"/>
    <w:rsid w:val="000C7FCB"/>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B4D"/>
    <w:rsid w:val="000E5ECC"/>
    <w:rsid w:val="000E66AC"/>
    <w:rsid w:val="000E77EE"/>
    <w:rsid w:val="000F0F48"/>
    <w:rsid w:val="000F0F8D"/>
    <w:rsid w:val="000F12BF"/>
    <w:rsid w:val="000F145C"/>
    <w:rsid w:val="000F16A3"/>
    <w:rsid w:val="000F17D1"/>
    <w:rsid w:val="000F23A5"/>
    <w:rsid w:val="000F2634"/>
    <w:rsid w:val="000F5C40"/>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07D43"/>
    <w:rsid w:val="00110374"/>
    <w:rsid w:val="00111F2F"/>
    <w:rsid w:val="001124EF"/>
    <w:rsid w:val="0011285E"/>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67C22"/>
    <w:rsid w:val="00170042"/>
    <w:rsid w:val="001715A5"/>
    <w:rsid w:val="00171EC6"/>
    <w:rsid w:val="0017365B"/>
    <w:rsid w:val="0017429E"/>
    <w:rsid w:val="00174892"/>
    <w:rsid w:val="0017619F"/>
    <w:rsid w:val="00176C88"/>
    <w:rsid w:val="00176DB8"/>
    <w:rsid w:val="001775CF"/>
    <w:rsid w:val="00177678"/>
    <w:rsid w:val="00180C7C"/>
    <w:rsid w:val="00180D0B"/>
    <w:rsid w:val="00180EC2"/>
    <w:rsid w:val="001828BF"/>
    <w:rsid w:val="00183C3B"/>
    <w:rsid w:val="00184223"/>
    <w:rsid w:val="00184852"/>
    <w:rsid w:val="001863BC"/>
    <w:rsid w:val="00187143"/>
    <w:rsid w:val="00191201"/>
    <w:rsid w:val="00193286"/>
    <w:rsid w:val="00193A66"/>
    <w:rsid w:val="00193C1F"/>
    <w:rsid w:val="001940DE"/>
    <w:rsid w:val="00194404"/>
    <w:rsid w:val="001956CE"/>
    <w:rsid w:val="00195AA6"/>
    <w:rsid w:val="001969EA"/>
    <w:rsid w:val="00197CFC"/>
    <w:rsid w:val="001A2213"/>
    <w:rsid w:val="001A5670"/>
    <w:rsid w:val="001B039C"/>
    <w:rsid w:val="001B2D8F"/>
    <w:rsid w:val="001B2FBB"/>
    <w:rsid w:val="001B39CB"/>
    <w:rsid w:val="001B3F35"/>
    <w:rsid w:val="001B5625"/>
    <w:rsid w:val="001B5903"/>
    <w:rsid w:val="001B5CF6"/>
    <w:rsid w:val="001B5FAB"/>
    <w:rsid w:val="001B69E3"/>
    <w:rsid w:val="001C022D"/>
    <w:rsid w:val="001C024A"/>
    <w:rsid w:val="001C0BC0"/>
    <w:rsid w:val="001C1B2F"/>
    <w:rsid w:val="001C1D20"/>
    <w:rsid w:val="001C238C"/>
    <w:rsid w:val="001C39FF"/>
    <w:rsid w:val="001C4563"/>
    <w:rsid w:val="001C4D95"/>
    <w:rsid w:val="001C4EB8"/>
    <w:rsid w:val="001C52CB"/>
    <w:rsid w:val="001C7742"/>
    <w:rsid w:val="001D10BF"/>
    <w:rsid w:val="001D17B3"/>
    <w:rsid w:val="001D17BC"/>
    <w:rsid w:val="001D6189"/>
    <w:rsid w:val="001D69E7"/>
    <w:rsid w:val="001D7789"/>
    <w:rsid w:val="001D7996"/>
    <w:rsid w:val="001E123F"/>
    <w:rsid w:val="001E25E0"/>
    <w:rsid w:val="001E38EA"/>
    <w:rsid w:val="001E45D7"/>
    <w:rsid w:val="001E68AC"/>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6CA5"/>
    <w:rsid w:val="00207094"/>
    <w:rsid w:val="00207D4F"/>
    <w:rsid w:val="00210253"/>
    <w:rsid w:val="002116B6"/>
    <w:rsid w:val="00213F84"/>
    <w:rsid w:val="002140E8"/>
    <w:rsid w:val="00214BA9"/>
    <w:rsid w:val="00216B65"/>
    <w:rsid w:val="00217095"/>
    <w:rsid w:val="00222D50"/>
    <w:rsid w:val="00223320"/>
    <w:rsid w:val="00226826"/>
    <w:rsid w:val="0022726E"/>
    <w:rsid w:val="00231A00"/>
    <w:rsid w:val="00231B3F"/>
    <w:rsid w:val="00232266"/>
    <w:rsid w:val="002329F6"/>
    <w:rsid w:val="00232CC5"/>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8E9"/>
    <w:rsid w:val="00250A93"/>
    <w:rsid w:val="00251FC3"/>
    <w:rsid w:val="002520A6"/>
    <w:rsid w:val="002520FC"/>
    <w:rsid w:val="00253FE8"/>
    <w:rsid w:val="0025634B"/>
    <w:rsid w:val="00257312"/>
    <w:rsid w:val="00260250"/>
    <w:rsid w:val="00260678"/>
    <w:rsid w:val="002609D5"/>
    <w:rsid w:val="002610A8"/>
    <w:rsid w:val="00261911"/>
    <w:rsid w:val="00262145"/>
    <w:rsid w:val="002623F7"/>
    <w:rsid w:val="002624CC"/>
    <w:rsid w:val="0026331A"/>
    <w:rsid w:val="00263E21"/>
    <w:rsid w:val="002640BD"/>
    <w:rsid w:val="002655EF"/>
    <w:rsid w:val="00265C85"/>
    <w:rsid w:val="00266A7A"/>
    <w:rsid w:val="002712B6"/>
    <w:rsid w:val="00271FDA"/>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87027"/>
    <w:rsid w:val="002901C4"/>
    <w:rsid w:val="0029039F"/>
    <w:rsid w:val="00291247"/>
    <w:rsid w:val="00293321"/>
    <w:rsid w:val="00294049"/>
    <w:rsid w:val="0029656F"/>
    <w:rsid w:val="0029664E"/>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0B4"/>
    <w:rsid w:val="002B0638"/>
    <w:rsid w:val="002B0A42"/>
    <w:rsid w:val="002B19D0"/>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691"/>
    <w:rsid w:val="002D3ADB"/>
    <w:rsid w:val="002D3D50"/>
    <w:rsid w:val="002D3FA8"/>
    <w:rsid w:val="002D5A7F"/>
    <w:rsid w:val="002D6B97"/>
    <w:rsid w:val="002D6C94"/>
    <w:rsid w:val="002E2C32"/>
    <w:rsid w:val="002E3075"/>
    <w:rsid w:val="002E4021"/>
    <w:rsid w:val="002E5370"/>
    <w:rsid w:val="002E7065"/>
    <w:rsid w:val="002F0ECB"/>
    <w:rsid w:val="002F1EED"/>
    <w:rsid w:val="002F1F3F"/>
    <w:rsid w:val="002F38DF"/>
    <w:rsid w:val="002F3D2D"/>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1078"/>
    <w:rsid w:val="00325BA8"/>
    <w:rsid w:val="00326432"/>
    <w:rsid w:val="00326EF6"/>
    <w:rsid w:val="0032721A"/>
    <w:rsid w:val="003272D8"/>
    <w:rsid w:val="0032770E"/>
    <w:rsid w:val="003303B2"/>
    <w:rsid w:val="003304E8"/>
    <w:rsid w:val="003333BA"/>
    <w:rsid w:val="003338B5"/>
    <w:rsid w:val="00334826"/>
    <w:rsid w:val="00334EA0"/>
    <w:rsid w:val="003356ED"/>
    <w:rsid w:val="003358F4"/>
    <w:rsid w:val="00335936"/>
    <w:rsid w:val="003369DB"/>
    <w:rsid w:val="00337240"/>
    <w:rsid w:val="003372C8"/>
    <w:rsid w:val="00337EED"/>
    <w:rsid w:val="003406D7"/>
    <w:rsid w:val="00340DD9"/>
    <w:rsid w:val="003424C5"/>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B0E9F"/>
    <w:rsid w:val="003B1403"/>
    <w:rsid w:val="003B1B0B"/>
    <w:rsid w:val="003B1E6B"/>
    <w:rsid w:val="003B22CA"/>
    <w:rsid w:val="003B2C47"/>
    <w:rsid w:val="003B367E"/>
    <w:rsid w:val="003B378B"/>
    <w:rsid w:val="003B48F4"/>
    <w:rsid w:val="003B5294"/>
    <w:rsid w:val="003B65C7"/>
    <w:rsid w:val="003B71C8"/>
    <w:rsid w:val="003B7766"/>
    <w:rsid w:val="003B7E31"/>
    <w:rsid w:val="003C0C89"/>
    <w:rsid w:val="003C11F6"/>
    <w:rsid w:val="003C23FC"/>
    <w:rsid w:val="003C24C0"/>
    <w:rsid w:val="003C36A8"/>
    <w:rsid w:val="003C3C5D"/>
    <w:rsid w:val="003C5679"/>
    <w:rsid w:val="003C7D38"/>
    <w:rsid w:val="003D0611"/>
    <w:rsid w:val="003D0624"/>
    <w:rsid w:val="003D0E62"/>
    <w:rsid w:val="003D225D"/>
    <w:rsid w:val="003D3E5C"/>
    <w:rsid w:val="003D70D5"/>
    <w:rsid w:val="003D7119"/>
    <w:rsid w:val="003E25A0"/>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0D81"/>
    <w:rsid w:val="00402BA6"/>
    <w:rsid w:val="00404C93"/>
    <w:rsid w:val="0040534B"/>
    <w:rsid w:val="004053F0"/>
    <w:rsid w:val="00405958"/>
    <w:rsid w:val="00405E40"/>
    <w:rsid w:val="004062A1"/>
    <w:rsid w:val="004063D1"/>
    <w:rsid w:val="00407434"/>
    <w:rsid w:val="00407566"/>
    <w:rsid w:val="00407643"/>
    <w:rsid w:val="00412566"/>
    <w:rsid w:val="00413477"/>
    <w:rsid w:val="00413A49"/>
    <w:rsid w:val="0041480F"/>
    <w:rsid w:val="00414945"/>
    <w:rsid w:val="004150B7"/>
    <w:rsid w:val="00417CE2"/>
    <w:rsid w:val="004208D3"/>
    <w:rsid w:val="004240DA"/>
    <w:rsid w:val="00425066"/>
    <w:rsid w:val="00425504"/>
    <w:rsid w:val="004269A0"/>
    <w:rsid w:val="004269B5"/>
    <w:rsid w:val="00426AC3"/>
    <w:rsid w:val="00430E44"/>
    <w:rsid w:val="0043211F"/>
    <w:rsid w:val="004324F8"/>
    <w:rsid w:val="0043261C"/>
    <w:rsid w:val="004335ED"/>
    <w:rsid w:val="00433ED5"/>
    <w:rsid w:val="00434A58"/>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FE"/>
    <w:rsid w:val="00462B24"/>
    <w:rsid w:val="00465561"/>
    <w:rsid w:val="004665D6"/>
    <w:rsid w:val="00466A70"/>
    <w:rsid w:val="00467D4C"/>
    <w:rsid w:val="00472AC1"/>
    <w:rsid w:val="004730C8"/>
    <w:rsid w:val="00474007"/>
    <w:rsid w:val="00475175"/>
    <w:rsid w:val="00476D29"/>
    <w:rsid w:val="004776D0"/>
    <w:rsid w:val="00480920"/>
    <w:rsid w:val="00481907"/>
    <w:rsid w:val="004830BB"/>
    <w:rsid w:val="004837F1"/>
    <w:rsid w:val="00484403"/>
    <w:rsid w:val="004849F8"/>
    <w:rsid w:val="00487271"/>
    <w:rsid w:val="00487537"/>
    <w:rsid w:val="00491744"/>
    <w:rsid w:val="004923C1"/>
    <w:rsid w:val="00492660"/>
    <w:rsid w:val="00494AF4"/>
    <w:rsid w:val="00494F55"/>
    <w:rsid w:val="0049571E"/>
    <w:rsid w:val="00495B81"/>
    <w:rsid w:val="004961AB"/>
    <w:rsid w:val="004970EB"/>
    <w:rsid w:val="004A026F"/>
    <w:rsid w:val="004A043C"/>
    <w:rsid w:val="004A24C6"/>
    <w:rsid w:val="004A253F"/>
    <w:rsid w:val="004A293F"/>
    <w:rsid w:val="004A2A43"/>
    <w:rsid w:val="004A2E72"/>
    <w:rsid w:val="004A30CF"/>
    <w:rsid w:val="004A3203"/>
    <w:rsid w:val="004A33A0"/>
    <w:rsid w:val="004A3DB8"/>
    <w:rsid w:val="004A57E7"/>
    <w:rsid w:val="004A584A"/>
    <w:rsid w:val="004B0AAA"/>
    <w:rsid w:val="004B1C7D"/>
    <w:rsid w:val="004B25BB"/>
    <w:rsid w:val="004B2836"/>
    <w:rsid w:val="004B2F69"/>
    <w:rsid w:val="004B422D"/>
    <w:rsid w:val="004B42BC"/>
    <w:rsid w:val="004B42DD"/>
    <w:rsid w:val="004B706F"/>
    <w:rsid w:val="004B759A"/>
    <w:rsid w:val="004C176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4CA6"/>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5C0F"/>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3783"/>
    <w:rsid w:val="005543A0"/>
    <w:rsid w:val="00555014"/>
    <w:rsid w:val="005552E8"/>
    <w:rsid w:val="0055559F"/>
    <w:rsid w:val="00555963"/>
    <w:rsid w:val="00555ED7"/>
    <w:rsid w:val="005566A0"/>
    <w:rsid w:val="005568FB"/>
    <w:rsid w:val="0055738E"/>
    <w:rsid w:val="00560B92"/>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1F4E"/>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6EF5"/>
    <w:rsid w:val="005C757B"/>
    <w:rsid w:val="005C7AE7"/>
    <w:rsid w:val="005D0C75"/>
    <w:rsid w:val="005D0F1B"/>
    <w:rsid w:val="005D1F89"/>
    <w:rsid w:val="005D2313"/>
    <w:rsid w:val="005D28A8"/>
    <w:rsid w:val="005D333D"/>
    <w:rsid w:val="005D38B6"/>
    <w:rsid w:val="005D4D5B"/>
    <w:rsid w:val="005D64C4"/>
    <w:rsid w:val="005D68A1"/>
    <w:rsid w:val="005D774C"/>
    <w:rsid w:val="005E1004"/>
    <w:rsid w:val="005E2CC8"/>
    <w:rsid w:val="005E3C40"/>
    <w:rsid w:val="005E3F7F"/>
    <w:rsid w:val="005E4670"/>
    <w:rsid w:val="005E520C"/>
    <w:rsid w:val="005E586A"/>
    <w:rsid w:val="005E6120"/>
    <w:rsid w:val="005E6A8D"/>
    <w:rsid w:val="005E7297"/>
    <w:rsid w:val="005E7E8F"/>
    <w:rsid w:val="005F0DA9"/>
    <w:rsid w:val="005F3682"/>
    <w:rsid w:val="005F41D7"/>
    <w:rsid w:val="005F4A21"/>
    <w:rsid w:val="005F5307"/>
    <w:rsid w:val="005F647F"/>
    <w:rsid w:val="005F6AC3"/>
    <w:rsid w:val="005F6D77"/>
    <w:rsid w:val="005F7087"/>
    <w:rsid w:val="005F7209"/>
    <w:rsid w:val="005F72E4"/>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40C"/>
    <w:rsid w:val="00624705"/>
    <w:rsid w:val="006262D4"/>
    <w:rsid w:val="006264DD"/>
    <w:rsid w:val="00626947"/>
    <w:rsid w:val="00626AFE"/>
    <w:rsid w:val="00630987"/>
    <w:rsid w:val="00631A01"/>
    <w:rsid w:val="00631E3D"/>
    <w:rsid w:val="00631E7B"/>
    <w:rsid w:val="00632498"/>
    <w:rsid w:val="00633749"/>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358"/>
    <w:rsid w:val="006509BC"/>
    <w:rsid w:val="00651185"/>
    <w:rsid w:val="006517F2"/>
    <w:rsid w:val="00651BEA"/>
    <w:rsid w:val="00653860"/>
    <w:rsid w:val="00653B42"/>
    <w:rsid w:val="00654A2B"/>
    <w:rsid w:val="006551A5"/>
    <w:rsid w:val="00655EF2"/>
    <w:rsid w:val="006576F5"/>
    <w:rsid w:val="00657D27"/>
    <w:rsid w:val="006602BF"/>
    <w:rsid w:val="00660385"/>
    <w:rsid w:val="0066157A"/>
    <w:rsid w:val="00661C90"/>
    <w:rsid w:val="006634A5"/>
    <w:rsid w:val="006636E8"/>
    <w:rsid w:val="00663C2B"/>
    <w:rsid w:val="00664321"/>
    <w:rsid w:val="00665ACB"/>
    <w:rsid w:val="00666E90"/>
    <w:rsid w:val="006700E2"/>
    <w:rsid w:val="00670544"/>
    <w:rsid w:val="00670F50"/>
    <w:rsid w:val="00671321"/>
    <w:rsid w:val="00672CE5"/>
    <w:rsid w:val="00672DFE"/>
    <w:rsid w:val="00672EFA"/>
    <w:rsid w:val="00673935"/>
    <w:rsid w:val="006752B1"/>
    <w:rsid w:val="00675582"/>
    <w:rsid w:val="00675C34"/>
    <w:rsid w:val="006768AF"/>
    <w:rsid w:val="006770CD"/>
    <w:rsid w:val="006809EE"/>
    <w:rsid w:val="00680A28"/>
    <w:rsid w:val="00680FDD"/>
    <w:rsid w:val="006812A2"/>
    <w:rsid w:val="0068178F"/>
    <w:rsid w:val="0068188A"/>
    <w:rsid w:val="00685819"/>
    <w:rsid w:val="00686A2B"/>
    <w:rsid w:val="00686DF7"/>
    <w:rsid w:val="00693057"/>
    <w:rsid w:val="006948F9"/>
    <w:rsid w:val="006962F9"/>
    <w:rsid w:val="006A1397"/>
    <w:rsid w:val="006A1FF1"/>
    <w:rsid w:val="006A3220"/>
    <w:rsid w:val="006A37A4"/>
    <w:rsid w:val="006A4469"/>
    <w:rsid w:val="006A4827"/>
    <w:rsid w:val="006A4D06"/>
    <w:rsid w:val="006A54B0"/>
    <w:rsid w:val="006A589C"/>
    <w:rsid w:val="006A5D05"/>
    <w:rsid w:val="006A6D4B"/>
    <w:rsid w:val="006A7622"/>
    <w:rsid w:val="006B1963"/>
    <w:rsid w:val="006B2F9E"/>
    <w:rsid w:val="006B49A5"/>
    <w:rsid w:val="006B61FF"/>
    <w:rsid w:val="006B65F1"/>
    <w:rsid w:val="006B68F3"/>
    <w:rsid w:val="006B6EFA"/>
    <w:rsid w:val="006B7011"/>
    <w:rsid w:val="006B7B81"/>
    <w:rsid w:val="006C1A2A"/>
    <w:rsid w:val="006C26C2"/>
    <w:rsid w:val="006C4B48"/>
    <w:rsid w:val="006C5101"/>
    <w:rsid w:val="006C6266"/>
    <w:rsid w:val="006C6F13"/>
    <w:rsid w:val="006D173C"/>
    <w:rsid w:val="006D21A4"/>
    <w:rsid w:val="006D22CC"/>
    <w:rsid w:val="006D2BE7"/>
    <w:rsid w:val="006D2F28"/>
    <w:rsid w:val="006D351B"/>
    <w:rsid w:val="006D37B1"/>
    <w:rsid w:val="006D5FC1"/>
    <w:rsid w:val="006D74A4"/>
    <w:rsid w:val="006E0B5D"/>
    <w:rsid w:val="006E0C07"/>
    <w:rsid w:val="006E1A5E"/>
    <w:rsid w:val="006E2346"/>
    <w:rsid w:val="006E2512"/>
    <w:rsid w:val="006E3449"/>
    <w:rsid w:val="006E3DDB"/>
    <w:rsid w:val="006E4A7B"/>
    <w:rsid w:val="006E53A5"/>
    <w:rsid w:val="006E5A29"/>
    <w:rsid w:val="006E5B3E"/>
    <w:rsid w:val="006E76E5"/>
    <w:rsid w:val="006F0F93"/>
    <w:rsid w:val="006F0FEA"/>
    <w:rsid w:val="006F127C"/>
    <w:rsid w:val="006F3281"/>
    <w:rsid w:val="006F4ED6"/>
    <w:rsid w:val="006F5B38"/>
    <w:rsid w:val="006F5FE6"/>
    <w:rsid w:val="006F61DD"/>
    <w:rsid w:val="006F6736"/>
    <w:rsid w:val="006F7288"/>
    <w:rsid w:val="006F7B62"/>
    <w:rsid w:val="00700B55"/>
    <w:rsid w:val="00700C29"/>
    <w:rsid w:val="00700CC2"/>
    <w:rsid w:val="00700D2C"/>
    <w:rsid w:val="00702188"/>
    <w:rsid w:val="00703F10"/>
    <w:rsid w:val="007044DE"/>
    <w:rsid w:val="00705F9F"/>
    <w:rsid w:val="007061E5"/>
    <w:rsid w:val="0070691F"/>
    <w:rsid w:val="0071017F"/>
    <w:rsid w:val="00710B5F"/>
    <w:rsid w:val="00712476"/>
    <w:rsid w:val="00713001"/>
    <w:rsid w:val="00713E59"/>
    <w:rsid w:val="007164A0"/>
    <w:rsid w:val="00716D94"/>
    <w:rsid w:val="007170B8"/>
    <w:rsid w:val="0071722B"/>
    <w:rsid w:val="00717424"/>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AB"/>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2285"/>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138"/>
    <w:rsid w:val="007F0C2E"/>
    <w:rsid w:val="007F0D2F"/>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16E"/>
    <w:rsid w:val="00802AC2"/>
    <w:rsid w:val="00802F8E"/>
    <w:rsid w:val="00803A61"/>
    <w:rsid w:val="00804B9C"/>
    <w:rsid w:val="0080551F"/>
    <w:rsid w:val="008056AF"/>
    <w:rsid w:val="00805A85"/>
    <w:rsid w:val="0080692F"/>
    <w:rsid w:val="00810907"/>
    <w:rsid w:val="00810CBE"/>
    <w:rsid w:val="00811FCA"/>
    <w:rsid w:val="008121B9"/>
    <w:rsid w:val="00812724"/>
    <w:rsid w:val="00812AEA"/>
    <w:rsid w:val="00813150"/>
    <w:rsid w:val="008132E9"/>
    <w:rsid w:val="00815D5B"/>
    <w:rsid w:val="00817D87"/>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33AD"/>
    <w:rsid w:val="0083452B"/>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63ED"/>
    <w:rsid w:val="0084726E"/>
    <w:rsid w:val="00847729"/>
    <w:rsid w:val="00850A15"/>
    <w:rsid w:val="00853388"/>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838"/>
    <w:rsid w:val="008B1B47"/>
    <w:rsid w:val="008B30C1"/>
    <w:rsid w:val="008B3189"/>
    <w:rsid w:val="008B3410"/>
    <w:rsid w:val="008B3F09"/>
    <w:rsid w:val="008B4875"/>
    <w:rsid w:val="008B518F"/>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4061"/>
    <w:rsid w:val="00907078"/>
    <w:rsid w:val="00911771"/>
    <w:rsid w:val="00911F95"/>
    <w:rsid w:val="00912953"/>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3672B"/>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735D"/>
    <w:rsid w:val="009617F8"/>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47E4"/>
    <w:rsid w:val="009A5051"/>
    <w:rsid w:val="009A6008"/>
    <w:rsid w:val="009A653A"/>
    <w:rsid w:val="009A67B3"/>
    <w:rsid w:val="009A6B1F"/>
    <w:rsid w:val="009A6DFA"/>
    <w:rsid w:val="009A762C"/>
    <w:rsid w:val="009B161B"/>
    <w:rsid w:val="009B2B9D"/>
    <w:rsid w:val="009B481C"/>
    <w:rsid w:val="009B4D88"/>
    <w:rsid w:val="009B50B0"/>
    <w:rsid w:val="009B551F"/>
    <w:rsid w:val="009B55EC"/>
    <w:rsid w:val="009B61E9"/>
    <w:rsid w:val="009B64B4"/>
    <w:rsid w:val="009B6B60"/>
    <w:rsid w:val="009B6BD5"/>
    <w:rsid w:val="009C04AD"/>
    <w:rsid w:val="009C7265"/>
    <w:rsid w:val="009C72BF"/>
    <w:rsid w:val="009C7E16"/>
    <w:rsid w:val="009C7E66"/>
    <w:rsid w:val="009D03C7"/>
    <w:rsid w:val="009D175E"/>
    <w:rsid w:val="009D3222"/>
    <w:rsid w:val="009D3F38"/>
    <w:rsid w:val="009D431B"/>
    <w:rsid w:val="009D4BC7"/>
    <w:rsid w:val="009D4EFC"/>
    <w:rsid w:val="009D566B"/>
    <w:rsid w:val="009D6AB9"/>
    <w:rsid w:val="009D7D5C"/>
    <w:rsid w:val="009E017C"/>
    <w:rsid w:val="009E0E69"/>
    <w:rsid w:val="009E2652"/>
    <w:rsid w:val="009E26AF"/>
    <w:rsid w:val="009E3C56"/>
    <w:rsid w:val="009E4199"/>
    <w:rsid w:val="009E4AB0"/>
    <w:rsid w:val="009E581B"/>
    <w:rsid w:val="009E5B58"/>
    <w:rsid w:val="009E619F"/>
    <w:rsid w:val="009E61CF"/>
    <w:rsid w:val="009F1579"/>
    <w:rsid w:val="009F223C"/>
    <w:rsid w:val="009F25BB"/>
    <w:rsid w:val="009F281F"/>
    <w:rsid w:val="009F3A12"/>
    <w:rsid w:val="009F5106"/>
    <w:rsid w:val="009F510E"/>
    <w:rsid w:val="009F68C4"/>
    <w:rsid w:val="009F695C"/>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6D"/>
    <w:rsid w:val="00A20697"/>
    <w:rsid w:val="00A20D23"/>
    <w:rsid w:val="00A20F00"/>
    <w:rsid w:val="00A21E3B"/>
    <w:rsid w:val="00A227AA"/>
    <w:rsid w:val="00A22BAD"/>
    <w:rsid w:val="00A23AAE"/>
    <w:rsid w:val="00A23C7E"/>
    <w:rsid w:val="00A24146"/>
    <w:rsid w:val="00A24287"/>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514E"/>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67B8C"/>
    <w:rsid w:val="00A71026"/>
    <w:rsid w:val="00A71AA6"/>
    <w:rsid w:val="00A735E8"/>
    <w:rsid w:val="00A736AB"/>
    <w:rsid w:val="00A76B18"/>
    <w:rsid w:val="00A801B7"/>
    <w:rsid w:val="00A804F3"/>
    <w:rsid w:val="00A80ACE"/>
    <w:rsid w:val="00A819B4"/>
    <w:rsid w:val="00A81A92"/>
    <w:rsid w:val="00A826FB"/>
    <w:rsid w:val="00A82F66"/>
    <w:rsid w:val="00A83B92"/>
    <w:rsid w:val="00A843E4"/>
    <w:rsid w:val="00A846F4"/>
    <w:rsid w:val="00A87984"/>
    <w:rsid w:val="00A90685"/>
    <w:rsid w:val="00A928CF"/>
    <w:rsid w:val="00A934DD"/>
    <w:rsid w:val="00A9433C"/>
    <w:rsid w:val="00A94FB0"/>
    <w:rsid w:val="00A953A4"/>
    <w:rsid w:val="00A954D3"/>
    <w:rsid w:val="00A96781"/>
    <w:rsid w:val="00A96ABF"/>
    <w:rsid w:val="00A96B81"/>
    <w:rsid w:val="00A9710A"/>
    <w:rsid w:val="00A97B42"/>
    <w:rsid w:val="00AA4EAB"/>
    <w:rsid w:val="00AA5DA2"/>
    <w:rsid w:val="00AA629C"/>
    <w:rsid w:val="00AA6C21"/>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03A"/>
    <w:rsid w:val="00AD257E"/>
    <w:rsid w:val="00AD266C"/>
    <w:rsid w:val="00AD27D7"/>
    <w:rsid w:val="00AD28D0"/>
    <w:rsid w:val="00AD2D8B"/>
    <w:rsid w:val="00AD31D8"/>
    <w:rsid w:val="00AD3E63"/>
    <w:rsid w:val="00AD4360"/>
    <w:rsid w:val="00AD4D57"/>
    <w:rsid w:val="00AD56CA"/>
    <w:rsid w:val="00AE3C8F"/>
    <w:rsid w:val="00AE5D23"/>
    <w:rsid w:val="00AE614B"/>
    <w:rsid w:val="00AE6FB0"/>
    <w:rsid w:val="00AF17BE"/>
    <w:rsid w:val="00AF1DC1"/>
    <w:rsid w:val="00AF21A9"/>
    <w:rsid w:val="00AF3791"/>
    <w:rsid w:val="00AF413D"/>
    <w:rsid w:val="00AF486D"/>
    <w:rsid w:val="00AF6380"/>
    <w:rsid w:val="00AF6DFA"/>
    <w:rsid w:val="00AF7190"/>
    <w:rsid w:val="00AF7FD1"/>
    <w:rsid w:val="00B01092"/>
    <w:rsid w:val="00B01EF1"/>
    <w:rsid w:val="00B02EDF"/>
    <w:rsid w:val="00B045BB"/>
    <w:rsid w:val="00B05293"/>
    <w:rsid w:val="00B06205"/>
    <w:rsid w:val="00B070CF"/>
    <w:rsid w:val="00B0716F"/>
    <w:rsid w:val="00B10906"/>
    <w:rsid w:val="00B11450"/>
    <w:rsid w:val="00B1295B"/>
    <w:rsid w:val="00B12AE0"/>
    <w:rsid w:val="00B12E11"/>
    <w:rsid w:val="00B13223"/>
    <w:rsid w:val="00B1512F"/>
    <w:rsid w:val="00B15658"/>
    <w:rsid w:val="00B15808"/>
    <w:rsid w:val="00B1658F"/>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26BB6"/>
    <w:rsid w:val="00B307DF"/>
    <w:rsid w:val="00B316BC"/>
    <w:rsid w:val="00B32BE5"/>
    <w:rsid w:val="00B3366B"/>
    <w:rsid w:val="00B33C37"/>
    <w:rsid w:val="00B356C7"/>
    <w:rsid w:val="00B42830"/>
    <w:rsid w:val="00B45521"/>
    <w:rsid w:val="00B46026"/>
    <w:rsid w:val="00B4640B"/>
    <w:rsid w:val="00B46A46"/>
    <w:rsid w:val="00B47984"/>
    <w:rsid w:val="00B521B0"/>
    <w:rsid w:val="00B523B4"/>
    <w:rsid w:val="00B52666"/>
    <w:rsid w:val="00B52814"/>
    <w:rsid w:val="00B5323D"/>
    <w:rsid w:val="00B5395A"/>
    <w:rsid w:val="00B55E19"/>
    <w:rsid w:val="00B55F07"/>
    <w:rsid w:val="00B57204"/>
    <w:rsid w:val="00B608E5"/>
    <w:rsid w:val="00B6091C"/>
    <w:rsid w:val="00B619FE"/>
    <w:rsid w:val="00B61A92"/>
    <w:rsid w:val="00B6258C"/>
    <w:rsid w:val="00B6283B"/>
    <w:rsid w:val="00B62C6A"/>
    <w:rsid w:val="00B63FDB"/>
    <w:rsid w:val="00B64137"/>
    <w:rsid w:val="00B64240"/>
    <w:rsid w:val="00B647F8"/>
    <w:rsid w:val="00B66A04"/>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864F0"/>
    <w:rsid w:val="00B9018C"/>
    <w:rsid w:val="00B9071E"/>
    <w:rsid w:val="00B917BA"/>
    <w:rsid w:val="00B92E16"/>
    <w:rsid w:val="00B9303C"/>
    <w:rsid w:val="00B934ED"/>
    <w:rsid w:val="00B9463E"/>
    <w:rsid w:val="00B97B53"/>
    <w:rsid w:val="00BA1BE2"/>
    <w:rsid w:val="00BA2E20"/>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2771"/>
    <w:rsid w:val="00BE4C1C"/>
    <w:rsid w:val="00BE53E6"/>
    <w:rsid w:val="00BF02A0"/>
    <w:rsid w:val="00BF0DD5"/>
    <w:rsid w:val="00BF142B"/>
    <w:rsid w:val="00BF2172"/>
    <w:rsid w:val="00BF2654"/>
    <w:rsid w:val="00BF2D2A"/>
    <w:rsid w:val="00BF3637"/>
    <w:rsid w:val="00BF3BD4"/>
    <w:rsid w:val="00BF4B03"/>
    <w:rsid w:val="00BF5106"/>
    <w:rsid w:val="00BF69F2"/>
    <w:rsid w:val="00BF75A3"/>
    <w:rsid w:val="00BF79F2"/>
    <w:rsid w:val="00BF7E57"/>
    <w:rsid w:val="00C004DA"/>
    <w:rsid w:val="00C019D6"/>
    <w:rsid w:val="00C027D5"/>
    <w:rsid w:val="00C03EF2"/>
    <w:rsid w:val="00C0589F"/>
    <w:rsid w:val="00C05DD8"/>
    <w:rsid w:val="00C11B21"/>
    <w:rsid w:val="00C11B39"/>
    <w:rsid w:val="00C126C9"/>
    <w:rsid w:val="00C1433D"/>
    <w:rsid w:val="00C163EF"/>
    <w:rsid w:val="00C16DF9"/>
    <w:rsid w:val="00C1765B"/>
    <w:rsid w:val="00C179A4"/>
    <w:rsid w:val="00C17DD2"/>
    <w:rsid w:val="00C17F21"/>
    <w:rsid w:val="00C226EE"/>
    <w:rsid w:val="00C22F9E"/>
    <w:rsid w:val="00C235F2"/>
    <w:rsid w:val="00C23ACB"/>
    <w:rsid w:val="00C23F98"/>
    <w:rsid w:val="00C24A0D"/>
    <w:rsid w:val="00C260CC"/>
    <w:rsid w:val="00C2706E"/>
    <w:rsid w:val="00C2714C"/>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169"/>
    <w:rsid w:val="00C43A5F"/>
    <w:rsid w:val="00C43AAB"/>
    <w:rsid w:val="00C4592F"/>
    <w:rsid w:val="00C4635C"/>
    <w:rsid w:val="00C470ED"/>
    <w:rsid w:val="00C47128"/>
    <w:rsid w:val="00C47252"/>
    <w:rsid w:val="00C50F05"/>
    <w:rsid w:val="00C52055"/>
    <w:rsid w:val="00C53387"/>
    <w:rsid w:val="00C53FE8"/>
    <w:rsid w:val="00C54204"/>
    <w:rsid w:val="00C55DF0"/>
    <w:rsid w:val="00C5636C"/>
    <w:rsid w:val="00C56CDB"/>
    <w:rsid w:val="00C56E18"/>
    <w:rsid w:val="00C60325"/>
    <w:rsid w:val="00C61036"/>
    <w:rsid w:val="00C6219E"/>
    <w:rsid w:val="00C63014"/>
    <w:rsid w:val="00C63441"/>
    <w:rsid w:val="00C63A6F"/>
    <w:rsid w:val="00C6419B"/>
    <w:rsid w:val="00C641AD"/>
    <w:rsid w:val="00C64D58"/>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AED"/>
    <w:rsid w:val="00CA4CD7"/>
    <w:rsid w:val="00CA5B5A"/>
    <w:rsid w:val="00CA624F"/>
    <w:rsid w:val="00CA6444"/>
    <w:rsid w:val="00CA6791"/>
    <w:rsid w:val="00CA74F6"/>
    <w:rsid w:val="00CA759E"/>
    <w:rsid w:val="00CB073C"/>
    <w:rsid w:val="00CB0991"/>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1A"/>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2FD7"/>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1709"/>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1D70"/>
    <w:rsid w:val="00D72557"/>
    <w:rsid w:val="00D72769"/>
    <w:rsid w:val="00D732C5"/>
    <w:rsid w:val="00D73909"/>
    <w:rsid w:val="00D74016"/>
    <w:rsid w:val="00D743A4"/>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5D5"/>
    <w:rsid w:val="00D87BC3"/>
    <w:rsid w:val="00D87EB2"/>
    <w:rsid w:val="00D90ED3"/>
    <w:rsid w:val="00D910C2"/>
    <w:rsid w:val="00D91D83"/>
    <w:rsid w:val="00D924F2"/>
    <w:rsid w:val="00D92EBC"/>
    <w:rsid w:val="00D9335A"/>
    <w:rsid w:val="00D93748"/>
    <w:rsid w:val="00D93DCA"/>
    <w:rsid w:val="00D94855"/>
    <w:rsid w:val="00D94B54"/>
    <w:rsid w:val="00D95580"/>
    <w:rsid w:val="00D956DA"/>
    <w:rsid w:val="00D95700"/>
    <w:rsid w:val="00D96EDC"/>
    <w:rsid w:val="00D97541"/>
    <w:rsid w:val="00DA12C0"/>
    <w:rsid w:val="00DA168B"/>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B7A87"/>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1A05"/>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1954"/>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27C"/>
    <w:rsid w:val="00E544CD"/>
    <w:rsid w:val="00E5668B"/>
    <w:rsid w:val="00E60275"/>
    <w:rsid w:val="00E60F6E"/>
    <w:rsid w:val="00E620B5"/>
    <w:rsid w:val="00E63307"/>
    <w:rsid w:val="00E63FFB"/>
    <w:rsid w:val="00E65B57"/>
    <w:rsid w:val="00E65B7A"/>
    <w:rsid w:val="00E6620B"/>
    <w:rsid w:val="00E6713E"/>
    <w:rsid w:val="00E67905"/>
    <w:rsid w:val="00E705F6"/>
    <w:rsid w:val="00E71A1A"/>
    <w:rsid w:val="00E71D85"/>
    <w:rsid w:val="00E72D64"/>
    <w:rsid w:val="00E74AAE"/>
    <w:rsid w:val="00E7620C"/>
    <w:rsid w:val="00E77816"/>
    <w:rsid w:val="00E77FEA"/>
    <w:rsid w:val="00E80EF2"/>
    <w:rsid w:val="00E8145A"/>
    <w:rsid w:val="00E82857"/>
    <w:rsid w:val="00E83111"/>
    <w:rsid w:val="00E83D86"/>
    <w:rsid w:val="00E842F0"/>
    <w:rsid w:val="00E8524D"/>
    <w:rsid w:val="00E8595A"/>
    <w:rsid w:val="00E8647F"/>
    <w:rsid w:val="00E8671A"/>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28B3"/>
    <w:rsid w:val="00ED2E7C"/>
    <w:rsid w:val="00ED33D3"/>
    <w:rsid w:val="00ED3F32"/>
    <w:rsid w:val="00ED4EE8"/>
    <w:rsid w:val="00ED5AE2"/>
    <w:rsid w:val="00ED759B"/>
    <w:rsid w:val="00ED7C40"/>
    <w:rsid w:val="00EE039A"/>
    <w:rsid w:val="00EE17EA"/>
    <w:rsid w:val="00EE185C"/>
    <w:rsid w:val="00EE24C1"/>
    <w:rsid w:val="00EE475F"/>
    <w:rsid w:val="00EE48F5"/>
    <w:rsid w:val="00EE4D91"/>
    <w:rsid w:val="00EE688D"/>
    <w:rsid w:val="00EE779C"/>
    <w:rsid w:val="00EF1972"/>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2CED"/>
    <w:rsid w:val="00F0414A"/>
    <w:rsid w:val="00F049BC"/>
    <w:rsid w:val="00F06B81"/>
    <w:rsid w:val="00F07C59"/>
    <w:rsid w:val="00F10594"/>
    <w:rsid w:val="00F10D9B"/>
    <w:rsid w:val="00F10E95"/>
    <w:rsid w:val="00F11A82"/>
    <w:rsid w:val="00F12104"/>
    <w:rsid w:val="00F1281B"/>
    <w:rsid w:val="00F14515"/>
    <w:rsid w:val="00F14C34"/>
    <w:rsid w:val="00F14FA2"/>
    <w:rsid w:val="00F15E2D"/>
    <w:rsid w:val="00F16CF7"/>
    <w:rsid w:val="00F16F6E"/>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B2D"/>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672CD"/>
    <w:rsid w:val="00F70996"/>
    <w:rsid w:val="00F70ED6"/>
    <w:rsid w:val="00F710F1"/>
    <w:rsid w:val="00F719DE"/>
    <w:rsid w:val="00F71F67"/>
    <w:rsid w:val="00F731F5"/>
    <w:rsid w:val="00F74010"/>
    <w:rsid w:val="00F741BE"/>
    <w:rsid w:val="00F7463D"/>
    <w:rsid w:val="00F75203"/>
    <w:rsid w:val="00F77138"/>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43AC"/>
    <w:rsid w:val="00FA4972"/>
    <w:rsid w:val="00FA4D39"/>
    <w:rsid w:val="00FA5457"/>
    <w:rsid w:val="00FA6869"/>
    <w:rsid w:val="00FA6C60"/>
    <w:rsid w:val="00FA6F4B"/>
    <w:rsid w:val="00FA7426"/>
    <w:rsid w:val="00FB03A2"/>
    <w:rsid w:val="00FB0EA6"/>
    <w:rsid w:val="00FB1DE7"/>
    <w:rsid w:val="00FB1E49"/>
    <w:rsid w:val="00FB2890"/>
    <w:rsid w:val="00FB2970"/>
    <w:rsid w:val="00FB37C7"/>
    <w:rsid w:val="00FB42F0"/>
    <w:rsid w:val="00FB45E4"/>
    <w:rsid w:val="00FB5818"/>
    <w:rsid w:val="00FB5915"/>
    <w:rsid w:val="00FB65C7"/>
    <w:rsid w:val="00FB6C14"/>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5F71"/>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BE5333"/>
  <w15:chartTrackingRefBased/>
  <w15:docId w15:val="{5FD21B86-E0C5-467B-9CC6-5DF3F1C24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4225">
      <w:bodyDiv w:val="1"/>
      <w:marLeft w:val="0"/>
      <w:marRight w:val="0"/>
      <w:marTop w:val="0"/>
      <w:marBottom w:val="0"/>
      <w:divBdr>
        <w:top w:val="none" w:sz="0" w:space="0" w:color="auto"/>
        <w:left w:val="none" w:sz="0" w:space="0" w:color="auto"/>
        <w:bottom w:val="none" w:sz="0" w:space="0" w:color="auto"/>
        <w:right w:val="none" w:sz="0" w:space="0" w:color="auto"/>
      </w:divBdr>
    </w:div>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113387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2219750">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29916204">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3119073">
      <w:bodyDiv w:val="1"/>
      <w:marLeft w:val="0"/>
      <w:marRight w:val="0"/>
      <w:marTop w:val="0"/>
      <w:marBottom w:val="0"/>
      <w:divBdr>
        <w:top w:val="none" w:sz="0" w:space="0" w:color="auto"/>
        <w:left w:val="none" w:sz="0" w:space="0" w:color="auto"/>
        <w:bottom w:val="none" w:sz="0" w:space="0" w:color="auto"/>
        <w:right w:val="none" w:sz="0" w:space="0" w:color="auto"/>
      </w:divBdr>
    </w:div>
    <w:div w:id="33234439">
      <w:bodyDiv w:val="1"/>
      <w:marLeft w:val="0"/>
      <w:marRight w:val="0"/>
      <w:marTop w:val="0"/>
      <w:marBottom w:val="0"/>
      <w:divBdr>
        <w:top w:val="none" w:sz="0" w:space="0" w:color="auto"/>
        <w:left w:val="none" w:sz="0" w:space="0" w:color="auto"/>
        <w:bottom w:val="none" w:sz="0" w:space="0" w:color="auto"/>
        <w:right w:val="none" w:sz="0" w:space="0" w:color="auto"/>
      </w:divBdr>
    </w:div>
    <w:div w:id="37048397">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4954616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3968590">
      <w:bodyDiv w:val="1"/>
      <w:marLeft w:val="0"/>
      <w:marRight w:val="0"/>
      <w:marTop w:val="0"/>
      <w:marBottom w:val="0"/>
      <w:divBdr>
        <w:top w:val="none" w:sz="0" w:space="0" w:color="auto"/>
        <w:left w:val="none" w:sz="0" w:space="0" w:color="auto"/>
        <w:bottom w:val="none" w:sz="0" w:space="0" w:color="auto"/>
        <w:right w:val="none" w:sz="0" w:space="0" w:color="auto"/>
      </w:divBdr>
    </w:div>
    <w:div w:id="5466745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8552161">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69229881">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2895123">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0029749">
      <w:bodyDiv w:val="1"/>
      <w:marLeft w:val="0"/>
      <w:marRight w:val="0"/>
      <w:marTop w:val="0"/>
      <w:marBottom w:val="0"/>
      <w:divBdr>
        <w:top w:val="none" w:sz="0" w:space="0" w:color="auto"/>
        <w:left w:val="none" w:sz="0" w:space="0" w:color="auto"/>
        <w:bottom w:val="none" w:sz="0" w:space="0" w:color="auto"/>
        <w:right w:val="none" w:sz="0" w:space="0" w:color="auto"/>
      </w:divBdr>
    </w:div>
    <w:div w:id="100031613">
      <w:bodyDiv w:val="1"/>
      <w:marLeft w:val="0"/>
      <w:marRight w:val="0"/>
      <w:marTop w:val="0"/>
      <w:marBottom w:val="0"/>
      <w:divBdr>
        <w:top w:val="none" w:sz="0" w:space="0" w:color="auto"/>
        <w:left w:val="none" w:sz="0" w:space="0" w:color="auto"/>
        <w:bottom w:val="none" w:sz="0" w:space="0" w:color="auto"/>
        <w:right w:val="none" w:sz="0" w:space="0" w:color="auto"/>
      </w:divBdr>
    </w:div>
    <w:div w:id="100731381">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4934119">
      <w:bodyDiv w:val="1"/>
      <w:marLeft w:val="0"/>
      <w:marRight w:val="0"/>
      <w:marTop w:val="0"/>
      <w:marBottom w:val="0"/>
      <w:divBdr>
        <w:top w:val="none" w:sz="0" w:space="0" w:color="auto"/>
        <w:left w:val="none" w:sz="0" w:space="0" w:color="auto"/>
        <w:bottom w:val="none" w:sz="0" w:space="0" w:color="auto"/>
        <w:right w:val="none" w:sz="0" w:space="0" w:color="auto"/>
      </w:divBdr>
    </w:div>
    <w:div w:id="105583641">
      <w:bodyDiv w:val="1"/>
      <w:marLeft w:val="0"/>
      <w:marRight w:val="0"/>
      <w:marTop w:val="0"/>
      <w:marBottom w:val="0"/>
      <w:divBdr>
        <w:top w:val="none" w:sz="0" w:space="0" w:color="auto"/>
        <w:left w:val="none" w:sz="0" w:space="0" w:color="auto"/>
        <w:bottom w:val="none" w:sz="0" w:space="0" w:color="auto"/>
        <w:right w:val="none" w:sz="0" w:space="0" w:color="auto"/>
      </w:divBdr>
    </w:div>
    <w:div w:id="108202116">
      <w:bodyDiv w:val="1"/>
      <w:marLeft w:val="0"/>
      <w:marRight w:val="0"/>
      <w:marTop w:val="0"/>
      <w:marBottom w:val="0"/>
      <w:divBdr>
        <w:top w:val="none" w:sz="0" w:space="0" w:color="auto"/>
        <w:left w:val="none" w:sz="0" w:space="0" w:color="auto"/>
        <w:bottom w:val="none" w:sz="0" w:space="0" w:color="auto"/>
        <w:right w:val="none" w:sz="0" w:space="0" w:color="auto"/>
      </w:divBdr>
    </w:div>
    <w:div w:id="109059334">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5829783">
      <w:bodyDiv w:val="1"/>
      <w:marLeft w:val="0"/>
      <w:marRight w:val="0"/>
      <w:marTop w:val="0"/>
      <w:marBottom w:val="0"/>
      <w:divBdr>
        <w:top w:val="none" w:sz="0" w:space="0" w:color="auto"/>
        <w:left w:val="none" w:sz="0" w:space="0" w:color="auto"/>
        <w:bottom w:val="none" w:sz="0" w:space="0" w:color="auto"/>
        <w:right w:val="none" w:sz="0" w:space="0" w:color="auto"/>
      </w:divBdr>
    </w:div>
    <w:div w:id="116410512">
      <w:bodyDiv w:val="1"/>
      <w:marLeft w:val="0"/>
      <w:marRight w:val="0"/>
      <w:marTop w:val="0"/>
      <w:marBottom w:val="0"/>
      <w:divBdr>
        <w:top w:val="none" w:sz="0" w:space="0" w:color="auto"/>
        <w:left w:val="none" w:sz="0" w:space="0" w:color="auto"/>
        <w:bottom w:val="none" w:sz="0" w:space="0" w:color="auto"/>
        <w:right w:val="none" w:sz="0" w:space="0" w:color="auto"/>
      </w:divBdr>
    </w:div>
    <w:div w:id="117073583">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19223561">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0757258">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3984422">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8884095">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1969215">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79467816">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365052">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89875657">
      <w:bodyDiv w:val="1"/>
      <w:marLeft w:val="0"/>
      <w:marRight w:val="0"/>
      <w:marTop w:val="0"/>
      <w:marBottom w:val="0"/>
      <w:divBdr>
        <w:top w:val="none" w:sz="0" w:space="0" w:color="auto"/>
        <w:left w:val="none" w:sz="0" w:space="0" w:color="auto"/>
        <w:bottom w:val="none" w:sz="0" w:space="0" w:color="auto"/>
        <w:right w:val="none" w:sz="0" w:space="0" w:color="auto"/>
      </w:divBdr>
    </w:div>
    <w:div w:id="192348382">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3617046">
      <w:bodyDiv w:val="1"/>
      <w:marLeft w:val="0"/>
      <w:marRight w:val="0"/>
      <w:marTop w:val="0"/>
      <w:marBottom w:val="0"/>
      <w:divBdr>
        <w:top w:val="none" w:sz="0" w:space="0" w:color="auto"/>
        <w:left w:val="none" w:sz="0" w:space="0" w:color="auto"/>
        <w:bottom w:val="none" w:sz="0" w:space="0" w:color="auto"/>
        <w:right w:val="none" w:sz="0" w:space="0" w:color="auto"/>
      </w:divBdr>
    </w:div>
    <w:div w:id="193814054">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4145790">
      <w:bodyDiv w:val="1"/>
      <w:marLeft w:val="0"/>
      <w:marRight w:val="0"/>
      <w:marTop w:val="0"/>
      <w:marBottom w:val="0"/>
      <w:divBdr>
        <w:top w:val="none" w:sz="0" w:space="0" w:color="auto"/>
        <w:left w:val="none" w:sz="0" w:space="0" w:color="auto"/>
        <w:bottom w:val="none" w:sz="0" w:space="0" w:color="auto"/>
        <w:right w:val="none" w:sz="0" w:space="0" w:color="auto"/>
      </w:divBdr>
    </w:div>
    <w:div w:id="204953816">
      <w:bodyDiv w:val="1"/>
      <w:marLeft w:val="0"/>
      <w:marRight w:val="0"/>
      <w:marTop w:val="0"/>
      <w:marBottom w:val="0"/>
      <w:divBdr>
        <w:top w:val="none" w:sz="0" w:space="0" w:color="auto"/>
        <w:left w:val="none" w:sz="0" w:space="0" w:color="auto"/>
        <w:bottom w:val="none" w:sz="0" w:space="0" w:color="auto"/>
        <w:right w:val="none" w:sz="0" w:space="0" w:color="auto"/>
      </w:divBdr>
    </w:div>
    <w:div w:id="206139055">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4582244">
      <w:bodyDiv w:val="1"/>
      <w:marLeft w:val="0"/>
      <w:marRight w:val="0"/>
      <w:marTop w:val="0"/>
      <w:marBottom w:val="0"/>
      <w:divBdr>
        <w:top w:val="none" w:sz="0" w:space="0" w:color="auto"/>
        <w:left w:val="none" w:sz="0" w:space="0" w:color="auto"/>
        <w:bottom w:val="none" w:sz="0" w:space="0" w:color="auto"/>
        <w:right w:val="none" w:sz="0" w:space="0" w:color="auto"/>
      </w:divBdr>
    </w:div>
    <w:div w:id="216285243">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6118923">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4120253">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1522448">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3755086">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0919109">
      <w:bodyDiv w:val="1"/>
      <w:marLeft w:val="0"/>
      <w:marRight w:val="0"/>
      <w:marTop w:val="0"/>
      <w:marBottom w:val="0"/>
      <w:divBdr>
        <w:top w:val="none" w:sz="0" w:space="0" w:color="auto"/>
        <w:left w:val="none" w:sz="0" w:space="0" w:color="auto"/>
        <w:bottom w:val="none" w:sz="0" w:space="0" w:color="auto"/>
        <w:right w:val="none" w:sz="0" w:space="0" w:color="auto"/>
      </w:divBdr>
    </w:div>
    <w:div w:id="286813211">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1955196">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3890">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50410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4601368">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50028713">
      <w:bodyDiv w:val="1"/>
      <w:marLeft w:val="0"/>
      <w:marRight w:val="0"/>
      <w:marTop w:val="0"/>
      <w:marBottom w:val="0"/>
      <w:divBdr>
        <w:top w:val="none" w:sz="0" w:space="0" w:color="auto"/>
        <w:left w:val="none" w:sz="0" w:space="0" w:color="auto"/>
        <w:bottom w:val="none" w:sz="0" w:space="0" w:color="auto"/>
        <w:right w:val="none" w:sz="0" w:space="0" w:color="auto"/>
      </w:divBdr>
    </w:div>
    <w:div w:id="352612391">
      <w:bodyDiv w:val="1"/>
      <w:marLeft w:val="0"/>
      <w:marRight w:val="0"/>
      <w:marTop w:val="0"/>
      <w:marBottom w:val="0"/>
      <w:divBdr>
        <w:top w:val="none" w:sz="0" w:space="0" w:color="auto"/>
        <w:left w:val="none" w:sz="0" w:space="0" w:color="auto"/>
        <w:bottom w:val="none" w:sz="0" w:space="0" w:color="auto"/>
        <w:right w:val="none" w:sz="0" w:space="0" w:color="auto"/>
      </w:divBdr>
    </w:div>
    <w:div w:id="358094627">
      <w:bodyDiv w:val="1"/>
      <w:marLeft w:val="0"/>
      <w:marRight w:val="0"/>
      <w:marTop w:val="0"/>
      <w:marBottom w:val="0"/>
      <w:divBdr>
        <w:top w:val="none" w:sz="0" w:space="0" w:color="auto"/>
        <w:left w:val="none" w:sz="0" w:space="0" w:color="auto"/>
        <w:bottom w:val="none" w:sz="0" w:space="0" w:color="auto"/>
        <w:right w:val="none" w:sz="0" w:space="0" w:color="auto"/>
      </w:divBdr>
    </w:div>
    <w:div w:id="360402736">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1369999">
      <w:bodyDiv w:val="1"/>
      <w:marLeft w:val="0"/>
      <w:marRight w:val="0"/>
      <w:marTop w:val="0"/>
      <w:marBottom w:val="0"/>
      <w:divBdr>
        <w:top w:val="none" w:sz="0" w:space="0" w:color="auto"/>
        <w:left w:val="none" w:sz="0" w:space="0" w:color="auto"/>
        <w:bottom w:val="none" w:sz="0" w:space="0" w:color="auto"/>
        <w:right w:val="none" w:sz="0" w:space="0" w:color="auto"/>
      </w:divBdr>
    </w:div>
    <w:div w:id="362483537">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6687812">
      <w:bodyDiv w:val="1"/>
      <w:marLeft w:val="0"/>
      <w:marRight w:val="0"/>
      <w:marTop w:val="0"/>
      <w:marBottom w:val="0"/>
      <w:divBdr>
        <w:top w:val="none" w:sz="0" w:space="0" w:color="auto"/>
        <w:left w:val="none" w:sz="0" w:space="0" w:color="auto"/>
        <w:bottom w:val="none" w:sz="0" w:space="0" w:color="auto"/>
        <w:right w:val="none" w:sz="0" w:space="0" w:color="auto"/>
      </w:divBdr>
    </w:div>
    <w:div w:id="370501787">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2197980">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0687155">
      <w:bodyDiv w:val="1"/>
      <w:marLeft w:val="0"/>
      <w:marRight w:val="0"/>
      <w:marTop w:val="0"/>
      <w:marBottom w:val="0"/>
      <w:divBdr>
        <w:top w:val="none" w:sz="0" w:space="0" w:color="auto"/>
        <w:left w:val="none" w:sz="0" w:space="0" w:color="auto"/>
        <w:bottom w:val="none" w:sz="0" w:space="0" w:color="auto"/>
        <w:right w:val="none" w:sz="0" w:space="0" w:color="auto"/>
      </w:divBdr>
    </w:div>
    <w:div w:id="400755965">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8522786">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0177225">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28820837">
      <w:bodyDiv w:val="1"/>
      <w:marLeft w:val="0"/>
      <w:marRight w:val="0"/>
      <w:marTop w:val="0"/>
      <w:marBottom w:val="0"/>
      <w:divBdr>
        <w:top w:val="none" w:sz="0" w:space="0" w:color="auto"/>
        <w:left w:val="none" w:sz="0" w:space="0" w:color="auto"/>
        <w:bottom w:val="none" w:sz="0" w:space="0" w:color="auto"/>
        <w:right w:val="none" w:sz="0" w:space="0" w:color="auto"/>
      </w:divBdr>
    </w:div>
    <w:div w:id="429083414">
      <w:bodyDiv w:val="1"/>
      <w:marLeft w:val="0"/>
      <w:marRight w:val="0"/>
      <w:marTop w:val="0"/>
      <w:marBottom w:val="0"/>
      <w:divBdr>
        <w:top w:val="none" w:sz="0" w:space="0" w:color="auto"/>
        <w:left w:val="none" w:sz="0" w:space="0" w:color="auto"/>
        <w:bottom w:val="none" w:sz="0" w:space="0" w:color="auto"/>
        <w:right w:val="none" w:sz="0" w:space="0" w:color="auto"/>
      </w:divBdr>
    </w:div>
    <w:div w:id="430513885">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4600079">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2916811">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79032629">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14517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069548">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0583746">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771423">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4365035">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29028371">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4461296">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0554002">
      <w:bodyDiv w:val="1"/>
      <w:marLeft w:val="0"/>
      <w:marRight w:val="0"/>
      <w:marTop w:val="0"/>
      <w:marBottom w:val="0"/>
      <w:divBdr>
        <w:top w:val="none" w:sz="0" w:space="0" w:color="auto"/>
        <w:left w:val="none" w:sz="0" w:space="0" w:color="auto"/>
        <w:bottom w:val="none" w:sz="0" w:space="0" w:color="auto"/>
        <w:right w:val="none" w:sz="0" w:space="0" w:color="auto"/>
      </w:divBdr>
    </w:div>
    <w:div w:id="541286509">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5021805">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3000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065464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142979">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7912300">
      <w:bodyDiv w:val="1"/>
      <w:marLeft w:val="0"/>
      <w:marRight w:val="0"/>
      <w:marTop w:val="0"/>
      <w:marBottom w:val="0"/>
      <w:divBdr>
        <w:top w:val="none" w:sz="0" w:space="0" w:color="auto"/>
        <w:left w:val="none" w:sz="0" w:space="0" w:color="auto"/>
        <w:bottom w:val="none" w:sz="0" w:space="0" w:color="auto"/>
        <w:right w:val="none" w:sz="0" w:space="0" w:color="auto"/>
      </w:divBdr>
    </w:div>
    <w:div w:id="598175891">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7420717">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2127270">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4575308">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5452739">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246704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1514715">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4555339">
      <w:bodyDiv w:val="1"/>
      <w:marLeft w:val="0"/>
      <w:marRight w:val="0"/>
      <w:marTop w:val="0"/>
      <w:marBottom w:val="0"/>
      <w:divBdr>
        <w:top w:val="none" w:sz="0" w:space="0" w:color="auto"/>
        <w:left w:val="none" w:sz="0" w:space="0" w:color="auto"/>
        <w:bottom w:val="none" w:sz="0" w:space="0" w:color="auto"/>
        <w:right w:val="none" w:sz="0" w:space="0" w:color="auto"/>
      </w:divBdr>
    </w:div>
    <w:div w:id="684985448">
      <w:bodyDiv w:val="1"/>
      <w:marLeft w:val="0"/>
      <w:marRight w:val="0"/>
      <w:marTop w:val="0"/>
      <w:marBottom w:val="0"/>
      <w:divBdr>
        <w:top w:val="none" w:sz="0" w:space="0" w:color="auto"/>
        <w:left w:val="none" w:sz="0" w:space="0" w:color="auto"/>
        <w:bottom w:val="none" w:sz="0" w:space="0" w:color="auto"/>
        <w:right w:val="none" w:sz="0" w:space="0" w:color="auto"/>
      </w:divBdr>
    </w:div>
    <w:div w:id="68544976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37857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7002939">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2075471">
      <w:bodyDiv w:val="1"/>
      <w:marLeft w:val="0"/>
      <w:marRight w:val="0"/>
      <w:marTop w:val="0"/>
      <w:marBottom w:val="0"/>
      <w:divBdr>
        <w:top w:val="none" w:sz="0" w:space="0" w:color="auto"/>
        <w:left w:val="none" w:sz="0" w:space="0" w:color="auto"/>
        <w:bottom w:val="none" w:sz="0" w:space="0" w:color="auto"/>
        <w:right w:val="none" w:sz="0" w:space="0" w:color="auto"/>
      </w:divBdr>
    </w:div>
    <w:div w:id="714933323">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4597611">
      <w:bodyDiv w:val="1"/>
      <w:marLeft w:val="0"/>
      <w:marRight w:val="0"/>
      <w:marTop w:val="0"/>
      <w:marBottom w:val="0"/>
      <w:divBdr>
        <w:top w:val="none" w:sz="0" w:space="0" w:color="auto"/>
        <w:left w:val="none" w:sz="0" w:space="0" w:color="auto"/>
        <w:bottom w:val="none" w:sz="0" w:space="0" w:color="auto"/>
        <w:right w:val="none" w:sz="0" w:space="0" w:color="auto"/>
      </w:divBdr>
    </w:div>
    <w:div w:id="726074511">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5054614">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25295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0586160">
      <w:bodyDiv w:val="1"/>
      <w:marLeft w:val="0"/>
      <w:marRight w:val="0"/>
      <w:marTop w:val="0"/>
      <w:marBottom w:val="0"/>
      <w:divBdr>
        <w:top w:val="none" w:sz="0" w:space="0" w:color="auto"/>
        <w:left w:val="none" w:sz="0" w:space="0" w:color="auto"/>
        <w:bottom w:val="none" w:sz="0" w:space="0" w:color="auto"/>
        <w:right w:val="none" w:sz="0" w:space="0" w:color="auto"/>
      </w:divBdr>
    </w:div>
    <w:div w:id="750662501">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580966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6193394">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6047102">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160392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3260240">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0125138">
      <w:bodyDiv w:val="1"/>
      <w:marLeft w:val="0"/>
      <w:marRight w:val="0"/>
      <w:marTop w:val="0"/>
      <w:marBottom w:val="0"/>
      <w:divBdr>
        <w:top w:val="none" w:sz="0" w:space="0" w:color="auto"/>
        <w:left w:val="none" w:sz="0" w:space="0" w:color="auto"/>
        <w:bottom w:val="none" w:sz="0" w:space="0" w:color="auto"/>
        <w:right w:val="none" w:sz="0" w:space="0" w:color="auto"/>
      </w:divBdr>
    </w:div>
    <w:div w:id="821001659">
      <w:bodyDiv w:val="1"/>
      <w:marLeft w:val="0"/>
      <w:marRight w:val="0"/>
      <w:marTop w:val="0"/>
      <w:marBottom w:val="0"/>
      <w:divBdr>
        <w:top w:val="none" w:sz="0" w:space="0" w:color="auto"/>
        <w:left w:val="none" w:sz="0" w:space="0" w:color="auto"/>
        <w:bottom w:val="none" w:sz="0" w:space="0" w:color="auto"/>
        <w:right w:val="none" w:sz="0" w:space="0" w:color="auto"/>
      </w:divBdr>
    </w:div>
    <w:div w:id="823661590">
      <w:bodyDiv w:val="1"/>
      <w:marLeft w:val="0"/>
      <w:marRight w:val="0"/>
      <w:marTop w:val="0"/>
      <w:marBottom w:val="0"/>
      <w:divBdr>
        <w:top w:val="none" w:sz="0" w:space="0" w:color="auto"/>
        <w:left w:val="none" w:sz="0" w:space="0" w:color="auto"/>
        <w:bottom w:val="none" w:sz="0" w:space="0" w:color="auto"/>
        <w:right w:val="none" w:sz="0" w:space="0" w:color="auto"/>
      </w:divBdr>
    </w:div>
    <w:div w:id="82447521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2526282">
      <w:bodyDiv w:val="1"/>
      <w:marLeft w:val="0"/>
      <w:marRight w:val="0"/>
      <w:marTop w:val="0"/>
      <w:marBottom w:val="0"/>
      <w:divBdr>
        <w:top w:val="none" w:sz="0" w:space="0" w:color="auto"/>
        <w:left w:val="none" w:sz="0" w:space="0" w:color="auto"/>
        <w:bottom w:val="none" w:sz="0" w:space="0" w:color="auto"/>
        <w:right w:val="none" w:sz="0" w:space="0" w:color="auto"/>
      </w:divBdr>
    </w:div>
    <w:div w:id="832718869">
      <w:bodyDiv w:val="1"/>
      <w:marLeft w:val="0"/>
      <w:marRight w:val="0"/>
      <w:marTop w:val="0"/>
      <w:marBottom w:val="0"/>
      <w:divBdr>
        <w:top w:val="none" w:sz="0" w:space="0" w:color="auto"/>
        <w:left w:val="none" w:sz="0" w:space="0" w:color="auto"/>
        <w:bottom w:val="none" w:sz="0" w:space="0" w:color="auto"/>
        <w:right w:val="none" w:sz="0" w:space="0" w:color="auto"/>
      </w:divBdr>
    </w:div>
    <w:div w:id="8341532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39003872">
      <w:bodyDiv w:val="1"/>
      <w:marLeft w:val="0"/>
      <w:marRight w:val="0"/>
      <w:marTop w:val="0"/>
      <w:marBottom w:val="0"/>
      <w:divBdr>
        <w:top w:val="none" w:sz="0" w:space="0" w:color="auto"/>
        <w:left w:val="none" w:sz="0" w:space="0" w:color="auto"/>
        <w:bottom w:val="none" w:sz="0" w:space="0" w:color="auto"/>
        <w:right w:val="none" w:sz="0" w:space="0" w:color="auto"/>
      </w:divBdr>
    </w:div>
    <w:div w:id="840775011">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3977810">
      <w:bodyDiv w:val="1"/>
      <w:marLeft w:val="0"/>
      <w:marRight w:val="0"/>
      <w:marTop w:val="0"/>
      <w:marBottom w:val="0"/>
      <w:divBdr>
        <w:top w:val="none" w:sz="0" w:space="0" w:color="auto"/>
        <w:left w:val="none" w:sz="0" w:space="0" w:color="auto"/>
        <w:bottom w:val="none" w:sz="0" w:space="0" w:color="auto"/>
        <w:right w:val="none" w:sz="0" w:space="0" w:color="auto"/>
      </w:divBdr>
    </w:div>
    <w:div w:id="844789065">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0990554">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5582189">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507527">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5404924">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5356021">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1063578">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36853">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09656651">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3993400">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29392017">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35089564">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0555341">
      <w:bodyDiv w:val="1"/>
      <w:marLeft w:val="0"/>
      <w:marRight w:val="0"/>
      <w:marTop w:val="0"/>
      <w:marBottom w:val="0"/>
      <w:divBdr>
        <w:top w:val="none" w:sz="0" w:space="0" w:color="auto"/>
        <w:left w:val="none" w:sz="0" w:space="0" w:color="auto"/>
        <w:bottom w:val="none" w:sz="0" w:space="0" w:color="auto"/>
        <w:right w:val="none" w:sz="0" w:space="0" w:color="auto"/>
      </w:divBdr>
    </w:div>
    <w:div w:id="954286226">
      <w:bodyDiv w:val="1"/>
      <w:marLeft w:val="0"/>
      <w:marRight w:val="0"/>
      <w:marTop w:val="0"/>
      <w:marBottom w:val="0"/>
      <w:divBdr>
        <w:top w:val="none" w:sz="0" w:space="0" w:color="auto"/>
        <w:left w:val="none" w:sz="0" w:space="0" w:color="auto"/>
        <w:bottom w:val="none" w:sz="0" w:space="0" w:color="auto"/>
        <w:right w:val="none" w:sz="0" w:space="0" w:color="auto"/>
      </w:divBdr>
    </w:div>
    <w:div w:id="956105683">
      <w:bodyDiv w:val="1"/>
      <w:marLeft w:val="0"/>
      <w:marRight w:val="0"/>
      <w:marTop w:val="0"/>
      <w:marBottom w:val="0"/>
      <w:divBdr>
        <w:top w:val="none" w:sz="0" w:space="0" w:color="auto"/>
        <w:left w:val="none" w:sz="0" w:space="0" w:color="auto"/>
        <w:bottom w:val="none" w:sz="0" w:space="0" w:color="auto"/>
        <w:right w:val="none" w:sz="0" w:space="0" w:color="auto"/>
      </w:divBdr>
    </w:div>
    <w:div w:id="959805048">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67592762">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3432040">
      <w:bodyDiv w:val="1"/>
      <w:marLeft w:val="0"/>
      <w:marRight w:val="0"/>
      <w:marTop w:val="0"/>
      <w:marBottom w:val="0"/>
      <w:divBdr>
        <w:top w:val="none" w:sz="0" w:space="0" w:color="auto"/>
        <w:left w:val="none" w:sz="0" w:space="0" w:color="auto"/>
        <w:bottom w:val="none" w:sz="0" w:space="0" w:color="auto"/>
        <w:right w:val="none" w:sz="0" w:space="0" w:color="auto"/>
      </w:divBdr>
    </w:div>
    <w:div w:id="1003776772">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07102933">
      <w:bodyDiv w:val="1"/>
      <w:marLeft w:val="0"/>
      <w:marRight w:val="0"/>
      <w:marTop w:val="0"/>
      <w:marBottom w:val="0"/>
      <w:divBdr>
        <w:top w:val="none" w:sz="0" w:space="0" w:color="auto"/>
        <w:left w:val="none" w:sz="0" w:space="0" w:color="auto"/>
        <w:bottom w:val="none" w:sz="0" w:space="0" w:color="auto"/>
        <w:right w:val="none" w:sz="0" w:space="0" w:color="auto"/>
      </w:divBdr>
    </w:div>
    <w:div w:id="101056966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2420530">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470371">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2632719">
      <w:bodyDiv w:val="1"/>
      <w:marLeft w:val="0"/>
      <w:marRight w:val="0"/>
      <w:marTop w:val="0"/>
      <w:marBottom w:val="0"/>
      <w:divBdr>
        <w:top w:val="none" w:sz="0" w:space="0" w:color="auto"/>
        <w:left w:val="none" w:sz="0" w:space="0" w:color="auto"/>
        <w:bottom w:val="none" w:sz="0" w:space="0" w:color="auto"/>
        <w:right w:val="none" w:sz="0" w:space="0" w:color="auto"/>
      </w:divBdr>
    </w:div>
    <w:div w:id="1063286098">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79984111">
      <w:bodyDiv w:val="1"/>
      <w:marLeft w:val="0"/>
      <w:marRight w:val="0"/>
      <w:marTop w:val="0"/>
      <w:marBottom w:val="0"/>
      <w:divBdr>
        <w:top w:val="none" w:sz="0" w:space="0" w:color="auto"/>
        <w:left w:val="none" w:sz="0" w:space="0" w:color="auto"/>
        <w:bottom w:val="none" w:sz="0" w:space="0" w:color="auto"/>
        <w:right w:val="none" w:sz="0" w:space="0" w:color="auto"/>
      </w:divBdr>
    </w:div>
    <w:div w:id="108456703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097170522">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0053008">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3747404">
      <w:bodyDiv w:val="1"/>
      <w:marLeft w:val="0"/>
      <w:marRight w:val="0"/>
      <w:marTop w:val="0"/>
      <w:marBottom w:val="0"/>
      <w:divBdr>
        <w:top w:val="none" w:sz="0" w:space="0" w:color="auto"/>
        <w:left w:val="none" w:sz="0" w:space="0" w:color="auto"/>
        <w:bottom w:val="none" w:sz="0" w:space="0" w:color="auto"/>
        <w:right w:val="none" w:sz="0" w:space="0" w:color="auto"/>
      </w:divBdr>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19252937">
      <w:bodyDiv w:val="1"/>
      <w:marLeft w:val="0"/>
      <w:marRight w:val="0"/>
      <w:marTop w:val="0"/>
      <w:marBottom w:val="0"/>
      <w:divBdr>
        <w:top w:val="none" w:sz="0" w:space="0" w:color="auto"/>
        <w:left w:val="none" w:sz="0" w:space="0" w:color="auto"/>
        <w:bottom w:val="none" w:sz="0" w:space="0" w:color="auto"/>
        <w:right w:val="none" w:sz="0" w:space="0" w:color="auto"/>
      </w:divBdr>
    </w:div>
    <w:div w:id="1119255979">
      <w:bodyDiv w:val="1"/>
      <w:marLeft w:val="0"/>
      <w:marRight w:val="0"/>
      <w:marTop w:val="0"/>
      <w:marBottom w:val="0"/>
      <w:divBdr>
        <w:top w:val="none" w:sz="0" w:space="0" w:color="auto"/>
        <w:left w:val="none" w:sz="0" w:space="0" w:color="auto"/>
        <w:bottom w:val="none" w:sz="0" w:space="0" w:color="auto"/>
        <w:right w:val="none" w:sz="0" w:space="0" w:color="auto"/>
      </w:divBdr>
    </w:div>
    <w:div w:id="1120223336">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5678021">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1483714">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0462287">
      <w:bodyDiv w:val="1"/>
      <w:marLeft w:val="0"/>
      <w:marRight w:val="0"/>
      <w:marTop w:val="0"/>
      <w:marBottom w:val="0"/>
      <w:divBdr>
        <w:top w:val="none" w:sz="0" w:space="0" w:color="auto"/>
        <w:left w:val="none" w:sz="0" w:space="0" w:color="auto"/>
        <w:bottom w:val="none" w:sz="0" w:space="0" w:color="auto"/>
        <w:right w:val="none" w:sz="0" w:space="0" w:color="auto"/>
      </w:divBdr>
    </w:div>
    <w:div w:id="1162045726">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5053185">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636586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1407361">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084472">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6359949">
      <w:bodyDiv w:val="1"/>
      <w:marLeft w:val="0"/>
      <w:marRight w:val="0"/>
      <w:marTop w:val="0"/>
      <w:marBottom w:val="0"/>
      <w:divBdr>
        <w:top w:val="none" w:sz="0" w:space="0" w:color="auto"/>
        <w:left w:val="none" w:sz="0" w:space="0" w:color="auto"/>
        <w:bottom w:val="none" w:sz="0" w:space="0" w:color="auto"/>
        <w:right w:val="none" w:sz="0" w:space="0" w:color="auto"/>
      </w:divBdr>
    </w:div>
    <w:div w:id="1189949803">
      <w:bodyDiv w:val="1"/>
      <w:marLeft w:val="0"/>
      <w:marRight w:val="0"/>
      <w:marTop w:val="0"/>
      <w:marBottom w:val="0"/>
      <w:divBdr>
        <w:top w:val="none" w:sz="0" w:space="0" w:color="auto"/>
        <w:left w:val="none" w:sz="0" w:space="0" w:color="auto"/>
        <w:bottom w:val="none" w:sz="0" w:space="0" w:color="auto"/>
        <w:right w:val="none" w:sz="0" w:space="0" w:color="auto"/>
      </w:divBdr>
    </w:div>
    <w:div w:id="1190752096">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4883643">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36625746">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49266106">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6305260">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7925524">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296369731">
      <w:bodyDiv w:val="1"/>
      <w:marLeft w:val="0"/>
      <w:marRight w:val="0"/>
      <w:marTop w:val="0"/>
      <w:marBottom w:val="0"/>
      <w:divBdr>
        <w:top w:val="none" w:sz="0" w:space="0" w:color="auto"/>
        <w:left w:val="none" w:sz="0" w:space="0" w:color="auto"/>
        <w:bottom w:val="none" w:sz="0" w:space="0" w:color="auto"/>
        <w:right w:val="none" w:sz="0" w:space="0" w:color="auto"/>
      </w:divBdr>
    </w:div>
    <w:div w:id="1300265671">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5455143">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9094399">
      <w:bodyDiv w:val="1"/>
      <w:marLeft w:val="0"/>
      <w:marRight w:val="0"/>
      <w:marTop w:val="0"/>
      <w:marBottom w:val="0"/>
      <w:divBdr>
        <w:top w:val="none" w:sz="0" w:space="0" w:color="auto"/>
        <w:left w:val="none" w:sz="0" w:space="0" w:color="auto"/>
        <w:bottom w:val="none" w:sz="0" w:space="0" w:color="auto"/>
        <w:right w:val="none" w:sz="0" w:space="0" w:color="auto"/>
      </w:divBdr>
    </w:div>
    <w:div w:id="1331064338">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0695817">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8944098">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3653982">
      <w:bodyDiv w:val="1"/>
      <w:marLeft w:val="0"/>
      <w:marRight w:val="0"/>
      <w:marTop w:val="0"/>
      <w:marBottom w:val="0"/>
      <w:divBdr>
        <w:top w:val="none" w:sz="0" w:space="0" w:color="auto"/>
        <w:left w:val="none" w:sz="0" w:space="0" w:color="auto"/>
        <w:bottom w:val="none" w:sz="0" w:space="0" w:color="auto"/>
        <w:right w:val="none" w:sz="0" w:space="0" w:color="auto"/>
      </w:divBdr>
    </w:div>
    <w:div w:id="1355228673">
      <w:bodyDiv w:val="1"/>
      <w:marLeft w:val="0"/>
      <w:marRight w:val="0"/>
      <w:marTop w:val="0"/>
      <w:marBottom w:val="0"/>
      <w:divBdr>
        <w:top w:val="none" w:sz="0" w:space="0" w:color="auto"/>
        <w:left w:val="none" w:sz="0" w:space="0" w:color="auto"/>
        <w:bottom w:val="none" w:sz="0" w:space="0" w:color="auto"/>
        <w:right w:val="none" w:sz="0" w:space="0" w:color="auto"/>
      </w:divBdr>
    </w:div>
    <w:div w:id="1362708274">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69640483">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4038120">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1972931">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542095">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6850520">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399983540">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2264841">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3406270">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29543062">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131309">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116564">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0053019">
      <w:bodyDiv w:val="1"/>
      <w:marLeft w:val="0"/>
      <w:marRight w:val="0"/>
      <w:marTop w:val="0"/>
      <w:marBottom w:val="0"/>
      <w:divBdr>
        <w:top w:val="none" w:sz="0" w:space="0" w:color="auto"/>
        <w:left w:val="none" w:sz="0" w:space="0" w:color="auto"/>
        <w:bottom w:val="none" w:sz="0" w:space="0" w:color="auto"/>
        <w:right w:val="none" w:sz="0" w:space="0" w:color="auto"/>
      </w:divBdr>
    </w:div>
    <w:div w:id="145012347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56370573">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1341058">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78957265">
      <w:bodyDiv w:val="1"/>
      <w:marLeft w:val="0"/>
      <w:marRight w:val="0"/>
      <w:marTop w:val="0"/>
      <w:marBottom w:val="0"/>
      <w:divBdr>
        <w:top w:val="none" w:sz="0" w:space="0" w:color="auto"/>
        <w:left w:val="none" w:sz="0" w:space="0" w:color="auto"/>
        <w:bottom w:val="none" w:sz="0" w:space="0" w:color="auto"/>
        <w:right w:val="none" w:sz="0" w:space="0" w:color="auto"/>
      </w:divBdr>
    </w:div>
    <w:div w:id="1479418360">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7115485">
      <w:bodyDiv w:val="1"/>
      <w:marLeft w:val="0"/>
      <w:marRight w:val="0"/>
      <w:marTop w:val="0"/>
      <w:marBottom w:val="0"/>
      <w:divBdr>
        <w:top w:val="none" w:sz="0" w:space="0" w:color="auto"/>
        <w:left w:val="none" w:sz="0" w:space="0" w:color="auto"/>
        <w:bottom w:val="none" w:sz="0" w:space="0" w:color="auto"/>
        <w:right w:val="none" w:sz="0" w:space="0" w:color="auto"/>
      </w:divBdr>
    </w:div>
    <w:div w:id="1497308123">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07400898">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2642395">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7886180">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49998743">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6378669">
      <w:bodyDiv w:val="1"/>
      <w:marLeft w:val="0"/>
      <w:marRight w:val="0"/>
      <w:marTop w:val="0"/>
      <w:marBottom w:val="0"/>
      <w:divBdr>
        <w:top w:val="none" w:sz="0" w:space="0" w:color="auto"/>
        <w:left w:val="none" w:sz="0" w:space="0" w:color="auto"/>
        <w:bottom w:val="none" w:sz="0" w:space="0" w:color="auto"/>
        <w:right w:val="none" w:sz="0" w:space="0" w:color="auto"/>
      </w:divBdr>
    </w:div>
    <w:div w:id="1566526333">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68760830">
      <w:bodyDiv w:val="1"/>
      <w:marLeft w:val="0"/>
      <w:marRight w:val="0"/>
      <w:marTop w:val="0"/>
      <w:marBottom w:val="0"/>
      <w:divBdr>
        <w:top w:val="none" w:sz="0" w:space="0" w:color="auto"/>
        <w:left w:val="none" w:sz="0" w:space="0" w:color="auto"/>
        <w:bottom w:val="none" w:sz="0" w:space="0" w:color="auto"/>
        <w:right w:val="none" w:sz="0" w:space="0" w:color="auto"/>
      </w:divBdr>
    </w:div>
    <w:div w:id="156876354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75385905">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046521">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150020">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6158154">
      <w:bodyDiv w:val="1"/>
      <w:marLeft w:val="0"/>
      <w:marRight w:val="0"/>
      <w:marTop w:val="0"/>
      <w:marBottom w:val="0"/>
      <w:divBdr>
        <w:top w:val="none" w:sz="0" w:space="0" w:color="auto"/>
        <w:left w:val="none" w:sz="0" w:space="0" w:color="auto"/>
        <w:bottom w:val="none" w:sz="0" w:space="0" w:color="auto"/>
        <w:right w:val="none" w:sz="0" w:space="0" w:color="auto"/>
      </w:divBdr>
    </w:div>
    <w:div w:id="1627588396">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5530762">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073407">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59647797">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1859851">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4115183">
      <w:bodyDiv w:val="1"/>
      <w:marLeft w:val="0"/>
      <w:marRight w:val="0"/>
      <w:marTop w:val="0"/>
      <w:marBottom w:val="0"/>
      <w:divBdr>
        <w:top w:val="none" w:sz="0" w:space="0" w:color="auto"/>
        <w:left w:val="none" w:sz="0" w:space="0" w:color="auto"/>
        <w:bottom w:val="none" w:sz="0" w:space="0" w:color="auto"/>
        <w:right w:val="none" w:sz="0" w:space="0" w:color="auto"/>
      </w:divBdr>
    </w:div>
    <w:div w:id="1715697432">
      <w:bodyDiv w:val="1"/>
      <w:marLeft w:val="0"/>
      <w:marRight w:val="0"/>
      <w:marTop w:val="0"/>
      <w:marBottom w:val="0"/>
      <w:divBdr>
        <w:top w:val="none" w:sz="0" w:space="0" w:color="auto"/>
        <w:left w:val="none" w:sz="0" w:space="0" w:color="auto"/>
        <w:bottom w:val="none" w:sz="0" w:space="0" w:color="auto"/>
        <w:right w:val="none" w:sz="0" w:space="0" w:color="auto"/>
      </w:divBdr>
    </w:div>
    <w:div w:id="1716462015">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047562">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330187">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3140416">
      <w:bodyDiv w:val="1"/>
      <w:marLeft w:val="0"/>
      <w:marRight w:val="0"/>
      <w:marTop w:val="0"/>
      <w:marBottom w:val="0"/>
      <w:divBdr>
        <w:top w:val="none" w:sz="0" w:space="0" w:color="auto"/>
        <w:left w:val="none" w:sz="0" w:space="0" w:color="auto"/>
        <w:bottom w:val="none" w:sz="0" w:space="0" w:color="auto"/>
        <w:right w:val="none" w:sz="0" w:space="0" w:color="auto"/>
      </w:divBdr>
    </w:div>
    <w:div w:id="1745108363">
      <w:bodyDiv w:val="1"/>
      <w:marLeft w:val="0"/>
      <w:marRight w:val="0"/>
      <w:marTop w:val="0"/>
      <w:marBottom w:val="0"/>
      <w:divBdr>
        <w:top w:val="none" w:sz="0" w:space="0" w:color="auto"/>
        <w:left w:val="none" w:sz="0" w:space="0" w:color="auto"/>
        <w:bottom w:val="none" w:sz="0" w:space="0" w:color="auto"/>
        <w:right w:val="none" w:sz="0" w:space="0" w:color="auto"/>
      </w:divBdr>
    </w:div>
    <w:div w:id="1747340352">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6055708">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6879354">
      <w:bodyDiv w:val="1"/>
      <w:marLeft w:val="0"/>
      <w:marRight w:val="0"/>
      <w:marTop w:val="0"/>
      <w:marBottom w:val="0"/>
      <w:divBdr>
        <w:top w:val="none" w:sz="0" w:space="0" w:color="auto"/>
        <w:left w:val="none" w:sz="0" w:space="0" w:color="auto"/>
        <w:bottom w:val="none" w:sz="0" w:space="0" w:color="auto"/>
        <w:right w:val="none" w:sz="0" w:space="0" w:color="auto"/>
      </w:divBdr>
    </w:div>
    <w:div w:id="1769233193">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9833797">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196236">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2769371">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5535981">
      <w:bodyDiv w:val="1"/>
      <w:marLeft w:val="0"/>
      <w:marRight w:val="0"/>
      <w:marTop w:val="0"/>
      <w:marBottom w:val="0"/>
      <w:divBdr>
        <w:top w:val="none" w:sz="0" w:space="0" w:color="auto"/>
        <w:left w:val="none" w:sz="0" w:space="0" w:color="auto"/>
        <w:bottom w:val="none" w:sz="0" w:space="0" w:color="auto"/>
        <w:right w:val="none" w:sz="0" w:space="0" w:color="auto"/>
      </w:divBdr>
    </w:div>
    <w:div w:id="1837526970">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210994">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3978066">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2958609">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6655932">
      <w:bodyDiv w:val="1"/>
      <w:marLeft w:val="0"/>
      <w:marRight w:val="0"/>
      <w:marTop w:val="0"/>
      <w:marBottom w:val="0"/>
      <w:divBdr>
        <w:top w:val="none" w:sz="0" w:space="0" w:color="auto"/>
        <w:left w:val="none" w:sz="0" w:space="0" w:color="auto"/>
        <w:bottom w:val="none" w:sz="0" w:space="0" w:color="auto"/>
        <w:right w:val="none" w:sz="0" w:space="0" w:color="auto"/>
      </w:divBdr>
    </w:div>
    <w:div w:id="1877692264">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482006">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124877">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899708399">
      <w:bodyDiv w:val="1"/>
      <w:marLeft w:val="0"/>
      <w:marRight w:val="0"/>
      <w:marTop w:val="0"/>
      <w:marBottom w:val="0"/>
      <w:divBdr>
        <w:top w:val="none" w:sz="0" w:space="0" w:color="auto"/>
        <w:left w:val="none" w:sz="0" w:space="0" w:color="auto"/>
        <w:bottom w:val="none" w:sz="0" w:space="0" w:color="auto"/>
        <w:right w:val="none" w:sz="0" w:space="0" w:color="auto"/>
      </w:divBdr>
    </w:div>
    <w:div w:id="190096942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18706962">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7762177">
      <w:bodyDiv w:val="1"/>
      <w:marLeft w:val="0"/>
      <w:marRight w:val="0"/>
      <w:marTop w:val="0"/>
      <w:marBottom w:val="0"/>
      <w:divBdr>
        <w:top w:val="none" w:sz="0" w:space="0" w:color="auto"/>
        <w:left w:val="none" w:sz="0" w:space="0" w:color="auto"/>
        <w:bottom w:val="none" w:sz="0" w:space="0" w:color="auto"/>
        <w:right w:val="none" w:sz="0" w:space="0" w:color="auto"/>
      </w:divBdr>
    </w:div>
    <w:div w:id="1947998622">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5210347">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1398080">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382794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6134989">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4501336">
      <w:bodyDiv w:val="1"/>
      <w:marLeft w:val="0"/>
      <w:marRight w:val="0"/>
      <w:marTop w:val="0"/>
      <w:marBottom w:val="0"/>
      <w:divBdr>
        <w:top w:val="none" w:sz="0" w:space="0" w:color="auto"/>
        <w:left w:val="none" w:sz="0" w:space="0" w:color="auto"/>
        <w:bottom w:val="none" w:sz="0" w:space="0" w:color="auto"/>
        <w:right w:val="none" w:sz="0" w:space="0" w:color="auto"/>
      </w:divBdr>
    </w:div>
    <w:div w:id="1988317811">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3773035">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2483442">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29989885">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2880458">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38702106">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1857114">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8744199">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0790159">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4599873">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8989790">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8961546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9061662">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28618224">
      <w:bodyDiv w:val="1"/>
      <w:marLeft w:val="0"/>
      <w:marRight w:val="0"/>
      <w:marTop w:val="0"/>
      <w:marBottom w:val="0"/>
      <w:divBdr>
        <w:top w:val="none" w:sz="0" w:space="0" w:color="auto"/>
        <w:left w:val="none" w:sz="0" w:space="0" w:color="auto"/>
        <w:bottom w:val="none" w:sz="0" w:space="0" w:color="auto"/>
        <w:right w:val="none" w:sz="0" w:space="0" w:color="auto"/>
      </w:divBdr>
    </w:div>
    <w:div w:id="2130853850">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7721538">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2530005">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santepubliquefrance.fr/maladies-et-traumatismes/maladies-a-prevention-vaccinale/rougeole/documents/bulletin-national/rougeole-en-france-du-1er-janvier-au-30-novembre-2025" TargetMode="External"/><Relationship Id="rId21" Type="http://schemas.openxmlformats.org/officeDocument/2006/relationships/hyperlink" Target="file:///C:\Users\pascal.pichon\OneDrive%20-%20Minist%C3%A8res%20sociaux\PEPPS%20-%20OneDrive\themes\subst_ven\subst.html" TargetMode="External"/><Relationship Id="rId42" Type="http://schemas.openxmlformats.org/officeDocument/2006/relationships/hyperlink" Target="https://www.legifrance.gouv.fr/jorf/id/JORFTEXT000052983965" TargetMode="External"/><Relationship Id="rId63" Type="http://schemas.openxmlformats.org/officeDocument/2006/relationships/hyperlink" Target="https://www.legifrance.gouv.fr/jorf/id/JORFTEXT000053143271" TargetMode="External"/><Relationship Id="rId84" Type="http://schemas.openxmlformats.org/officeDocument/2006/relationships/hyperlink" Target="https://ansm.sante.fr/actualites/tableau-comparatif-des-igsc-renforcer-la-securite-et-eviter-les-confusions" TargetMode="External"/><Relationship Id="rId138" Type="http://schemas.openxmlformats.org/officeDocument/2006/relationships/hyperlink" Target="https://paco.intranet.social.gouv.fr/servicescommuns/DAJ/ressources_juridiques/Documents/Pause%20DAJ%20Protection%20fonctionnelle%2017122025.pdf" TargetMode="External"/><Relationship Id="rId159" Type="http://schemas.openxmlformats.org/officeDocument/2006/relationships/hyperlink" Target="https://www.lemoniteurdespharmacies.fr/therapeutique/medicaments/mieux-delivrer/exposition-humaine-aux-medicaments-veterinaires-prevenir-les-situations-a-risque" TargetMode="External"/><Relationship Id="rId170" Type="http://schemas.openxmlformats.org/officeDocument/2006/relationships/hyperlink" Target="https://ansm.sante.fr/actualites/indisponibilite-du-medicament-octim-desmopressine-mise-a-disposition-des-patients-dun-guide-pratique-pour-lutilisation-de-lalternative-octostim" TargetMode="External"/><Relationship Id="rId191" Type="http://schemas.openxmlformats.org/officeDocument/2006/relationships/customXml" Target="../customXml/item1.xml"/><Relationship Id="rId107" Type="http://schemas.openxmlformats.org/officeDocument/2006/relationships/hyperlink" Target="https://peps.sante.gouv.fr/actu/2025/25_minsante_2025-11_mers.pdf" TargetMode="External"/><Relationship Id="rId11" Type="http://schemas.openxmlformats.org/officeDocument/2006/relationships/hyperlink" Target="file:///C:\Users\pascal.pichon\OneDrive%20-%20Minist%C3%A8res%20sociaux\PEPPS%20-%20OneDrive\themes\subst_ven\subst.html" TargetMode="External"/><Relationship Id="rId32" Type="http://schemas.openxmlformats.org/officeDocument/2006/relationships/hyperlink" Target="https://www.lemoniteurdespharmacies.fr/profession/socio-professionnel/antalgiques-de-palier-1-le-decret-de-la-discorde" TargetMode="External"/><Relationship Id="rId53" Type="http://schemas.openxmlformats.org/officeDocument/2006/relationships/hyperlink" Target="https://www.legifrance.gouv.fr/jorf/id/JORFTEXT000053019551" TargetMode="External"/><Relationship Id="rId74" Type="http://schemas.openxmlformats.org/officeDocument/2006/relationships/hyperlink" Target="https://peps.sante.gouv.fr/actu/actualites.html" TargetMode="External"/><Relationship Id="rId128" Type="http://schemas.openxmlformats.org/officeDocument/2006/relationships/hyperlink" Target="https://sante.gouv.fr/soins-et-maladies/maladies/maladies-et-infections-respiratoires/tuberculose/article/le-plan-d-actions-de-lutte-contre-la-tuberculose-2025-2029" TargetMode="External"/><Relationship Id="rId149" Type="http://schemas.openxmlformats.org/officeDocument/2006/relationships/hyperlink" Target="https://www.lemoniteurdespharmacies.fr/therapeutique/produits/parapharmacie/des-cosmetiques-qui-scintillent-de-nanoparticules" TargetMode="External"/><Relationship Id="rId5" Type="http://schemas.openxmlformats.org/officeDocument/2006/relationships/footnotes" Target="footnotes.xml"/><Relationship Id="rId95" Type="http://schemas.openxmlformats.org/officeDocument/2006/relationships/hyperlink" Target="https://www.lemoniteurdespharmacies.fr/business/economie/strategie-et-gestion/financiarisation-ce-que-prepare-le-ministere-de-la-sante-pour-lofficine" TargetMode="External"/><Relationship Id="rId160" Type="http://schemas.openxmlformats.org/officeDocument/2006/relationships/hyperlink" Target="https://drees.solidarites-sante.gouv.fr/publications-communique-de-presse/panoramas-de-la-drees/251217-protection-sociale-france-europe-2024" TargetMode="External"/><Relationship Id="rId181" Type="http://schemas.openxmlformats.org/officeDocument/2006/relationships/hyperlink" Target="https://ansm.sante.fr/disponibilites-des-produits-de-sante/medicaments/specialites-a-base-de-venlafaxine-lp-37-5-mg-et-lp-75-mg-en-gelule-a-liberation-prolongee-venlafaxine" TargetMode="External"/><Relationship Id="rId22" Type="http://schemas.openxmlformats.org/officeDocument/2006/relationships/hyperlink" Target="file:///C:\Users\pascal.pichon\OneDrive%20-%20Minist%C3%A8res%20sociaux\PEPPS%20-%20OneDrive\themes\subst_ven\subst.html" TargetMode="External"/><Relationship Id="rId43" Type="http://schemas.openxmlformats.org/officeDocument/2006/relationships/hyperlink" Target="https://www.legifrance.gouv.fr/jorf/id/JORFTEXT000052987467" TargetMode="External"/><Relationship Id="rId64" Type="http://schemas.openxmlformats.org/officeDocument/2006/relationships/hyperlink" Target="https://www.conseil-etat.fr/fr/arianeweb/CE/decision/2025-12-22/509561" TargetMode="External"/><Relationship Id="rId118" Type="http://schemas.openxmlformats.org/officeDocument/2006/relationships/hyperlink" Target="https://www.lemoniteurdespharmacies.fr/business/numerique/digitalisation/carte-vitale-numerique-peut-elle-favoriser-les-fraudes" TargetMode="External"/><Relationship Id="rId139" Type="http://schemas.openxmlformats.org/officeDocument/2006/relationships/hyperlink" Target="https://paco.intranet.social.gouv.fr/servicescommuns/DAJ/ressources_juridiques/Pages/Le-Kit-Protection-fonctionnelle.aspx" TargetMode="External"/><Relationship Id="rId85" Type="http://schemas.openxmlformats.org/officeDocument/2006/relationships/hyperlink" Target="https://www.conseil-national.medecin.fr/sites/default/files/CNOM-rapport_vaccination_0.pdf" TargetMode="External"/><Relationship Id="rId150" Type="http://schemas.openxmlformats.org/officeDocument/2006/relationships/hyperlink" Target="https://peps.sante.gouv.fr/actu/2025/25_mediapart_fin-ars-en-2026_21122026.pdf" TargetMode="External"/><Relationship Id="rId171" Type="http://schemas.openxmlformats.org/officeDocument/2006/relationships/hyperlink" Target="https://ansm.sante.fr/actualites/defaut-qualite-des-specialites-minirin-spray-10-ug-et-minirin-0-1-mg-ml-endonasale-conduite-a-tenir-par-les-patients-et-les-professionnels-de-sante-actualisation-de-linformation-du-27-juillet-2020" TargetMode="External"/><Relationship Id="rId192" Type="http://schemas.openxmlformats.org/officeDocument/2006/relationships/customXml" Target="../customXml/item2.xml"/><Relationship Id="rId12" Type="http://schemas.openxmlformats.org/officeDocument/2006/relationships/hyperlink" Target="file:///C:\Users\pascal.pichon\OneDrive%20-%20Minist%C3%A8res%20sociaux\PEPPS%20-%20OneDrive\themes\subst_ven\subst.html" TargetMode="External"/><Relationship Id="rId33" Type="http://schemas.openxmlformats.org/officeDocument/2006/relationships/hyperlink" Target="https://www.ordre.pharmacien.fr/les-communications/focus-sur/les-actualites/plfss-2026-le-texte-retourne-a-l-assemblee-nationale" TargetMode="External"/><Relationship Id="rId108" Type="http://schemas.openxmlformats.org/officeDocument/2006/relationships/hyperlink" Target="https://peps.sante.gouv.fr/actu/2025/25_minsante_2025-11_mers-diagnostic.pdf" TargetMode="External"/><Relationship Id="rId129" Type="http://schemas.openxmlformats.org/officeDocument/2006/relationships/hyperlink" Target="https://sante.gouv.fr/IMG/pdf/plan_tuberculose_2025-2029.pdf" TargetMode="External"/><Relationship Id="rId54" Type="http://schemas.openxmlformats.org/officeDocument/2006/relationships/hyperlink" Target="https://sante.gouv.fr/actualites-presse/presse/communiques-de-presse/article/lutte-contre-les-violences-faites-aux-femmes-le-gouvernement-renforce-son" TargetMode="External"/><Relationship Id="rId75" Type="http://schemas.openxmlformats.org/officeDocument/2006/relationships/hyperlink" Target="https://www.lemoniteurdespharmacies.fr/nouvelles-missions/vaccination/grippe-leurope-appelle-a-se-vacciner-sans-attendre" TargetMode="External"/><Relationship Id="rId96" Type="http://schemas.openxmlformats.org/officeDocument/2006/relationships/hyperlink" Target="https://ansm.sante.fr/informations-de-securite/appareils-de-mesure-du-glucose-en-continu-capteur-freestyle-libre-3-et-capteur-freestyle-libre-3-plus-abbott-diabetes-care-ltd" TargetMode="External"/><Relationship Id="rId140" Type="http://schemas.openxmlformats.org/officeDocument/2006/relationships/hyperlink" Target="https://indi.intranet.social.gouv.fr/na/info-securite/Documents/Forms/AllItems.aspx?RootFolder=%2fna%2finfo%2dsecurite%2fDocuments%2fPROTECTION%20FONCTIONNELLE&amp;FolderCTID=0x012000F4C00EF08216154387963B0AC6CABA3A" TargetMode="External"/><Relationship Id="rId161" Type="http://schemas.openxmlformats.org/officeDocument/2006/relationships/hyperlink" Target="https://www.lemoniteurdespharmacies.fr/business/economie/strategie-et-gestion/detournement-de-brevets-la-riposte-europeenne-sorganise" TargetMode="External"/><Relationship Id="rId182" Type="http://schemas.openxmlformats.org/officeDocument/2006/relationships/hyperlink" Target="https://ansm.sante.fr/disponibilites-des-produits-de-sante/medicaments/quasym-l-p-gelule-a-liberation-modifiee-methylphenidate" TargetMode="External"/><Relationship Id="rId6" Type="http://schemas.openxmlformats.org/officeDocument/2006/relationships/endnotes" Target="endnotes.xml"/><Relationship Id="rId23" Type="http://schemas.openxmlformats.org/officeDocument/2006/relationships/hyperlink" Target="https://peps.sante.gouv.fr/outils/guide_proced/guide.html" TargetMode="External"/><Relationship Id="rId119" Type="http://schemas.openxmlformats.org/officeDocument/2006/relationships/hyperlink" Target="https://www.lemoniteurdespharmacies.fr/profession/socio-professionnel/antalgiques-de-palier-1-pourquoi-limiter-la-primo-delivrance-a-deux-boites-est-une-ineptie" TargetMode="External"/><Relationship Id="rId44" Type="http://schemas.openxmlformats.org/officeDocument/2006/relationships/hyperlink" Target="https://www.legifrance.gouv.fr/jorf/id/JORFTEXT000052990409" TargetMode="External"/><Relationship Id="rId65" Type="http://schemas.openxmlformats.org/officeDocument/2006/relationships/hyperlink" Target="https://www.legifrance.gouv.fr/jorf/id/JORFTEXT000052197959" TargetMode="External"/><Relationship Id="rId86" Type="http://schemas.openxmlformats.org/officeDocument/2006/relationships/hyperlink" Target="https://www.who.int/fr/news/item/01-12-2025-who-issues-global-guideline-on-the-use-of-glp-1-medicines-in-treating-obesity" TargetMode="External"/><Relationship Id="rId130" Type="http://schemas.openxmlformats.org/officeDocument/2006/relationships/hyperlink" Target="https://www.linternaute.com/argent/magazine/9460135-article-licenciement-preparatrice-pharmacie/" TargetMode="External"/><Relationship Id="rId151" Type="http://schemas.openxmlformats.org/officeDocument/2006/relationships/hyperlink" Target="https://sante.gouv.fr/prevention-en-sante/preserver-sa-sante/vaccination/calendrier-vaccinal" TargetMode="External"/><Relationship Id="rId172" Type="http://schemas.openxmlformats.org/officeDocument/2006/relationships/hyperlink" Target="https://ansm.sante.fr/disponibilites-des-produits-de-sante/medicaments/epipen-solution-injectable-en-stylo-pre-rempli-adrenaline" TargetMode="External"/><Relationship Id="rId193" Type="http://schemas.openxmlformats.org/officeDocument/2006/relationships/customXml" Target="../customXml/item3.xml"/><Relationship Id="rId13" Type="http://schemas.openxmlformats.org/officeDocument/2006/relationships/hyperlink" Target="file:///C:\Users\pascal.pichon\OneDrive%20-%20Minist%C3%A8res%20sociaux\PEPPS%20-%20OneDrive\themes\subst_ven\subst.html" TargetMode="External"/><Relationship Id="rId109" Type="http://schemas.openxmlformats.org/officeDocument/2006/relationships/hyperlink" Target="https://peps.sante.gouv.fr/actu/2025/25_minsante_2025-11_mers-diagnostic-faq.pdf" TargetMode="External"/><Relationship Id="rId34" Type="http://schemas.openxmlformats.org/officeDocument/2006/relationships/hyperlink" Target="https://www.lemoniteurdespharmacies.fr/profession/socio-professionnel/remises-sur-les-generiques-le-gouvernement-prouve-que-ce-nest-pas-tout-a-fait-gagne" TargetMode="External"/><Relationship Id="rId50" Type="http://schemas.openxmlformats.org/officeDocument/2006/relationships/hyperlink" Target="https://www.legifrance.gouv.fr/jorf/id/JORFTEXT000053015422" TargetMode="External"/><Relationship Id="rId55" Type="http://schemas.openxmlformats.org/officeDocument/2006/relationships/hyperlink" Target="https://www.ordre.pharmacien.fr/les-communications/focus-sur/les-actualites/soumission-chimique-publication-des-textes-encadrant-l-experimentation" TargetMode="External"/><Relationship Id="rId76" Type="http://schemas.openxmlformats.org/officeDocument/2006/relationships/hyperlink" Target="https://www.acadpharm.org/dos_public/CP___ACCES_DIRECT_PHARMACIE_PPL_SENAT_VF.PDF" TargetMode="External"/><Relationship Id="rId97" Type="http://schemas.openxmlformats.org/officeDocument/2006/relationships/hyperlink" Target="https://www.ordre.pharmacien.fr/les-communications/focus-sur/les-actualites/rappel-appareils-de-mesure-du-glucose-en-continu-capteur-freestyle-libre-3-et-capteur-freestyle-libre-3-plus-abbott-diabetes-care-ltd" TargetMode="External"/><Relationship Id="rId104" Type="http://schemas.openxmlformats.org/officeDocument/2006/relationships/hyperlink" Target="https://www.academie-medecine.fr/lacademie-nationale-de-medecine-recommande-lobligation-de-la-vaccination-contre-la-grippe-pour-les-professionnels-de-soins-et-les-residents-en-ehpad/" TargetMode="External"/><Relationship Id="rId120" Type="http://schemas.openxmlformats.org/officeDocument/2006/relationships/hyperlink" Target="https://www.lemonde.fr/societe/article/2025/12/12/protoxyde-d-azote-gerald-darmanin-souhaite-que-le-gaz-soit-classe-comme-stupefiant_6657033_3224.html" TargetMode="External"/><Relationship Id="rId125" Type="http://schemas.openxmlformats.org/officeDocument/2006/relationships/hyperlink" Target="https://ansm.sante.fr/actualites/surveillance-du-marche-des-concentrateurs-doxygene-a-usage-collectif-les-recommandations-de-lagence-sont-maintenues" TargetMode="External"/><Relationship Id="rId141" Type="http://schemas.openxmlformats.org/officeDocument/2006/relationships/hyperlink" Target="https://ansm.sante.fr/actualites/fluoroquinolones-une-consommation-en-baisse-mais-des-mesusages-qui-persistent" TargetMode="External"/><Relationship Id="rId146" Type="http://schemas.openxmlformats.org/officeDocument/2006/relationships/hyperlink" Target="https://www.has-sante.fr/jcms/p_3804134/fr/flucelvax-integration-de-l-extension-d-indication-chez-l-enfant-a-partir-de-6-mois-dans-la-strategie-antigrippale-avis" TargetMode="External"/><Relationship Id="rId167" Type="http://schemas.openxmlformats.org/officeDocument/2006/relationships/hyperlink" Target="https://ansm.sante.fr/actualites/point-de-situation-sur-lapprovisionnement-en-medicaments-psychotropes-en-france-au-4-decembre-2025" TargetMode="External"/><Relationship Id="rId188" Type="http://schemas.openxmlformats.org/officeDocument/2006/relationships/footer" Target="footer3.xml"/><Relationship Id="rId7" Type="http://schemas.openxmlformats.org/officeDocument/2006/relationships/image" Target="media/image1.jpeg"/><Relationship Id="rId71" Type="http://schemas.openxmlformats.org/officeDocument/2006/relationships/hyperlink" Target="http://peps.intranet.sante.gouv.fr/actu/actualites.html" TargetMode="External"/><Relationship Id="rId92" Type="http://schemas.openxmlformats.org/officeDocument/2006/relationships/hyperlink" Target="https://ansm.sante.fr/actualites/dispositifs-medicaux-contenant-du-cobalt-quelles-sont-les-donnees-disponibles-et-comment-ameliorer-linformation-des-patients-et-des-professionnels-de-sante" TargetMode="External"/><Relationship Id="rId162" Type="http://schemas.openxmlformats.org/officeDocument/2006/relationships/hyperlink" Target="https://www.lemoniteurdespharmacies.fr/profession/interpro/reseau-france-sante-une-dizaine-dofficines-deja-selectionnees" TargetMode="External"/><Relationship Id="rId183" Type="http://schemas.openxmlformats.org/officeDocument/2006/relationships/header" Target="header1.xml"/><Relationship Id="rId2" Type="http://schemas.openxmlformats.org/officeDocument/2006/relationships/styles" Target="styles.xml"/><Relationship Id="rId29" Type="http://schemas.openxmlformats.org/officeDocument/2006/relationships/hyperlink" Target="https://www.consilium.europa.eu/fr/press/press-releases/2025/12/11/pharma-package-council-and-parliament-reach-a-deal-on-new-rules-for-a-fairer-and-more-competitive-eu-pharmaceutical-sector/" TargetMode="External"/><Relationship Id="rId24" Type="http://schemas.openxmlformats.org/officeDocument/2006/relationships/hyperlink" Target="https://peps.sante.gouv.fr/textes_projets/projets.html" TargetMode="External"/><Relationship Id="rId40" Type="http://schemas.openxmlformats.org/officeDocument/2006/relationships/hyperlink" Target="https://portail.tessadoc.social.gouv.fr/recherche/viewnotice/id/982684" TargetMode="External"/><Relationship Id="rId45" Type="http://schemas.openxmlformats.org/officeDocument/2006/relationships/hyperlink" Target="https://www.legifrance.gouv.fr/jorf/id/JORFTEXT000052990681" TargetMode="External"/><Relationship Id="rId66" Type="http://schemas.openxmlformats.org/officeDocument/2006/relationships/hyperlink" Target="http://peps.intranet.sante.gouv.fr/actu/actualites.html" TargetMode="External"/><Relationship Id="rId87" Type="http://schemas.openxmlformats.org/officeDocument/2006/relationships/hyperlink" Target="https://657gg.r.a.d.sendibm1.com/mk/mr/sh/SMJz09SDriOHWPUdu9ZxkroEZuAV/4ydIDbSac49O" TargetMode="External"/><Relationship Id="rId110" Type="http://schemas.openxmlformats.org/officeDocument/2006/relationships/hyperlink" Target="https://www.has-sante.fr/jcms/p_3784535/fr/avis-n2025-0064/sespev-du-4-decembre-2025-du-college-de-la-haute-autorite-de-sante-relatif-a-l-actualisation-du-calendrier-des-vaccinations-pour-l-annee-2025" TargetMode="External"/><Relationship Id="rId115" Type="http://schemas.openxmlformats.org/officeDocument/2006/relationships/hyperlink" Target="https://www.anses.fr/fr/content/serums-pour-faire-pousser-les-cils-un-risque-de-changement-de-couleur-des-yeux" TargetMode="External"/><Relationship Id="rId131" Type="http://schemas.openxmlformats.org/officeDocument/2006/relationships/hyperlink" Target="https://www.lemonde.fr/societe/article/2025/12/17/grippe-un-fort-impact-anticipe-sur-les-hopitaux-pendant-les-vacances-de-fin-d-annee-selon-des-projections-de-pasteur-et-sante-publique-france_6658429_3224.html" TargetMode="External"/><Relationship Id="rId136" Type="http://schemas.openxmlformats.org/officeDocument/2006/relationships/hyperlink" Target="https://www.anses.fr/fr/content/fluorure-de-sodium-proposition-de-classement-comme-perturbateur-endocrinien-et-toxique-pour" TargetMode="External"/><Relationship Id="rId157" Type="http://schemas.openxmlformats.org/officeDocument/2006/relationships/hyperlink" Target="https://www.lemoniteurdespharmacies.fr/profession/socio-professionnel/asafo-un-outil-encore-tres-perfectible" TargetMode="External"/><Relationship Id="rId178" Type="http://schemas.openxmlformats.org/officeDocument/2006/relationships/hyperlink" Target="https://ansm.sante.fr/disponibilites-des-produits-de-sante/medicaments/pyostacine-500-mg-comprime-pellicule-pristinamycine" TargetMode="External"/><Relationship Id="rId61" Type="http://schemas.openxmlformats.org/officeDocument/2006/relationships/hyperlink" Target="https://ansm.sante.fr/actualites/decision-du-18-12-2025-modification-de-la-liste-des-medicaments-de-medication-officinale-mentionnee-a-larticle-r-5121-202-du-csp" TargetMode="External"/><Relationship Id="rId82" Type="http://schemas.openxmlformats.org/officeDocument/2006/relationships/hyperlink" Target="https://www.prescrire.org/medicaments-et-evaluations/medicaments-a-ecarter" TargetMode="External"/><Relationship Id="rId152" Type="http://schemas.openxmlformats.org/officeDocument/2006/relationships/hyperlink" Target="https://www.lesechos.fr/industrie-services/pharmacie-sante/coupe-faim-plus-pratique-et-moins-cher-le-wegovy-bientot-vendu-en-comprimes-aux-etats-unis-2206398" TargetMode="External"/><Relationship Id="rId173" Type="http://schemas.openxmlformats.org/officeDocument/2006/relationships/hyperlink" Target="https://ansm.sante.fr/disponibilites-des-produits-de-sante/medicaments/vitamine-b12-delagrange-1000-microgrammes-2-ml-solution-injectable-im-et-buvable-cyanocobalamine" TargetMode="External"/><Relationship Id="rId19" Type="http://schemas.openxmlformats.org/officeDocument/2006/relationships/hyperlink" Target="file:///C:\Users\pascal.pichon\OneDrive%20-%20Minist%C3%A8res%20sociaux\PEPPS%20-%20OneDrive\themes\subst_ven\subst.html" TargetMode="External"/><Relationship Id="rId14" Type="http://schemas.openxmlformats.org/officeDocument/2006/relationships/hyperlink" Target="file:///C:\Users\pascal.pichon\OneDrive%20-%20Minist%C3%A8res%20sociaux\PEPPS%20-%20OneDrive\themes\subst_ven\subst.html" TargetMode="External"/><Relationship Id="rId30" Type="http://schemas.openxmlformats.org/officeDocument/2006/relationships/hyperlink" Target="https://www.assemblee-nationale.fr/dyn/17/textes/l17t0199_texte-adopte-provisoire" TargetMode="External"/><Relationship Id="rId35" Type="http://schemas.openxmlformats.org/officeDocument/2006/relationships/hyperlink" Target="https://www.lemoniteurdespharmacies.fr/profession/socio-professionnel/biosimilaires-generiques-aide-financieres-quest-ce-qui-va-changer-a-lofficine-en-janvier-2026" TargetMode="External"/><Relationship Id="rId56" Type="http://schemas.openxmlformats.org/officeDocument/2006/relationships/hyperlink" Target="https://www.legifrance.gouv.fr/jorf/id/JORFTEXT000053021336" TargetMode="External"/><Relationship Id="rId77" Type="http://schemas.openxmlformats.org/officeDocument/2006/relationships/hyperlink" Target="https://theconversation.com/journee-mondiale-de-lutte-contre-le-sida-ou-en-est-lepidemie-de-vih-en-france-270584" TargetMode="External"/><Relationship Id="rId100" Type="http://schemas.openxmlformats.org/officeDocument/2006/relationships/hyperlink" Target="https://ansm.sante.fr/actualites/les-autorites-competentes-nationales-acn-lancent-une-approche-acceleree-pour-lautorisation-des-essais-cliniques-multinationaux-dans-lue-eee" TargetMode="External"/><Relationship Id="rId105" Type="http://schemas.openxmlformats.org/officeDocument/2006/relationships/hyperlink" Target="https://www.lequotidiendupharmacien.fr/exercice-pro/justice/essais-cliniques-sauvages-fourtillan-et-joyeux-devant-la-justice" TargetMode="External"/><Relationship Id="rId126" Type="http://schemas.openxmlformats.org/officeDocument/2006/relationships/hyperlink" Target="https://www.lequotidiendupharmacien.fr/exercice-pro/ordonnance-numerique-version-3-les-editeurs-de-lgo-sont-en-retard" TargetMode="External"/><Relationship Id="rId147" Type="http://schemas.openxmlformats.org/officeDocument/2006/relationships/hyperlink" Target="https://www.lemoniteurdespharmacies.fr/legislation/justice/quand-un-pharmacien-adjoint-se-retrouve-devant-une-chambre-de-discipline" TargetMode="External"/><Relationship Id="rId168" Type="http://schemas.openxmlformats.org/officeDocument/2006/relationships/hyperlink" Target="https://ansm.sante.fr/actualites/point-de-situation-sur-les-approvisionnements-des-produits-de-contraste" TargetMode="External"/><Relationship Id="rId8" Type="http://schemas.openxmlformats.org/officeDocument/2006/relationships/image" Target="media/image2.png"/><Relationship Id="rId51" Type="http://schemas.openxmlformats.org/officeDocument/2006/relationships/hyperlink" Target="https://ansm.sante.fr/actualites/decision-du-11-12-2025-modification-de-la-liste-des-medicaments-de-medication-officinale-mentionnee-a-larticle-r-5121-202-du-csp" TargetMode="External"/><Relationship Id="rId72" Type="http://schemas.openxmlformats.org/officeDocument/2006/relationships/hyperlink" Target="https://peps.sante.gouv.fr/actu/mpx/actus_mpx.html" TargetMode="External"/><Relationship Id="rId93" Type="http://schemas.openxmlformats.org/officeDocument/2006/relationships/hyperlink" Target="https://sante.gouv.fr/actualites-presse/presse/communiques-de-presse/article/deux-cas-de-mers-cov-de-retour-de-l-etranger-identifies-sur-le-territoire" TargetMode="External"/><Relationship Id="rId98" Type="http://schemas.openxmlformats.org/officeDocument/2006/relationships/hyperlink" Target="https://www.lemonde.fr/societe/article/2025/12/04/diabete-des-capteurs-de-glycemie-font-l-objet-d-une-campagne-de-rappel-massive-apres-plusieurs-morts_6655952_3224.html" TargetMode="External"/><Relationship Id="rId121" Type="http://schemas.openxmlformats.org/officeDocument/2006/relationships/hyperlink" Target="https://www.hcsp.fr/Explore.cgi/avisrapportsdomaine?clefr=1471" TargetMode="External"/><Relationship Id="rId142" Type="http://schemas.openxmlformats.org/officeDocument/2006/relationships/hyperlink" Target="https://www.epi-phare.fr/rapports-detudes-et-publications/mesusage-fluoroquinolones/" TargetMode="External"/><Relationship Id="rId163" Type="http://schemas.openxmlformats.org/officeDocument/2006/relationships/hyperlink" Target="https://ansm.sante.fr/disponibilites-des-produits-de-sante/medicaments" TargetMode="External"/><Relationship Id="rId184" Type="http://schemas.openxmlformats.org/officeDocument/2006/relationships/header" Target="header2.xml"/><Relationship Id="rId189"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yperlink" Target="https://www.legifrance.gouv.fr/dossierlegislatif/JORFDOLE000052407190/" TargetMode="External"/><Relationship Id="rId46" Type="http://schemas.openxmlformats.org/officeDocument/2006/relationships/hyperlink" Target="https://www.legifrance.gouv.fr/jorf/id/JORFTEXT000052572558" TargetMode="External"/><Relationship Id="rId67" Type="http://schemas.openxmlformats.org/officeDocument/2006/relationships/hyperlink" Target="https://peps.sante.gouv.fr/actu/ncov/actus_2019-ncov.html" TargetMode="External"/><Relationship Id="rId116" Type="http://schemas.openxmlformats.org/officeDocument/2006/relationships/hyperlink" Target="https://www.ordre.pharmacien.fr/les-communications/focus-sur/les-actualites/sanction-d-un-pharmacien-titulaire-d-officine-pour-divers-manquements-releves-a-l-occasion-d-une-inspection-de-l-agence-regionale-de-sante2" TargetMode="External"/><Relationship Id="rId137" Type="http://schemas.openxmlformats.org/officeDocument/2006/relationships/hyperlink" Target="https://www.lemoniteurdespharmacies.fr/conseils/maux-du-quotidien/fluorure-de-sodium-faut-il-sinquieter-pour-les-dentifrices" TargetMode="External"/><Relationship Id="rId158" Type="http://schemas.openxmlformats.org/officeDocument/2006/relationships/hyperlink" Target="https://www.lemoniteurdespharmacies.fr/business/economie/strategie-et-gestion/tensions-economiques-les-pharmaciens-dans-la-tourmente" TargetMode="External"/><Relationship Id="rId20" Type="http://schemas.openxmlformats.org/officeDocument/2006/relationships/hyperlink" Target="file:///C:\Users\pascal.pichon\OneDrive%20-%20Minist%C3%A8res%20sociaux\PEPPS%20-%20OneDrive\themes\subst_ven\subst.html" TargetMode="External"/><Relationship Id="rId41" Type="http://schemas.openxmlformats.org/officeDocument/2006/relationships/hyperlink" Target="https://www.legifrance.gouv.fr/jorf/id/JORFTEXT000052972037" TargetMode="External"/><Relationship Id="rId62" Type="http://schemas.openxmlformats.org/officeDocument/2006/relationships/hyperlink" Target="https://www.legifrance.gouv.fr/jorf/id/JORFTEXT000053143145" TargetMode="External"/><Relationship Id="rId83" Type="http://schemas.openxmlformats.org/officeDocument/2006/relationships/hyperlink" Target="https://www.who.int/fr/news/item/28-11-2025-measles-deaths-down-88--since-2000--but-cases-surge" TargetMode="External"/><Relationship Id="rId88" Type="http://schemas.openxmlformats.org/officeDocument/2006/relationships/hyperlink" Target="https://sante.gouv.fr/prevention-en-sante/sante-des-populations/personnes-detenues-personnes-placees-sous-main-de-justice/article/prise-en-charge-sanitaire" TargetMode="External"/><Relationship Id="rId111" Type="http://schemas.openxmlformats.org/officeDocument/2006/relationships/hyperlink" Target="https://www.lemoniteurdespharmacies.fr/profession/socio-professionnel/reforme-3c-ce-que-doivent-savoir-les-etudiants-et-les-pharmaciens-des-maintenant" TargetMode="External"/><Relationship Id="rId132" Type="http://schemas.openxmlformats.org/officeDocument/2006/relationships/hyperlink" Target="https://www.pasteur.fr/fr/espace-presse/documents-presse/previsions-grippe-saisonniere-france-outil-supplementaire-anticiper-evolution-epidemie" TargetMode="External"/><Relationship Id="rId153" Type="http://schemas.openxmlformats.org/officeDocument/2006/relationships/hyperlink" Target="https://ansm.sante.fr/actualites/prevention-des-hospitalisations-pour-bronchiolite-chez-le-nouveau-ne-beyfortus-montre-une-efficacite-superieure-a-celle-offerte-par-abrysvo" TargetMode="External"/><Relationship Id="rId174" Type="http://schemas.openxmlformats.org/officeDocument/2006/relationships/hyperlink" Target="https://ansm.sante.fr/disponibilites-des-produits-de-sante/medicaments/rifinah-300-mg-150-mg-comprime-enrobe-isoniazid-rifampicine" TargetMode="External"/><Relationship Id="rId179" Type="http://schemas.openxmlformats.org/officeDocument/2006/relationships/hyperlink" Target="https://ansm.sante.fr/disponibilites-des-produits-de-sante/medicaments/fungizone-10-suspension-buvable-amphotericine-b" TargetMode="External"/><Relationship Id="rId190" Type="http://schemas.openxmlformats.org/officeDocument/2006/relationships/theme" Target="theme/theme1.xml"/><Relationship Id="rId15" Type="http://schemas.openxmlformats.org/officeDocument/2006/relationships/hyperlink" Target="file:///C:\Users\pascal.pichon\OneDrive%20-%20Minist%C3%A8res%20sociaux\PEPPS%20-%20OneDrive\themes\subst_ven\subst.html" TargetMode="External"/><Relationship Id="rId36" Type="http://schemas.openxmlformats.org/officeDocument/2006/relationships/hyperlink" Target="https://peps.sante.gouv.fr/outils/docu/texto.xlsm" TargetMode="External"/><Relationship Id="rId57" Type="http://schemas.openxmlformats.org/officeDocument/2006/relationships/hyperlink" Target="https://www.legifrance.gouv.fr/jorf/id/JORFTEXT000053021679" TargetMode="External"/><Relationship Id="rId106" Type="http://schemas.openxmlformats.org/officeDocument/2006/relationships/hyperlink" Target="https://www.lequotidiendupharmacien.fr/exercice-pro/iatroprev-les-pharmaciens-de-quatre-regions-rejoignent-lexperimentation" TargetMode="External"/><Relationship Id="rId127" Type="http://schemas.openxmlformats.org/officeDocument/2006/relationships/hyperlink" Target="https://ansm.sante.fr/actualites/infections-hivernales-il-est-conseille-deviter-libuprofene-ou-le-ketoprofene-en-premiere-intention" TargetMode="External"/><Relationship Id="rId10" Type="http://schemas.openxmlformats.org/officeDocument/2006/relationships/hyperlink" Target="file:///C:\Users\pascal.pichon\OneDrive%20-%20Minist%C3%A8res%20sociaux\PEPPS%20-%20OneDrive\themes\subst_ven\subst.html" TargetMode="External"/><Relationship Id="rId31" Type="http://schemas.openxmlformats.org/officeDocument/2006/relationships/hyperlink" Target="https://www.has-sante.fr/upload/docs/application/pdf/2025-12/dir2/ac_2025_0069_arrete_biologie_delocalisee.pdf" TargetMode="External"/><Relationship Id="rId52" Type="http://schemas.openxmlformats.org/officeDocument/2006/relationships/hyperlink" Target="https://www.legifrance.gouv.fr/jorf/id/JORFTEXT000053019509" TargetMode="External"/><Relationship Id="rId73" Type="http://schemas.openxmlformats.org/officeDocument/2006/relationships/hyperlink" Target="http://peps.intranet.sante.gouv.fr/actu/actualites.html" TargetMode="External"/><Relationship Id="rId78" Type="http://schemas.openxmlformats.org/officeDocument/2006/relationships/hyperlink" Target="https://www.lemonde.fr/societe/article/2025/12/01/vih-le-conseil-national-du-sida-appelle-a-une-remobilisation-urgente-des-pouvoirs-publics_6655521_3224.html" TargetMode="External"/><Relationship Id="rId94" Type="http://schemas.openxmlformats.org/officeDocument/2006/relationships/hyperlink" Target="https://www.lemonde.fr/planete/article/2025/12/04/deux-cas-de-coronavirus-mers-identifies-en-france-sur-des-personnes-de-retour-de-l-etranger_6655935_3244.html" TargetMode="External"/><Relationship Id="rId99" Type="http://schemas.openxmlformats.org/officeDocument/2006/relationships/hyperlink" Target="https://www.ordre.pharmacien.fr/les-communications/focus-sur/les-actualites/onco-link-l-experimentation-pourrait-entrer-dans-le-droit-commun" TargetMode="External"/><Relationship Id="rId101" Type="http://schemas.openxmlformats.org/officeDocument/2006/relationships/hyperlink" Target="https://www.lequotidiendupharmacien.fr/exercice-pro/recypen-que-faire-des-stylos-preremplis-rapportes-par-les-patients" TargetMode="External"/><Relationship Id="rId122" Type="http://schemas.openxmlformats.org/officeDocument/2006/relationships/hyperlink" Target="https://sante.gouv.fr/IMG/pdf/rapport_parlement_art51_2025.pdf" TargetMode="External"/><Relationship Id="rId143" Type="http://schemas.openxmlformats.org/officeDocument/2006/relationships/hyperlink" Target="https://www.lemonde.fr/sport/article/2025/12/18/dopage-la-france-est-le-deuxieme-pays-comptant-le-plus-grand-nombre-de-cas-positifs-en-2024_6658525_3242.html" TargetMode="External"/><Relationship Id="rId148" Type="http://schemas.openxmlformats.org/officeDocument/2006/relationships/hyperlink" Target="https://www.lemoniteurdespharmacies.fr/profession/socio-professionnel/ordonnance-numerique-la-v3-se-fait-attendre" TargetMode="External"/><Relationship Id="rId164" Type="http://schemas.openxmlformats.org/officeDocument/2006/relationships/hyperlink" Target="https://ansm.sante.fr/dossiers-thematiques/plan-hivernal" TargetMode="External"/><Relationship Id="rId169" Type="http://schemas.openxmlformats.org/officeDocument/2006/relationships/hyperlink" Target="https://ansm.sante.fr/disponibilites-des-produits-de-sante/medicaments/octim-150-microgrammes-dose-solution-pour-pulverisation-nasale-acetate-de-desmopressine-trihydrate" TargetMode="External"/><Relationship Id="rId18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venlafaxine-viatris-50-mg-comprime-pellicule-venlafaxine" TargetMode="External"/><Relationship Id="rId26" Type="http://schemas.openxmlformats.org/officeDocument/2006/relationships/hyperlink" Target="https://www.academie-medecine.fr/position-conjointe-de-la-conference-des-doyennes-et-des-doyens-de-medecine-de-france-universites-et-de-lacademie-nationale-de-medecine-proposition-de-projet-de-loi-numero-1981-dite/" TargetMode="External"/><Relationship Id="rId47" Type="http://schemas.openxmlformats.org/officeDocument/2006/relationships/hyperlink" Target="https://www.ordre.pharmacien.fr/les-communications/focus-sur/les-actualites/denrees-alimentaires-et-preparations-pour-nourrissons-publication-d-un-nouvel-arrete" TargetMode="External"/><Relationship Id="rId68" Type="http://schemas.openxmlformats.org/officeDocument/2006/relationships/hyperlink" Target="https://ansm.sante.fr/actualites/vaccins-a-arnm-contre-le-covid-19-ils-naugmentent-pas-le-risque-de-mortalite-a-long-terme" TargetMode="External"/><Relationship Id="rId89" Type="http://schemas.openxmlformats.org/officeDocument/2006/relationships/hyperlink" Target="https://www.coreb.infectiologie.com/UserFiles/File/procedures/20251113-fiche-coreb-grippes-zoonotiques.pdf" TargetMode="External"/><Relationship Id="rId112" Type="http://schemas.openxmlformats.org/officeDocument/2006/relationships/hyperlink" Target="https://www.has-sante.fr/jcms/p_3776029/fr/mounjaro-tirzepatide-obesite" TargetMode="External"/><Relationship Id="rId133" Type="http://schemas.openxmlformats.org/officeDocument/2006/relationships/hyperlink" Target="https://www.pasteur.fr/fr/international/actualites/grippe-saisonniere-2025-france-au-coeur-epidemie" TargetMode="External"/><Relationship Id="rId154" Type="http://schemas.openxmlformats.org/officeDocument/2006/relationships/hyperlink" Target="https://www.epi-phare.fr/rapports-detudes-et-publications/efficacite-beyfortus-abrysvo-vrs/" TargetMode="External"/><Relationship Id="rId175" Type="http://schemas.openxmlformats.org/officeDocument/2006/relationships/hyperlink" Target="https://ansm.sante.fr/disponibilites-des-produits-de-sante/medicaments/rifater-comprime-enrobe-isoniazide-pyrazinamid-rifampicine" TargetMode="External"/><Relationship Id="rId16" Type="http://schemas.openxmlformats.org/officeDocument/2006/relationships/hyperlink" Target="file:///C:\Users\pascal.pichon\OneDrive%20-%20Minist%C3%A8res%20sociaux\PEPPS%20-%20OneDrive\themes\subst_ven\subst.html" TargetMode="External"/><Relationship Id="rId37" Type="http://schemas.openxmlformats.org/officeDocument/2006/relationships/hyperlink" Target="https://ansm.sante.fr/actualites/decision-du-27-11-2025-portant-modification-de-la-liste-de-reference-des-groupes-biologiques-similaires-mentionnee-a-larticle-r-5121-9-1-du-code-de-la-sante-publique" TargetMode="External"/><Relationship Id="rId58" Type="http://schemas.openxmlformats.org/officeDocument/2006/relationships/hyperlink" Target="https://www.legifrance.gouv.fr/jorf/id/JORFTEXT000053029952" TargetMode="External"/><Relationship Id="rId79" Type="http://schemas.openxmlformats.org/officeDocument/2006/relationships/hyperlink" Target="https://sante.gouv.fr/actualites-presse/presse/communiques-de-presse/article/journee-mondiale-de-lutte-contre-le-vih-sida-pour-mettre-fin-a-l-epidemie-plus-433147" TargetMode="External"/><Relationship Id="rId102" Type="http://schemas.openxmlformats.org/officeDocument/2006/relationships/hyperlink" Target="https://ansm.sante.fr/actualites/erreurs-didentification-de-colorants-utilises-au-bloc-operatoire-des-rappels-et-un-poster-pour-securiser-leur-administration" TargetMode="External"/><Relationship Id="rId123" Type="http://schemas.openxmlformats.org/officeDocument/2006/relationships/hyperlink" Target="https://sante.gouv.fr/IMG/pdf/atlas51_2025.pdf" TargetMode="External"/><Relationship Id="rId144" Type="http://schemas.openxmlformats.org/officeDocument/2006/relationships/hyperlink" Target="https://www.ameli.fr/assure/actualites/le-vaccin-contre-les-infections-papillomavirus-humains-est-desormais-rembourse-jusqu-26-ans" TargetMode="External"/><Relationship Id="rId90" Type="http://schemas.openxmlformats.org/officeDocument/2006/relationships/hyperlink" Target="https://ansm.sante.fr/actualites/ovitrelle-250-ug-choriogonadotropine-alfa-adaptation-des-modalites-de-prescription-et-de-dispensation-a-compter-de-janvier-2026" TargetMode="External"/><Relationship Id="rId165" Type="http://schemas.openxmlformats.org/officeDocument/2006/relationships/hyperlink" Target="https://ansm.sante.fr/actualites/plan-hivernal-2025-2026-point-sur-lapprovisionnement-en-medicaments" TargetMode="External"/><Relationship Id="rId186" Type="http://schemas.openxmlformats.org/officeDocument/2006/relationships/footer" Target="footer2.xml"/><Relationship Id="rId27" Type="http://schemas.openxmlformats.org/officeDocument/2006/relationships/hyperlink" Target="https://www.lequotidiendupharmacien.fr/exercice-pro/le-pharmacien-bientot-autorise-communiquer-plus-facilement-sur-les-missions-et-services" TargetMode="External"/><Relationship Id="rId48" Type="http://schemas.openxmlformats.org/officeDocument/2006/relationships/hyperlink" Target="https://www.legifrance.gouv.fr/jorf/id/JORFTEXT000052990409" TargetMode="External"/><Relationship Id="rId69" Type="http://schemas.openxmlformats.org/officeDocument/2006/relationships/hyperlink" Target="https://www.epi-phare.fr/rapports-detudes-et-publications/vaccination-covid19-mortalite/" TargetMode="External"/><Relationship Id="rId113" Type="http://schemas.openxmlformats.org/officeDocument/2006/relationships/hyperlink" Target="https://www.santepubliquefrance.fr/les-actualites/2025/grippe-demarrage-de-l-epidemie-en-france-hexagonale" TargetMode="External"/><Relationship Id="rId134" Type="http://schemas.openxmlformats.org/officeDocument/2006/relationships/hyperlink" Target="https://www.ordre.pharmacien.fr/les-communications/focus-sur/les-actualites/l-ia-generative-en-sante-oui-avec-un-usage-responsable" TargetMode="External"/><Relationship Id="rId80" Type="http://schemas.openxmlformats.org/officeDocument/2006/relationships/hyperlink" Target="https://www.santepubliquefrance.fr/les-actualites/2025/journee-mondiale-de-lutte-contre-le-sida-2025-promouvoir-la-prevention-pour-lutter-contre-la-transmission-du-vih-et-des-ist" TargetMode="External"/><Relationship Id="rId155" Type="http://schemas.openxmlformats.org/officeDocument/2006/relationships/hyperlink" Target="https://www.epi-phare.fr/rapports-detudes-et-publications/beyfortus-abrysvo-jama/" TargetMode="External"/><Relationship Id="rId176" Type="http://schemas.openxmlformats.org/officeDocument/2006/relationships/hyperlink" Target="https://ansm.sante.fr/disponibilites-des-produits-de-sante/medicaments/teralithe-250-mg-comprime-secable-lithium-carbonate-de" TargetMode="External"/><Relationship Id="rId17" Type="http://schemas.openxmlformats.org/officeDocument/2006/relationships/hyperlink" Target="file:///C:\Users\pascal.pichon\OneDrive%20-%20Minist%C3%A8res%20sociaux\PEPPS%20-%20OneDrive\themes\subst_ven\subst.html" TargetMode="External"/><Relationship Id="rId38" Type="http://schemas.openxmlformats.org/officeDocument/2006/relationships/hyperlink" Target="https://www.legifrance.gouv.fr/affichCode.do?cidTexte=LEGITEXT000006072665&amp;idSectionTA=LEGISCTA000006145488&amp;dateTexte=29990101&amp;categorieLien=cid" TargetMode="External"/><Relationship Id="rId59" Type="http://schemas.openxmlformats.org/officeDocument/2006/relationships/hyperlink" Target="https://ansm.sante.fr/actualites/decision-du-18-12-2025-portant-modification-de-la-liste-de-reference-des-groupes-biologiques-similaires-mentionnee-a-larticle-r-5121-9-1-du-code-de-la-sante-publique" TargetMode="External"/><Relationship Id="rId103" Type="http://schemas.openxmlformats.org/officeDocument/2006/relationships/hyperlink" Target="https://peps.sante.gouv.fr/actu/2025/25_cnam_epi-phare_21112025.pdf" TargetMode="External"/><Relationship Id="rId124" Type="http://schemas.openxmlformats.org/officeDocument/2006/relationships/hyperlink" Target="https://www.dastri.fr/wp-content/uploads/2025/12/CP-DASTRI-Barometre-IFOP-VIH-2025.pdf" TargetMode="External"/><Relationship Id="rId70" Type="http://schemas.openxmlformats.org/officeDocument/2006/relationships/hyperlink" Target="https://sante.gouv.fr/IMG/pdf/dgs-urgent_n2025_28_-_campagne_de_vaccination_contre_le_covid-19_durant_les_fetes_de_fin_d_annee.pdf" TargetMode="External"/><Relationship Id="rId91" Type="http://schemas.openxmlformats.org/officeDocument/2006/relationships/hyperlink" Target="https://www.lemoniteurdespharmacies.fr/business/transactions/cession/fermetures-dofficines-en-milieu-rural-le-phenomene-prend-une-ampleur-inquietante" TargetMode="External"/><Relationship Id="rId145" Type="http://schemas.openxmlformats.org/officeDocument/2006/relationships/hyperlink" Target="https://www.has-sante.fr/jcms/p_3806377/fr/acces-precoce-a-des-medicaments-presumes-innovants-pour-un-pari-mieux-eclaire" TargetMode="External"/><Relationship Id="rId166" Type="http://schemas.openxmlformats.org/officeDocument/2006/relationships/hyperlink" Target="https://www.ordre.pharmacien.fr/les-communications/focus-sur/les-actualites/dp-ruptures-la-nouvelle-version-de-l-outil-de-l-ordre" TargetMode="External"/><Relationship Id="rId187" Type="http://schemas.openxmlformats.org/officeDocument/2006/relationships/header" Target="header3.xml"/><Relationship Id="rId1" Type="http://schemas.openxmlformats.org/officeDocument/2006/relationships/numbering" Target="numbering.xml"/><Relationship Id="rId28" Type="http://schemas.openxmlformats.org/officeDocument/2006/relationships/hyperlink" Target="https://www.lemoniteurdespharmacies.fr/profession/socio-professionnel/publicite-elargie-devoir-de-conseil-renforce-ce-qui-va-changer-avec-le-nouveau-code-de-deontologie" TargetMode="External"/><Relationship Id="rId49" Type="http://schemas.openxmlformats.org/officeDocument/2006/relationships/hyperlink" Target="https://www.legifrance.gouv.fr/jorf/id/JORFTEXT000053000765" TargetMode="External"/><Relationship Id="rId114" Type="http://schemas.openxmlformats.org/officeDocument/2006/relationships/hyperlink" Target="https://sante.gouv.fr/actualites-presse/presse/communiques-de-presse/article/vaccination-contre-la-grippe-un-enjeu-de-sante-publique-a-l-approche-des-fetes" TargetMode="External"/><Relationship Id="rId60" Type="http://schemas.openxmlformats.org/officeDocument/2006/relationships/hyperlink" Target="https://eur-lex.europa.eu/legal-content/FR/TXT/?uri=OJ:L_202502537" TargetMode="External"/><Relationship Id="rId81" Type="http://schemas.openxmlformats.org/officeDocument/2006/relationships/hyperlink" Target="https://657gg.r.a.d.sendibm1.com/mk/mr/sh/1t6AVsd2XFnIGGrMJc9cZo38xkmjzv/W3Ms2aMELB-r" TargetMode="External"/><Relationship Id="rId135" Type="http://schemas.openxmlformats.org/officeDocument/2006/relationships/hyperlink" Target="https://www.ordre.pharmacien.fr/les-communications/focus-sur/la-revue/tous-pharmaciens-la-revue-n-29-decembre-2025/cybersecurite-un-defi-de-sante-publique-pour-les-pharmaciens" TargetMode="External"/><Relationship Id="rId156" Type="http://schemas.openxmlformats.org/officeDocument/2006/relationships/hyperlink" Target="https://www.lemonde.fr/sante/article/2025/12/22/nicotine-le-conseil-d-etat-suspend-le-decret-d-interdiction-de-vente-de-sachet-prevu-pour-avril-2026_6659155_1651302.html" TargetMode="External"/><Relationship Id="rId177" Type="http://schemas.openxmlformats.org/officeDocument/2006/relationships/hyperlink" Target="https://ansm.sante.fr/disponibilites-des-produits-de-sante/medicaments/immunoglobuline-humaine-normale-iv-et-sc-a-base-de-immunoglobuline-humaine-normale-igg" TargetMode="External"/><Relationship Id="rId18" Type="http://schemas.openxmlformats.org/officeDocument/2006/relationships/hyperlink" Target="file:///C:\Users\pascal.pichon\OneDrive%20-%20Minist%C3%A8res%20sociaux\PEPPS%20-%20OneDrive\themes\subst_ven\subst.html" TargetMode="External"/><Relationship Id="rId39" Type="http://schemas.openxmlformats.org/officeDocument/2006/relationships/hyperlink" Target="https://www.legifrance.gouv.fr/jorf/id/JORFTEXT000052953255"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d478805292833ab2ba3292ecc91b2695">
  <xsd:schema xmlns:xsd="http://www.w3.org/2001/XMLSchema" xmlns:xs="http://www.w3.org/2001/XMLSchema" xmlns:p="http://schemas.microsoft.com/office/2006/metadata/properties" xmlns:ns2="496a4be7-76b1-4a69-ac69-a3e185a6e6be" targetNamespace="http://schemas.microsoft.com/office/2006/metadata/properties" ma:root="true" ma:fieldsID="d1d29ab494ac33d7221a9b2774fed93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27BB6A-FC85-4D2E-921D-9616B5E48752}"/>
</file>

<file path=customXml/itemProps2.xml><?xml version="1.0" encoding="utf-8"?>
<ds:datastoreItem xmlns:ds="http://schemas.openxmlformats.org/officeDocument/2006/customXml" ds:itemID="{5341D756-80E6-4D00-9995-713D9061793F}"/>
</file>

<file path=customXml/itemProps3.xml><?xml version="1.0" encoding="utf-8"?>
<ds:datastoreItem xmlns:ds="http://schemas.openxmlformats.org/officeDocument/2006/customXml" ds:itemID="{A0BD18B1-56F5-463F-88F2-D880C2004E9F}"/>
</file>

<file path=docProps/app.xml><?xml version="1.0" encoding="utf-8"?>
<Properties xmlns="http://schemas.openxmlformats.org/officeDocument/2006/extended-properties" xmlns:vt="http://schemas.openxmlformats.org/officeDocument/2006/docPropsVTypes">
  <Template>mois-xx.dotx</Template>
  <TotalTime>7158</TotalTime>
  <Pages>26</Pages>
  <Words>12084</Words>
  <Characters>111296</Characters>
  <Application>Microsoft Office Word</Application>
  <DocSecurity>0</DocSecurity>
  <Lines>927</Lines>
  <Paragraphs>246</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123134</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42</cp:revision>
  <cp:lastPrinted>2018-11-02T10:29:00Z</cp:lastPrinted>
  <dcterms:created xsi:type="dcterms:W3CDTF">2025-11-28T09:09:00Z</dcterms:created>
  <dcterms:modified xsi:type="dcterms:W3CDTF">2025-12-24T12:31:00Z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2025-11-28T09:10:24Z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8b53c374-4524-4181-ae40-dbbc9cc662eb</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