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0F6C" w:rsidRDefault="00DF168C">
      <w:r>
        <w:rPr>
          <w:noProof/>
        </w:rPr>
        <w:drawing>
          <wp:anchor distT="0" distB="0" distL="114300" distR="114300" simplePos="0" relativeHeight="251657728" behindDoc="1" locked="0" layoutInCell="1" allowOverlap="1">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30F6C" w:rsidRDefault="00C30F6C"/>
    <w:p w:rsidR="00C30F6C" w:rsidRDefault="00C30F6C"/>
    <w:p w:rsidR="00C30F6C" w:rsidRDefault="00C30F6C">
      <w:pPr>
        <w:rPr>
          <w:noProof/>
        </w:rPr>
      </w:pPr>
    </w:p>
    <w:p w:rsidR="00AC1EE8" w:rsidRDefault="00AC1EE8"/>
    <w:p w:rsidR="00C30F6C" w:rsidRDefault="00C30F6C"/>
    <w:p w:rsidR="00C30F6C" w:rsidRDefault="00C30F6C"/>
    <w:p w:rsidR="00C30F6C" w:rsidRDefault="00C30F6C"/>
    <w:p w:rsidR="00C30F6C" w:rsidRDefault="00C30F6C"/>
    <w:p w:rsidR="00C30F6C" w:rsidRDefault="00C30F6C"/>
    <w:p w:rsidR="00C30F6C" w:rsidRDefault="00C30F6C"/>
    <w:p w:rsidR="00C30F6C" w:rsidRDefault="00C30F6C"/>
    <w:p w:rsidR="00AC1EE8" w:rsidRDefault="00DF168C">
      <w:r>
        <w:rPr>
          <w:noProof/>
        </w:rPr>
        <mc:AlternateContent>
          <mc:Choice Requires="wps">
            <w:drawing>
              <wp:anchor distT="0" distB="0" distL="114300" distR="114300" simplePos="0" relativeHeight="251656704" behindDoc="0" locked="0" layoutInCell="0" allowOverlap="1">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2785A" w:rsidRPr="00624158" w:rsidRDefault="0022785A"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rsidR="0022785A" w:rsidRPr="00624158" w:rsidRDefault="0022785A"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JANVIER 2024</w:t>
                            </w:r>
                          </w:p>
                          <w:p w:rsidR="0022785A" w:rsidRPr="007575DF" w:rsidRDefault="0022785A"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h5tQ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" o:allowincell="f" filled="f" stroked="f">
                <v:textbox>
                  <w:txbxContent>
                    <w:p w:rsidR="0022785A" w:rsidRPr="00624158" w:rsidRDefault="0022785A"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rsidR="0022785A" w:rsidRPr="00624158" w:rsidRDefault="0022785A"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JANVIER 2024</w:t>
                      </w:r>
                    </w:p>
                    <w:p w:rsidR="0022785A" w:rsidRPr="007575DF" w:rsidRDefault="0022785A" w:rsidP="00980EF0">
                      <w:pPr>
                        <w:jc w:val="center"/>
                        <w:rPr>
                          <w:rFonts w:ascii="Century Gothic" w:eastAsia="Adobe Heiti Std R" w:hAnsi="Century Gothic" w:cs="Arial"/>
                          <w:color w:val="00A000"/>
                          <w:sz w:val="28"/>
                          <w:szCs w:val="28"/>
                        </w:rPr>
                      </w:pPr>
                    </w:p>
                  </w:txbxContent>
                </v:textbox>
              </v:shape>
            </w:pict>
          </mc:Fallback>
        </mc:AlternateContent>
      </w:r>
    </w:p>
    <w:p w:rsidR="00665ACB" w:rsidRDefault="00665ACB" w:rsidP="00AC1EE8">
      <w:pPr>
        <w:pStyle w:val="Default"/>
        <w:jc w:val="both"/>
        <w:rPr>
          <w:color w:val="FF0000"/>
        </w:rPr>
      </w:pPr>
    </w:p>
    <w:p w:rsidR="00665ACB" w:rsidRDefault="00665ACB" w:rsidP="00AC1EE8">
      <w:pPr>
        <w:pStyle w:val="Default"/>
        <w:jc w:val="both"/>
        <w:rPr>
          <w:color w:val="FF0000"/>
        </w:rPr>
      </w:pPr>
    </w:p>
    <w:p w:rsidR="00665ACB" w:rsidRDefault="00665ACB" w:rsidP="00AC1EE8">
      <w:pPr>
        <w:pStyle w:val="Default"/>
        <w:jc w:val="both"/>
        <w:rPr>
          <w:color w:val="FF0000"/>
        </w:rPr>
      </w:pPr>
    </w:p>
    <w:p w:rsidR="00DD6865" w:rsidRDefault="00DD6865" w:rsidP="00AC1EE8">
      <w:pPr>
        <w:pStyle w:val="Default"/>
        <w:jc w:val="both"/>
        <w:rPr>
          <w:color w:val="FF0000"/>
        </w:rPr>
      </w:pPr>
    </w:p>
    <w:p w:rsidR="00DD6865" w:rsidRDefault="00DD6865" w:rsidP="00AC1EE8">
      <w:pPr>
        <w:pStyle w:val="Default"/>
        <w:jc w:val="both"/>
        <w:rPr>
          <w:color w:val="FF0000"/>
        </w:rPr>
      </w:pPr>
    </w:p>
    <w:p w:rsidR="00624158" w:rsidRDefault="00DF168C" w:rsidP="00AC1EE8">
      <w:pPr>
        <w:pStyle w:val="Default"/>
        <w:jc w:val="both"/>
        <w:rPr>
          <w:color w:val="FF0000"/>
        </w:rPr>
      </w:pPr>
      <w:r>
        <w:rPr>
          <w:noProof/>
        </w:rPr>
        <w:drawing>
          <wp:anchor distT="0" distB="0" distL="114300" distR="114300" simplePos="0" relativeHeight="251658752" behindDoc="1" locked="0" layoutInCell="1" allowOverlap="1">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7632" w:rsidRDefault="00B7291F" w:rsidP="004568FE">
      <w:pPr>
        <w:pStyle w:val="Default"/>
        <w:jc w:val="both"/>
        <w:rPr>
          <w:color w:val="FF0000"/>
        </w:rPr>
      </w:pPr>
      <w:r>
        <w:rPr>
          <w:b/>
          <w:color w:val="538135"/>
        </w:rPr>
        <w:t>Dossiers thé</w:t>
      </w:r>
      <w:r w:rsidR="00285602" w:rsidRPr="00672CE5">
        <w:rPr>
          <w:b/>
          <w:color w:val="538135"/>
        </w:rPr>
        <w:t>m</w:t>
      </w:r>
      <w:r>
        <w:rPr>
          <w:b/>
          <w:color w:val="538135"/>
        </w:rPr>
        <w:t>atiqu</w:t>
      </w:r>
      <w:r w:rsidR="00285602" w:rsidRPr="00672CE5">
        <w:rPr>
          <w:b/>
          <w:color w:val="538135"/>
        </w:rPr>
        <w:t>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rsidR="00EC7CB4" w:rsidRDefault="00EC7CB4" w:rsidP="004568FE">
      <w:pPr>
        <w:pStyle w:val="Default"/>
        <w:jc w:val="both"/>
        <w:rPr>
          <w:color w:val="FF0000"/>
        </w:rPr>
      </w:pPr>
    </w:p>
    <w:p w:rsidR="00815654" w:rsidRPr="00F24AA7" w:rsidRDefault="00815654" w:rsidP="00815654">
      <w:pPr>
        <w:pStyle w:val="Default"/>
        <w:jc w:val="both"/>
        <w:rPr>
          <w:rStyle w:val="Lienhypertexte"/>
        </w:rPr>
      </w:pPr>
      <w:r>
        <w:rPr>
          <w:rStyle w:val="Lienhypertexte"/>
        </w:rPr>
        <w:fldChar w:fldCharType="begin"/>
      </w:r>
      <w:r>
        <w:rPr>
          <w:rStyle w:val="Lienhypertexte"/>
        </w:rPr>
        <w:instrText>HYPERLINK "https://peps.sante.gouv.fr/themes/dopage/dopage.html"</w:instrText>
      </w:r>
      <w:r>
        <w:rPr>
          <w:rStyle w:val="Lienhypertexte"/>
        </w:rPr>
        <w:fldChar w:fldCharType="separate"/>
      </w:r>
      <w:r w:rsidRPr="0099024D">
        <w:rPr>
          <w:rStyle w:val="Lienhypertexte"/>
        </w:rPr>
        <w:t>D</w:t>
      </w:r>
      <w:r>
        <w:rPr>
          <w:rStyle w:val="Lienhypertexte"/>
        </w:rPr>
        <w:t>opage</w:t>
      </w:r>
    </w:p>
    <w:p w:rsidR="00815654" w:rsidRDefault="00815654" w:rsidP="00815654">
      <w:pPr>
        <w:pStyle w:val="Default"/>
        <w:jc w:val="both"/>
        <w:rPr>
          <w:color w:val="538135"/>
          <w:sz w:val="20"/>
        </w:rPr>
      </w:pPr>
      <w:r>
        <w:rPr>
          <w:rStyle w:val="Lienhypertexte"/>
        </w:rPr>
        <w:fldChar w:fldCharType="end"/>
      </w:r>
      <w:r>
        <w:rPr>
          <w:color w:val="538135"/>
          <w:sz w:val="20"/>
        </w:rPr>
        <w:t xml:space="preserve">- </w:t>
      </w:r>
      <w:r w:rsidRPr="00815654">
        <w:rPr>
          <w:color w:val="538135"/>
          <w:sz w:val="20"/>
        </w:rPr>
        <w:t>Décret n° 2023-1334 du 29 décembre 2023 portant publication de l'amendement à l'annexe I de la convention internationale contre le dopage dans le sport, adopté à Paris le 15 novembre 2023 (Liste des interdictions 2024)</w:t>
      </w:r>
      <w:r w:rsidRPr="0099024D">
        <w:rPr>
          <w:color w:val="538135"/>
          <w:sz w:val="20"/>
        </w:rPr>
        <w:t>.</w:t>
      </w:r>
    </w:p>
    <w:p w:rsidR="00815654" w:rsidRDefault="00815654" w:rsidP="00815654">
      <w:pPr>
        <w:pStyle w:val="Default"/>
        <w:jc w:val="both"/>
        <w:rPr>
          <w:color w:val="FF0000"/>
        </w:rPr>
      </w:pPr>
    </w:p>
    <w:p w:rsidR="00815654" w:rsidRPr="00F24AA7" w:rsidRDefault="00815654" w:rsidP="00815654">
      <w:pPr>
        <w:pStyle w:val="Default"/>
        <w:jc w:val="both"/>
        <w:rPr>
          <w:rStyle w:val="Lienhypertexte"/>
        </w:rPr>
      </w:pPr>
      <w:r>
        <w:rPr>
          <w:rStyle w:val="Lienhypertexte"/>
        </w:rPr>
        <w:fldChar w:fldCharType="begin"/>
      </w:r>
      <w:r>
        <w:rPr>
          <w:rStyle w:val="Lienhypertexte"/>
        </w:rPr>
        <w:instrText>HYPERLINK "https://peps.sante.gouv.fr/themes/defense/defense.html"</w:instrText>
      </w:r>
      <w:r>
        <w:rPr>
          <w:rStyle w:val="Lienhypertexte"/>
        </w:rPr>
        <w:fldChar w:fldCharType="separate"/>
      </w:r>
      <w:r w:rsidRPr="0099024D">
        <w:rPr>
          <w:rStyle w:val="Lienhypertexte"/>
        </w:rPr>
        <w:t>Défense-sécurité et produits de santé</w:t>
      </w:r>
    </w:p>
    <w:p w:rsidR="00815654" w:rsidRPr="0099024D" w:rsidRDefault="00815654" w:rsidP="00815654">
      <w:pPr>
        <w:pStyle w:val="Default"/>
        <w:jc w:val="both"/>
        <w:rPr>
          <w:color w:val="538135"/>
          <w:sz w:val="20"/>
        </w:rPr>
      </w:pPr>
      <w:r>
        <w:rPr>
          <w:rStyle w:val="Lienhypertexte"/>
        </w:rPr>
        <w:fldChar w:fldCharType="end"/>
      </w:r>
      <w:r>
        <w:rPr>
          <w:color w:val="538135"/>
          <w:sz w:val="20"/>
        </w:rPr>
        <w:t xml:space="preserve">- </w:t>
      </w:r>
      <w:r w:rsidRPr="0099024D">
        <w:rPr>
          <w:color w:val="538135"/>
          <w:sz w:val="20"/>
        </w:rPr>
        <w:t>Décret n° 2024-8 du 3 janvier 2024 relatif à la préparation et à la réponse du système de santé pour faire face aux situations sanitaires exceptionnelles.</w:t>
      </w:r>
    </w:p>
    <w:p w:rsidR="00815654" w:rsidRDefault="00815654" w:rsidP="00815654">
      <w:pPr>
        <w:pStyle w:val="Default"/>
        <w:jc w:val="both"/>
        <w:rPr>
          <w:color w:val="538135"/>
          <w:sz w:val="20"/>
        </w:rPr>
      </w:pPr>
      <w:r w:rsidRPr="0099024D">
        <w:rPr>
          <w:color w:val="538135"/>
          <w:sz w:val="20"/>
        </w:rPr>
        <w:t>Notice : le décret modifie et précise les objectifs du dispositif ORSAN (Organisation de la réponse du système de santé en situations sanitaires exceptionnelles) et ses modalités de déclenchement, ainsi que son articulation avec le plan zonal de mobilisation. Il prévoit les modalités de désignation des établissements de santé exerçant des missions de référence dont il précise le rôle, organise les conditions de la mobilisation des établissements et services médico-sociaux et des professionnels de santé dans les situations d'urgence et décrit les modalités d'élaboration ainsi que le contenu des plans détaillant les mesures à mettre en œuvre en cas d'événement entraînant une perturbation de l'organisation des soins, notamment dans des situations sanitaires exceptionnelles. Il précise les modalités de mise en œuvre du traitement de données à caractère personnel permettant l'identification et le suivi des victimes de situations sanitaires exceptionnelles ou de tout événement de nature à impliquer de nombreuses victimes, notamment les accidents collectifs, afin d'assurer la gestion de l'événement et le suivi de ces victimes notamment pour leur prise en charge.</w:t>
      </w:r>
    </w:p>
    <w:p w:rsidR="00815654" w:rsidRDefault="00815654" w:rsidP="00815654">
      <w:pPr>
        <w:pStyle w:val="Default"/>
        <w:jc w:val="both"/>
        <w:rPr>
          <w:color w:val="FF0000"/>
        </w:rPr>
      </w:pPr>
    </w:p>
    <w:p w:rsidR="003438B0" w:rsidRPr="00F24AA7" w:rsidRDefault="003438B0" w:rsidP="003438B0">
      <w:pPr>
        <w:pStyle w:val="Default"/>
        <w:jc w:val="both"/>
        <w:rPr>
          <w:rStyle w:val="Lienhypertexte"/>
        </w:rPr>
      </w:pPr>
      <w:r>
        <w:rPr>
          <w:rStyle w:val="Lienhypertexte"/>
        </w:rPr>
        <w:fldChar w:fldCharType="begin"/>
      </w:r>
      <w:r>
        <w:rPr>
          <w:rStyle w:val="Lienhypertexte"/>
        </w:rPr>
        <w:instrText>HYPERLINK "https://peps.sante.gouv.fr/themes/bonusatb/busatb.html"</w:instrText>
      </w:r>
      <w:r>
        <w:rPr>
          <w:rStyle w:val="Lienhypertexte"/>
        </w:rPr>
        <w:fldChar w:fldCharType="separate"/>
      </w:r>
      <w:r w:rsidRPr="003438B0">
        <w:rPr>
          <w:rStyle w:val="Lienhypertexte"/>
        </w:rPr>
        <w:t>Prévention des infections associées aux soins et bon usage des antibiotiques</w:t>
      </w:r>
    </w:p>
    <w:p w:rsidR="003438B0" w:rsidRDefault="003438B0" w:rsidP="003438B0">
      <w:pPr>
        <w:pStyle w:val="Default"/>
        <w:jc w:val="both"/>
        <w:rPr>
          <w:color w:val="538135"/>
          <w:sz w:val="20"/>
        </w:rPr>
      </w:pPr>
      <w:r>
        <w:rPr>
          <w:rStyle w:val="Lienhypertexte"/>
        </w:rPr>
        <w:fldChar w:fldCharType="end"/>
      </w:r>
      <w:r>
        <w:rPr>
          <w:color w:val="538135"/>
          <w:sz w:val="20"/>
        </w:rPr>
        <w:t xml:space="preserve">- </w:t>
      </w:r>
      <w:r w:rsidR="00FF6BD2" w:rsidRPr="00FF6BD2">
        <w:rPr>
          <w:color w:val="538135"/>
          <w:sz w:val="20"/>
        </w:rPr>
        <w:t>Guide d’antibiothérapie en EHPAD (groupe de travail régional recommandations sur le bon usage des antibiotiques piloté par le Centre Régional en Antibiothérapie d’Occitanie, 2023)</w:t>
      </w:r>
      <w:r w:rsidRPr="0099024D">
        <w:rPr>
          <w:color w:val="538135"/>
          <w:sz w:val="20"/>
        </w:rPr>
        <w:t>.</w:t>
      </w:r>
    </w:p>
    <w:p w:rsidR="00FF6BD2" w:rsidRDefault="00FF6BD2" w:rsidP="003438B0">
      <w:pPr>
        <w:pStyle w:val="Default"/>
        <w:jc w:val="both"/>
        <w:rPr>
          <w:color w:val="538135"/>
          <w:sz w:val="20"/>
        </w:rPr>
      </w:pPr>
      <w:r>
        <w:rPr>
          <w:color w:val="538135"/>
          <w:sz w:val="20"/>
        </w:rPr>
        <w:t xml:space="preserve">- </w:t>
      </w:r>
      <w:r w:rsidRPr="00FF6BD2">
        <w:rPr>
          <w:color w:val="538135"/>
          <w:sz w:val="20"/>
        </w:rPr>
        <w:t>Guide - Prélèvements microbiologiques en EHPAD (groupe de travail régional recommandations sur le bon usage des antibiotiques piloté par le Centre Régional en Antibiothérapie d’Occitanie, janvier 2024)</w:t>
      </w:r>
      <w:r>
        <w:rPr>
          <w:color w:val="538135"/>
          <w:sz w:val="20"/>
        </w:rPr>
        <w:t>.</w:t>
      </w:r>
    </w:p>
    <w:p w:rsidR="003438B0" w:rsidRDefault="003438B0" w:rsidP="003438B0">
      <w:pPr>
        <w:pStyle w:val="Default"/>
        <w:jc w:val="both"/>
        <w:rPr>
          <w:color w:val="FF0000"/>
        </w:rPr>
      </w:pPr>
    </w:p>
    <w:p w:rsidR="00DB1521" w:rsidRPr="00F24AA7" w:rsidRDefault="00DB1521" w:rsidP="00DB1521">
      <w:pPr>
        <w:pStyle w:val="Default"/>
        <w:jc w:val="both"/>
        <w:rPr>
          <w:rStyle w:val="Lienhypertexte"/>
        </w:rPr>
      </w:pPr>
      <w:r>
        <w:rPr>
          <w:rStyle w:val="Lienhypertexte"/>
        </w:rPr>
        <w:fldChar w:fldCharType="begin"/>
      </w:r>
      <w:r>
        <w:rPr>
          <w:rStyle w:val="Lienhypertexte"/>
        </w:rPr>
        <w:instrText>HYPERLINK "https://peps.sante.gouv.fr/themes/substitution/substitution.html"</w:instrText>
      </w:r>
      <w:r>
        <w:rPr>
          <w:rStyle w:val="Lienhypertexte"/>
        </w:rPr>
        <w:fldChar w:fldCharType="separate"/>
      </w:r>
      <w:r w:rsidRPr="00DB1521">
        <w:rPr>
          <w:rStyle w:val="Lienhypertexte"/>
        </w:rPr>
        <w:t>Prise en charge des addictions : traitements de substitution</w:t>
      </w:r>
    </w:p>
    <w:p w:rsidR="00DB1521" w:rsidRPr="00DB1521" w:rsidRDefault="00DB1521" w:rsidP="00DB1521">
      <w:pPr>
        <w:pStyle w:val="Default"/>
        <w:jc w:val="both"/>
        <w:rPr>
          <w:color w:val="538135"/>
          <w:sz w:val="20"/>
        </w:rPr>
      </w:pPr>
      <w:r>
        <w:rPr>
          <w:rStyle w:val="Lienhypertexte"/>
        </w:rPr>
        <w:fldChar w:fldCharType="end"/>
      </w:r>
      <w:r>
        <w:rPr>
          <w:color w:val="538135"/>
          <w:sz w:val="20"/>
        </w:rPr>
        <w:t xml:space="preserve">- </w:t>
      </w:r>
      <w:r w:rsidRPr="00DB1521">
        <w:rPr>
          <w:color w:val="538135"/>
          <w:sz w:val="20"/>
        </w:rPr>
        <w:t>Accompagner les personnes en situation de grande précarité présentant des troubles psychiques (HAS, 18/01/2024).</w:t>
      </w:r>
    </w:p>
    <w:p w:rsidR="00DB1521" w:rsidRPr="00DB1521" w:rsidRDefault="00DB1521" w:rsidP="00DB1521">
      <w:pPr>
        <w:pStyle w:val="Default"/>
        <w:jc w:val="both"/>
        <w:rPr>
          <w:color w:val="538135"/>
          <w:sz w:val="20"/>
        </w:rPr>
      </w:pPr>
      <w:r w:rsidRPr="00DB1521">
        <w:rPr>
          <w:color w:val="538135"/>
          <w:sz w:val="20"/>
        </w:rPr>
        <w:t xml:space="preserve">Veiller à ce que les personnes en situation de grande précarité et présentant des troubles psychiques aient accès à un parcours de santé, d’insertion sociale et de vie citoyenne : c'est tout l'objet des recommandations de bonnes pratiques publiées aujourd'hui par la Haute Autorité de santé. </w:t>
      </w:r>
      <w:proofErr w:type="gramStart"/>
      <w:r w:rsidRPr="00DB1521">
        <w:rPr>
          <w:color w:val="538135"/>
          <w:sz w:val="20"/>
        </w:rPr>
        <w:t>La HAS</w:t>
      </w:r>
      <w:proofErr w:type="gramEnd"/>
      <w:r w:rsidRPr="00DB1521">
        <w:rPr>
          <w:color w:val="538135"/>
          <w:sz w:val="20"/>
        </w:rPr>
        <w:t xml:space="preserve"> souligne l'importance d’aller à la rencontre de ces personnes sur leurs lieux de vie, de leur offrir un accompagnement global et d’intervenir le plus précocement possible. Les recommandations s'adressent à la fois aux équipes intervenant auprès des personnes concernées et </w:t>
      </w:r>
      <w:r w:rsidRPr="00DB1521">
        <w:rPr>
          <w:color w:val="538135"/>
          <w:sz w:val="20"/>
        </w:rPr>
        <w:lastRenderedPageBreak/>
        <w:t>aux pouvoirs publics appelés à les soutenir en organisant la coordination des acteurs (santé, social, logement etc.) sur les territoires et en offrant des réponses à la hauteur des besoins.</w:t>
      </w:r>
    </w:p>
    <w:p w:rsidR="00DB1521" w:rsidRPr="00DB1521" w:rsidRDefault="00DB1521" w:rsidP="00DB1521">
      <w:pPr>
        <w:pStyle w:val="Default"/>
        <w:jc w:val="both"/>
        <w:rPr>
          <w:color w:val="538135"/>
          <w:sz w:val="20"/>
        </w:rPr>
      </w:pPr>
      <w:proofErr w:type="gramStart"/>
      <w:r w:rsidRPr="00DB1521">
        <w:rPr>
          <w:color w:val="538135"/>
          <w:sz w:val="20"/>
        </w:rPr>
        <w:t>La HAS</w:t>
      </w:r>
      <w:proofErr w:type="gramEnd"/>
      <w:r w:rsidRPr="00DB1521">
        <w:rPr>
          <w:color w:val="538135"/>
          <w:sz w:val="20"/>
        </w:rPr>
        <w:t xml:space="preserve"> assortit ses recommandations de 8 fiches outils :</w:t>
      </w:r>
    </w:p>
    <w:p w:rsidR="00DB1521" w:rsidRPr="00DB1521" w:rsidRDefault="00DB1521" w:rsidP="00DB1521">
      <w:pPr>
        <w:pStyle w:val="Default"/>
        <w:numPr>
          <w:ilvl w:val="0"/>
          <w:numId w:val="24"/>
        </w:numPr>
        <w:jc w:val="both"/>
        <w:rPr>
          <w:color w:val="538135"/>
          <w:sz w:val="20"/>
        </w:rPr>
      </w:pPr>
      <w:r w:rsidRPr="00DB1521">
        <w:rPr>
          <w:color w:val="538135"/>
          <w:sz w:val="20"/>
        </w:rPr>
        <w:t xml:space="preserve">5 fiches précisent les actions de catégories spécifiques d’intervenants : équipes de psychiatrie, équipes sociales, équipes de soins primaires (médecins généralistes, infirmiers, </w:t>
      </w:r>
      <w:r w:rsidR="00F76683" w:rsidRPr="00DB1521">
        <w:rPr>
          <w:color w:val="538135"/>
          <w:sz w:val="20"/>
        </w:rPr>
        <w:t>sages-femmes</w:t>
      </w:r>
      <w:r w:rsidRPr="00DB1521">
        <w:rPr>
          <w:color w:val="538135"/>
          <w:sz w:val="20"/>
        </w:rPr>
        <w:t xml:space="preserve">, pharmaciens, </w:t>
      </w:r>
      <w:proofErr w:type="spellStart"/>
      <w:r w:rsidRPr="00DB1521">
        <w:rPr>
          <w:color w:val="538135"/>
          <w:sz w:val="20"/>
        </w:rPr>
        <w:t>etc</w:t>
      </w:r>
      <w:proofErr w:type="spellEnd"/>
      <w:r w:rsidRPr="00DB1521">
        <w:rPr>
          <w:color w:val="538135"/>
          <w:sz w:val="20"/>
        </w:rPr>
        <w:t>), urgences et services d’hospitalisation, et administrations ;</w:t>
      </w:r>
    </w:p>
    <w:p w:rsidR="00DB1521" w:rsidRPr="00DB1521" w:rsidRDefault="00DB1521" w:rsidP="00DB1521">
      <w:pPr>
        <w:pStyle w:val="Default"/>
        <w:numPr>
          <w:ilvl w:val="0"/>
          <w:numId w:val="24"/>
        </w:numPr>
        <w:jc w:val="both"/>
        <w:rPr>
          <w:color w:val="538135"/>
          <w:sz w:val="20"/>
        </w:rPr>
      </w:pPr>
      <w:r w:rsidRPr="00DB1521">
        <w:rPr>
          <w:color w:val="538135"/>
          <w:sz w:val="20"/>
        </w:rPr>
        <w:t>3 fiches développent des situations particulières : hospitalisation en psychiatrie, prévention et interventions précoces et recours aux pairs-aidants.</w:t>
      </w:r>
    </w:p>
    <w:p w:rsidR="00DB1521" w:rsidRDefault="00DB1521" w:rsidP="00DB1521">
      <w:pPr>
        <w:pStyle w:val="Default"/>
        <w:jc w:val="both"/>
        <w:rPr>
          <w:color w:val="538135"/>
          <w:sz w:val="20"/>
        </w:rPr>
      </w:pPr>
      <w:r w:rsidRPr="00DB1521">
        <w:rPr>
          <w:color w:val="538135"/>
          <w:sz w:val="20"/>
        </w:rPr>
        <w:t>A noter, entre autres, dans le rapport d'élaboration : "Un accès inconditionnel, ouvert et entièrement gratuit aux soins doit être organisé (diffusion de l'approche « réduction des risques » dans toutes les structures et dans tous les lieux de soins, accès aux traitements de substitution ; dont l'accès en milieu rural via les pharmacies ; la diffusion des « kits overdose » ; la mise en place généralisée des salles de consommation à moindre risque ; le développement et la reconnaissance de programmes d'éducation thérapeutique adaptés à ces publics)"</w:t>
      </w:r>
      <w:r w:rsidRPr="0099024D">
        <w:rPr>
          <w:color w:val="538135"/>
          <w:sz w:val="20"/>
        </w:rPr>
        <w:t>.</w:t>
      </w:r>
    </w:p>
    <w:p w:rsidR="00FF0A4F" w:rsidRPr="00FF0A4F" w:rsidRDefault="00FF0A4F" w:rsidP="00FF0A4F">
      <w:pPr>
        <w:pStyle w:val="Default"/>
        <w:jc w:val="both"/>
        <w:rPr>
          <w:color w:val="538135"/>
          <w:sz w:val="20"/>
        </w:rPr>
      </w:pPr>
      <w:r>
        <w:rPr>
          <w:color w:val="538135"/>
          <w:sz w:val="20"/>
        </w:rPr>
        <w:t xml:space="preserve">- </w:t>
      </w:r>
      <w:r w:rsidRPr="00FF0A4F">
        <w:rPr>
          <w:color w:val="538135"/>
          <w:sz w:val="20"/>
        </w:rPr>
        <w:t>La boîte à outils pour les CSAPA référents en milieu pénitentiaire (Fédération addiction, 12/07/2023).</w:t>
      </w:r>
    </w:p>
    <w:p w:rsidR="00FF0A4F" w:rsidRDefault="00FF0A4F" w:rsidP="00FF0A4F">
      <w:pPr>
        <w:pStyle w:val="Default"/>
        <w:jc w:val="both"/>
        <w:rPr>
          <w:color w:val="538135"/>
          <w:sz w:val="20"/>
        </w:rPr>
      </w:pPr>
      <w:r w:rsidRPr="00FF0A4F">
        <w:rPr>
          <w:color w:val="538135"/>
          <w:sz w:val="20"/>
        </w:rPr>
        <w:t>Depuis 2012, les CSAPA référents en milieu en pénitentiaire complètent le schéma des soins en détention : ils visent à renforcer la préparation à la sortie et l'accompagnement des personnes détenues ayant des conduites addictives. Avec cette boîte à outils, la Fédération Addiction propose des repères pour accompagner ces missions.</w:t>
      </w:r>
    </w:p>
    <w:p w:rsidR="00DB1521" w:rsidRDefault="00DB1521" w:rsidP="00DB1521">
      <w:pPr>
        <w:pStyle w:val="Default"/>
        <w:jc w:val="both"/>
        <w:rPr>
          <w:color w:val="FF0000"/>
        </w:rPr>
      </w:pPr>
    </w:p>
    <w:p w:rsidR="004568FE" w:rsidRPr="00ED2E7C" w:rsidRDefault="0022785A" w:rsidP="004568FE">
      <w:pPr>
        <w:pStyle w:val="Default"/>
        <w:jc w:val="both"/>
        <w:rPr>
          <w:color w:val="FF0000"/>
        </w:rPr>
      </w:pPr>
      <w:hyperlink r:id="rId9" w:history="1">
        <w:r w:rsidR="00F27632" w:rsidRPr="00117BB3">
          <w:rPr>
            <w:rStyle w:val="Lienhypertexte"/>
          </w:rPr>
          <w:t>Substances vénéneuses</w:t>
        </w:r>
      </w:hyperlink>
    </w:p>
    <w:p w:rsidR="00A317C9" w:rsidRPr="00A317C9" w:rsidRDefault="00A317C9" w:rsidP="00A317C9">
      <w:pPr>
        <w:pStyle w:val="Default"/>
        <w:rPr>
          <w:color w:val="538135"/>
          <w:sz w:val="20"/>
        </w:rPr>
      </w:pPr>
      <w:r>
        <w:rPr>
          <w:color w:val="538135"/>
          <w:sz w:val="20"/>
        </w:rPr>
        <w:t xml:space="preserve">- </w:t>
      </w:r>
      <w:r w:rsidRPr="00A317C9">
        <w:rPr>
          <w:color w:val="538135"/>
          <w:sz w:val="20"/>
        </w:rPr>
        <w:t xml:space="preserve">Révision complète du chapitre consacré à la prescription dématérialisée ou e-prescription et actualisation des dispositions réglementaires modifiées par le décret "e-prescription" (principe d'établissement et non plus de rédaction d'une prescription, justification écrite - sur l'ordonnance sécurisée qui persiste pour ces cas-là - de l'impossibilité de recourir à une prescription dématérialisée pour la prescription de stupéfiants ou assimilés, mentions relatives à l'exécution de prescriptions à préciser au moyen du </w:t>
      </w:r>
      <w:proofErr w:type="spellStart"/>
      <w:r w:rsidRPr="00A317C9">
        <w:rPr>
          <w:color w:val="538135"/>
          <w:sz w:val="20"/>
        </w:rPr>
        <w:t>téléservice</w:t>
      </w:r>
      <w:proofErr w:type="spellEnd"/>
      <w:r w:rsidRPr="00A317C9">
        <w:rPr>
          <w:color w:val="538135"/>
          <w:sz w:val="20"/>
        </w:rPr>
        <w:t xml:space="preserve"> "e-prescription", conservation 10 ans par l'exécutant d'une copie des prescriptions de MOT revêtue des mentions d'exécution).</w:t>
      </w:r>
    </w:p>
    <w:p w:rsidR="00263E21" w:rsidRDefault="00A317C9" w:rsidP="00A317C9">
      <w:pPr>
        <w:pStyle w:val="Default"/>
        <w:rPr>
          <w:color w:val="538135"/>
          <w:sz w:val="20"/>
        </w:rPr>
      </w:pPr>
      <w:r>
        <w:rPr>
          <w:color w:val="538135"/>
          <w:sz w:val="20"/>
        </w:rPr>
        <w:t xml:space="preserve">- </w:t>
      </w:r>
      <w:r w:rsidRPr="00A317C9">
        <w:rPr>
          <w:color w:val="538135"/>
          <w:sz w:val="20"/>
        </w:rPr>
        <w:t xml:space="preserve">Les usages de substances psychoactives chez les collégiens et lycéens - Résultats </w:t>
      </w:r>
      <w:proofErr w:type="spellStart"/>
      <w:r w:rsidRPr="00A317C9">
        <w:rPr>
          <w:color w:val="538135"/>
          <w:sz w:val="20"/>
        </w:rPr>
        <w:t>EnCLASS</w:t>
      </w:r>
      <w:proofErr w:type="spellEnd"/>
      <w:r w:rsidRPr="00A317C9">
        <w:rPr>
          <w:color w:val="538135"/>
          <w:sz w:val="20"/>
        </w:rPr>
        <w:t xml:space="preserve"> 2022 (OFDT, 25/01/2024).</w:t>
      </w:r>
      <w:r w:rsidR="004B1C7D" w:rsidRPr="004B1C7D">
        <w:rPr>
          <w:color w:val="538135"/>
          <w:sz w:val="20"/>
        </w:rPr>
        <w:br/>
      </w:r>
    </w:p>
    <w:p w:rsidR="00D82BEE" w:rsidRPr="00A317C9" w:rsidRDefault="00D82BEE" w:rsidP="00263E21">
      <w:pPr>
        <w:pStyle w:val="Default"/>
        <w:jc w:val="both"/>
        <w:rPr>
          <w:color w:val="538135"/>
          <w:sz w:val="20"/>
        </w:rPr>
      </w:pPr>
    </w:p>
    <w:p w:rsidR="00CC56E9" w:rsidRPr="00672CE5" w:rsidRDefault="00CC56E9" w:rsidP="00672CE5">
      <w:pPr>
        <w:pStyle w:val="PEPS"/>
      </w:pPr>
      <w:r w:rsidRPr="00672CE5">
        <w:t>Manuel des formalités administratives :</w:t>
      </w:r>
    </w:p>
    <w:p w:rsidR="00523F15" w:rsidRDefault="004A7D3C" w:rsidP="00672CE5">
      <w:pPr>
        <w:pStyle w:val="PEPS"/>
        <w:rPr>
          <w:rFonts w:ascii="Calibri" w:eastAsia="Calibri" w:hAnsi="Calibri" w:cs="Times New Roman"/>
          <w:b w:val="0"/>
          <w:color w:val="auto"/>
          <w:sz w:val="22"/>
          <w:szCs w:val="21"/>
          <w:lang w:eastAsia="en-US"/>
        </w:rPr>
      </w:pPr>
      <w:hyperlink r:id="rId10" w:history="1">
        <w:r w:rsidRPr="00E146CA">
          <w:rPr>
            <w:rStyle w:val="Lienhypertexte"/>
            <w:rFonts w:ascii="Calibri" w:eastAsia="Calibri" w:hAnsi="Calibri" w:cs="Times New Roman"/>
            <w:b w:val="0"/>
            <w:sz w:val="22"/>
            <w:szCs w:val="21"/>
            <w:lang w:eastAsia="en-US"/>
          </w:rPr>
          <w:t>https://peps.sante.gouv.fr/outils/guide_proced/guide.html</w:t>
        </w:r>
      </w:hyperlink>
    </w:p>
    <w:p w:rsidR="004A7D3C" w:rsidRPr="00126647" w:rsidRDefault="004A7D3C" w:rsidP="00672CE5">
      <w:pPr>
        <w:pStyle w:val="PEPS"/>
        <w:rPr>
          <w:rFonts w:ascii="Calibri" w:eastAsia="Calibri" w:hAnsi="Calibri" w:cs="Times New Roman"/>
          <w:b w:val="0"/>
          <w:color w:val="auto"/>
          <w:sz w:val="22"/>
          <w:szCs w:val="21"/>
          <w:lang w:eastAsia="en-US"/>
        </w:rPr>
      </w:pPr>
    </w:p>
    <w:p w:rsidR="005142E8" w:rsidRPr="00672CE5" w:rsidRDefault="005142E8" w:rsidP="00672CE5">
      <w:pPr>
        <w:pStyle w:val="Textebrut"/>
      </w:pPr>
    </w:p>
    <w:p w:rsidR="00AD13E8" w:rsidRDefault="00AD13E8" w:rsidP="00672CE5">
      <w:pPr>
        <w:pStyle w:val="PEPS"/>
      </w:pPr>
      <w:r w:rsidRPr="00947196">
        <w:t>Textes en projet :</w:t>
      </w:r>
    </w:p>
    <w:p w:rsidR="00EA7ACB" w:rsidRDefault="0022785A" w:rsidP="00EA7ACB">
      <w:pPr>
        <w:pStyle w:val="PEPS"/>
        <w:rPr>
          <w:rFonts w:ascii="Calibri" w:eastAsia="Calibri" w:hAnsi="Calibri" w:cs="Times New Roman"/>
          <w:b w:val="0"/>
          <w:color w:val="auto"/>
          <w:sz w:val="22"/>
          <w:szCs w:val="21"/>
          <w:lang w:eastAsia="en-US"/>
        </w:rPr>
      </w:pPr>
      <w:hyperlink r:id="rId11" w:history="1">
        <w:r w:rsidR="00EA7ACB">
          <w:rPr>
            <w:rStyle w:val="Lienhypertexte"/>
            <w:rFonts w:ascii="Calibri" w:eastAsia="Calibri" w:hAnsi="Calibri" w:cs="Times New Roman"/>
            <w:b w:val="0"/>
            <w:sz w:val="22"/>
            <w:szCs w:val="21"/>
            <w:lang w:eastAsia="en-US"/>
          </w:rPr>
          <w:t>https://peps.sante.gouv.fr/textes_projets/projets.html</w:t>
        </w:r>
      </w:hyperlink>
    </w:p>
    <w:p w:rsidR="00B70869" w:rsidRDefault="00B70869" w:rsidP="00672CE5">
      <w:pPr>
        <w:pStyle w:val="PEPS"/>
        <w:rPr>
          <w:rFonts w:ascii="Calibri" w:eastAsia="Calibri" w:hAnsi="Calibri" w:cs="Times New Roman"/>
          <w:b w:val="0"/>
          <w:color w:val="auto"/>
          <w:sz w:val="22"/>
          <w:szCs w:val="21"/>
          <w:lang w:eastAsia="en-US"/>
        </w:rPr>
      </w:pPr>
    </w:p>
    <w:p w:rsidR="00430E44" w:rsidRDefault="0068179B" w:rsidP="00672CE5">
      <w:pPr>
        <w:pStyle w:val="PEPS"/>
        <w:rPr>
          <w:rFonts w:ascii="Calibri" w:eastAsia="Calibri" w:hAnsi="Calibri" w:cs="Times New Roman"/>
          <w:b w:val="0"/>
          <w:color w:val="auto"/>
          <w:sz w:val="22"/>
          <w:szCs w:val="21"/>
          <w:lang w:eastAsia="en-US"/>
        </w:rPr>
      </w:pPr>
      <w:r>
        <w:rPr>
          <w:rFonts w:ascii="Calibri" w:eastAsia="Calibri" w:hAnsi="Calibri" w:cs="Times New Roman"/>
          <w:b w:val="0"/>
          <w:color w:val="auto"/>
          <w:sz w:val="22"/>
          <w:szCs w:val="21"/>
          <w:lang w:eastAsia="en-US"/>
        </w:rPr>
        <w:t>Cette page du PEPPS est désormais complétée d’une nou</w:t>
      </w:r>
      <w:r w:rsidR="00BE7B9A">
        <w:rPr>
          <w:rFonts w:ascii="Calibri" w:eastAsia="Calibri" w:hAnsi="Calibri" w:cs="Times New Roman"/>
          <w:b w:val="0"/>
          <w:color w:val="auto"/>
          <w:sz w:val="22"/>
          <w:szCs w:val="21"/>
          <w:lang w:eastAsia="en-US"/>
        </w:rPr>
        <w:t>velle page intitulée</w:t>
      </w:r>
      <w:r>
        <w:rPr>
          <w:rFonts w:ascii="Calibri" w:eastAsia="Calibri" w:hAnsi="Calibri" w:cs="Times New Roman"/>
          <w:b w:val="0"/>
          <w:color w:val="auto"/>
          <w:sz w:val="22"/>
          <w:szCs w:val="21"/>
          <w:lang w:eastAsia="en-US"/>
        </w:rPr>
        <w:t xml:space="preserve"> « Textes adoptés », accessible depuis la page des « Textes en projet » :</w:t>
      </w:r>
    </w:p>
    <w:p w:rsidR="0068179B" w:rsidRDefault="0022785A" w:rsidP="00672CE5">
      <w:pPr>
        <w:pStyle w:val="PEPS"/>
        <w:rPr>
          <w:rFonts w:ascii="Calibri" w:eastAsia="Calibri" w:hAnsi="Calibri" w:cs="Times New Roman"/>
          <w:b w:val="0"/>
          <w:color w:val="auto"/>
          <w:sz w:val="22"/>
          <w:szCs w:val="21"/>
          <w:lang w:eastAsia="en-US"/>
        </w:rPr>
      </w:pPr>
      <w:hyperlink r:id="rId12" w:history="1">
        <w:r w:rsidR="0068179B" w:rsidRPr="00CA03BB">
          <w:rPr>
            <w:rStyle w:val="Lienhypertexte"/>
            <w:rFonts w:ascii="Calibri" w:eastAsia="Calibri" w:hAnsi="Calibri" w:cs="Times New Roman"/>
            <w:b w:val="0"/>
            <w:sz w:val="22"/>
            <w:szCs w:val="21"/>
            <w:lang w:eastAsia="en-US"/>
          </w:rPr>
          <w:t>https://peps.sante.gouv.fr/textes_projets/projets_adoptes.html</w:t>
        </w:r>
      </w:hyperlink>
    </w:p>
    <w:p w:rsidR="0068179B" w:rsidRDefault="0068179B" w:rsidP="00672CE5">
      <w:pPr>
        <w:pStyle w:val="PEPS"/>
        <w:rPr>
          <w:rFonts w:ascii="Calibri" w:eastAsia="Calibri" w:hAnsi="Calibri" w:cs="Times New Roman"/>
          <w:b w:val="0"/>
          <w:color w:val="auto"/>
          <w:sz w:val="22"/>
          <w:szCs w:val="21"/>
          <w:lang w:eastAsia="en-US"/>
        </w:rPr>
      </w:pPr>
      <w:r>
        <w:rPr>
          <w:rFonts w:ascii="Calibri" w:eastAsia="Calibri" w:hAnsi="Calibri" w:cs="Times New Roman"/>
          <w:b w:val="0"/>
          <w:color w:val="auto"/>
          <w:sz w:val="22"/>
          <w:szCs w:val="21"/>
          <w:lang w:eastAsia="en-US"/>
        </w:rPr>
        <w:t xml:space="preserve">Elle comporte les </w:t>
      </w:r>
      <w:r w:rsidRPr="0068179B">
        <w:rPr>
          <w:rFonts w:ascii="Calibri" w:eastAsia="Calibri" w:hAnsi="Calibri" w:cs="Times New Roman"/>
          <w:b w:val="0"/>
          <w:color w:val="auto"/>
          <w:sz w:val="22"/>
          <w:szCs w:val="21"/>
          <w:lang w:eastAsia="en-US"/>
        </w:rPr>
        <w:t xml:space="preserve">textes </w:t>
      </w:r>
      <w:r>
        <w:rPr>
          <w:rFonts w:ascii="Calibri" w:eastAsia="Calibri" w:hAnsi="Calibri" w:cs="Times New Roman"/>
          <w:b w:val="0"/>
          <w:color w:val="auto"/>
          <w:sz w:val="22"/>
          <w:szCs w:val="21"/>
          <w:lang w:eastAsia="en-US"/>
        </w:rPr>
        <w:t xml:space="preserve">figurant initialement dans les « Textes en projet » et </w:t>
      </w:r>
      <w:r w:rsidRPr="0068179B">
        <w:rPr>
          <w:rFonts w:ascii="Calibri" w:eastAsia="Calibri" w:hAnsi="Calibri" w:cs="Times New Roman"/>
          <w:b w:val="0"/>
          <w:color w:val="auto"/>
          <w:sz w:val="22"/>
          <w:szCs w:val="21"/>
          <w:lang w:eastAsia="en-US"/>
        </w:rPr>
        <w:t>dont le projet a été publié (essentiellement projets de lois et propositions parlementaires de lois ou PPL) ou reçu (et diffusé) par le PEPPS. Son intérêt réside essentiellement dans la conservation d'éléments du processus d'élaboration du texte, lesquels peuvent permettre de mieux comprendre le texte finalement adopté et publié. Sont également ajoutés les commentaires émis par le ministère ou d'autres instances.</w:t>
      </w:r>
    </w:p>
    <w:p w:rsidR="0068179B" w:rsidRDefault="0068179B" w:rsidP="00672CE5">
      <w:pPr>
        <w:pStyle w:val="PEPS"/>
        <w:rPr>
          <w:rFonts w:ascii="Calibri" w:eastAsia="Calibri" w:hAnsi="Calibri" w:cs="Times New Roman"/>
          <w:b w:val="0"/>
          <w:color w:val="auto"/>
          <w:sz w:val="22"/>
          <w:szCs w:val="21"/>
          <w:lang w:eastAsia="en-US"/>
        </w:rPr>
      </w:pPr>
    </w:p>
    <w:p w:rsidR="00DE5C80" w:rsidRPr="00126647" w:rsidRDefault="00DE5C80" w:rsidP="00672CE5">
      <w:pPr>
        <w:pStyle w:val="PEPS"/>
        <w:rPr>
          <w:rFonts w:ascii="Calibri" w:eastAsia="Calibri" w:hAnsi="Calibri" w:cs="Times New Roman"/>
          <w:b w:val="0"/>
          <w:color w:val="auto"/>
          <w:sz w:val="22"/>
          <w:szCs w:val="21"/>
          <w:lang w:eastAsia="en-US"/>
        </w:rPr>
      </w:pPr>
      <w:r w:rsidRPr="00DE5C80">
        <w:rPr>
          <w:rFonts w:ascii="Calibri" w:eastAsia="Calibri" w:hAnsi="Calibri" w:cs="Times New Roman"/>
          <w:b w:val="0"/>
          <w:color w:val="auto"/>
          <w:sz w:val="22"/>
          <w:szCs w:val="21"/>
          <w:lang w:eastAsia="en-US"/>
        </w:rPr>
        <w:t xml:space="preserve">Projet de décret </w:t>
      </w:r>
      <w:r w:rsidRPr="00DE5C80">
        <w:rPr>
          <w:rFonts w:ascii="Calibri" w:eastAsia="Calibri" w:hAnsi="Calibri" w:cs="Times New Roman"/>
          <w:b w:val="0"/>
          <w:i/>
          <w:color w:val="auto"/>
          <w:sz w:val="22"/>
          <w:szCs w:val="21"/>
          <w:lang w:eastAsia="en-US"/>
        </w:rPr>
        <w:t>relatif aux conditions de détermination des territoires au sein desquels l’accès au médicament pour la population n’est pas assuré de manière satisfaisante</w:t>
      </w:r>
      <w:r w:rsidRPr="00DE5C80">
        <w:rPr>
          <w:rFonts w:ascii="Calibri" w:eastAsia="Calibri" w:hAnsi="Calibri" w:cs="Times New Roman"/>
          <w:b w:val="0"/>
          <w:color w:val="auto"/>
          <w:sz w:val="22"/>
          <w:szCs w:val="21"/>
          <w:lang w:eastAsia="en-US"/>
        </w:rPr>
        <w:t xml:space="preserve"> (version du 25/01/2024)</w:t>
      </w:r>
      <w:r>
        <w:rPr>
          <w:rFonts w:ascii="Calibri" w:eastAsia="Calibri" w:hAnsi="Calibri" w:cs="Times New Roman"/>
          <w:b w:val="0"/>
          <w:color w:val="auto"/>
          <w:sz w:val="22"/>
          <w:szCs w:val="21"/>
          <w:lang w:eastAsia="en-US"/>
        </w:rPr>
        <w:t xml:space="preserve"> alias décret territoires fragiles officines.</w:t>
      </w:r>
    </w:p>
    <w:p w:rsidR="00DE5C80" w:rsidRDefault="0022785A" w:rsidP="00DE5C80">
      <w:pPr>
        <w:pStyle w:val="PEPS"/>
        <w:rPr>
          <w:rFonts w:ascii="Calibri" w:eastAsia="Calibri" w:hAnsi="Calibri" w:cs="Times New Roman"/>
          <w:b w:val="0"/>
          <w:color w:val="auto"/>
          <w:sz w:val="22"/>
          <w:szCs w:val="21"/>
          <w:lang w:eastAsia="en-US"/>
        </w:rPr>
      </w:pPr>
      <w:hyperlink r:id="rId13" w:history="1">
        <w:r w:rsidR="00DE5C80">
          <w:rPr>
            <w:rStyle w:val="Lienhypertexte"/>
            <w:rFonts w:ascii="Calibri" w:eastAsia="Calibri" w:hAnsi="Calibri" w:cs="Times New Roman"/>
            <w:b w:val="0"/>
            <w:sz w:val="22"/>
            <w:szCs w:val="21"/>
            <w:lang w:eastAsia="en-US"/>
          </w:rPr>
          <w:t>https://peps.sante.gouv.fr/textes_projets/projets.html</w:t>
        </w:r>
      </w:hyperlink>
    </w:p>
    <w:p w:rsidR="00402BA6" w:rsidRDefault="00402BA6" w:rsidP="00126647">
      <w:pPr>
        <w:pStyle w:val="PEPS"/>
        <w:rPr>
          <w:rFonts w:ascii="Calibri" w:eastAsia="Calibri" w:hAnsi="Calibri" w:cs="Times New Roman"/>
          <w:b w:val="0"/>
          <w:color w:val="auto"/>
          <w:sz w:val="22"/>
          <w:szCs w:val="21"/>
          <w:lang w:eastAsia="en-US"/>
        </w:rPr>
      </w:pPr>
    </w:p>
    <w:p w:rsidR="00DE5C80" w:rsidRDefault="00DE5C80" w:rsidP="00126647">
      <w:pPr>
        <w:pStyle w:val="PEPS"/>
        <w:rPr>
          <w:rFonts w:ascii="Calibri" w:eastAsia="Calibri" w:hAnsi="Calibri" w:cs="Times New Roman"/>
          <w:b w:val="0"/>
          <w:color w:val="auto"/>
          <w:sz w:val="22"/>
          <w:szCs w:val="21"/>
          <w:lang w:eastAsia="en-US"/>
        </w:rPr>
      </w:pPr>
    </w:p>
    <w:p w:rsidR="004A7D3C" w:rsidRDefault="004A7D3C" w:rsidP="00126647">
      <w:pPr>
        <w:pStyle w:val="PEPS"/>
        <w:rPr>
          <w:rFonts w:ascii="Calibri" w:eastAsia="Calibri" w:hAnsi="Calibri" w:cs="Times New Roman"/>
          <w:b w:val="0"/>
          <w:color w:val="auto"/>
          <w:sz w:val="22"/>
          <w:szCs w:val="21"/>
          <w:lang w:eastAsia="en-US"/>
        </w:rPr>
      </w:pPr>
    </w:p>
    <w:p w:rsidR="004A7D3C" w:rsidRDefault="004A7D3C" w:rsidP="004A7D3C">
      <w:pPr>
        <w:pStyle w:val="PEPS"/>
      </w:pPr>
      <w:r>
        <w:t>Guides d’inspection</w:t>
      </w:r>
      <w:r w:rsidRPr="00947196">
        <w:t> :</w:t>
      </w:r>
    </w:p>
    <w:p w:rsidR="004A7D3C" w:rsidRDefault="004A7D3C" w:rsidP="00126647">
      <w:pPr>
        <w:pStyle w:val="PEPS"/>
        <w:rPr>
          <w:rFonts w:ascii="Calibri" w:eastAsia="Calibri" w:hAnsi="Calibri" w:cs="Times New Roman"/>
          <w:b w:val="0"/>
          <w:color w:val="auto"/>
          <w:sz w:val="22"/>
          <w:szCs w:val="21"/>
          <w:lang w:eastAsia="en-US"/>
        </w:rPr>
      </w:pPr>
      <w:hyperlink r:id="rId14" w:history="1">
        <w:r w:rsidRPr="00E146CA">
          <w:rPr>
            <w:rStyle w:val="Lienhypertexte"/>
            <w:rFonts w:ascii="Calibri" w:eastAsia="Calibri" w:hAnsi="Calibri" w:cs="Times New Roman"/>
            <w:b w:val="0"/>
            <w:sz w:val="22"/>
            <w:szCs w:val="21"/>
            <w:lang w:eastAsia="en-US"/>
          </w:rPr>
          <w:t>https://peps.sante.gouv.fr/doc_insp/proc_nat_val/pnv_liste.html</w:t>
        </w:r>
      </w:hyperlink>
    </w:p>
    <w:p w:rsidR="004A7D3C" w:rsidRDefault="004A7D3C" w:rsidP="00126647">
      <w:pPr>
        <w:pStyle w:val="PEPS"/>
        <w:rPr>
          <w:rFonts w:ascii="Calibri" w:eastAsia="Calibri" w:hAnsi="Calibri" w:cs="Times New Roman"/>
          <w:b w:val="0"/>
          <w:color w:val="auto"/>
          <w:sz w:val="22"/>
          <w:szCs w:val="21"/>
          <w:lang w:eastAsia="en-US"/>
        </w:rPr>
      </w:pPr>
    </w:p>
    <w:p w:rsidR="004A7D3C" w:rsidRDefault="004A7D3C" w:rsidP="00126647">
      <w:pPr>
        <w:pStyle w:val="PEPS"/>
        <w:rPr>
          <w:rFonts w:ascii="Calibri" w:eastAsia="Calibri" w:hAnsi="Calibri" w:cs="Times New Roman"/>
          <w:b w:val="0"/>
          <w:color w:val="auto"/>
          <w:sz w:val="22"/>
          <w:szCs w:val="21"/>
          <w:lang w:eastAsia="en-US"/>
        </w:rPr>
      </w:pPr>
      <w:r w:rsidRPr="004A7D3C">
        <w:rPr>
          <w:rFonts w:ascii="Calibri" w:eastAsia="Calibri" w:hAnsi="Calibri" w:cs="Times New Roman"/>
          <w:b w:val="0"/>
          <w:color w:val="auto"/>
          <w:sz w:val="22"/>
          <w:szCs w:val="21"/>
          <w:lang w:eastAsia="en-US"/>
        </w:rPr>
        <w:lastRenderedPageBreak/>
        <w:t>Grille d'autoévaluation et de contrôle de la prise en charge médicamenteuse (PCEM) en EHPAD (v2, DGCS, 24/05/2022) et documents liés.</w:t>
      </w:r>
    </w:p>
    <w:p w:rsidR="004A7D3C" w:rsidRDefault="004A7D3C" w:rsidP="00126647">
      <w:pPr>
        <w:pStyle w:val="PEPS"/>
        <w:rPr>
          <w:rFonts w:ascii="Calibri" w:eastAsia="Calibri" w:hAnsi="Calibri" w:cs="Times New Roman"/>
          <w:b w:val="0"/>
          <w:color w:val="auto"/>
          <w:sz w:val="22"/>
          <w:szCs w:val="21"/>
          <w:lang w:eastAsia="en-US"/>
        </w:rPr>
      </w:pPr>
    </w:p>
    <w:p w:rsidR="004A7D3C" w:rsidRPr="00126647" w:rsidRDefault="004A7D3C" w:rsidP="00126647">
      <w:pPr>
        <w:pStyle w:val="PEPS"/>
        <w:rPr>
          <w:rFonts w:ascii="Calibri" w:eastAsia="Calibri" w:hAnsi="Calibri" w:cs="Times New Roman"/>
          <w:b w:val="0"/>
          <w:color w:val="auto"/>
          <w:sz w:val="22"/>
          <w:szCs w:val="21"/>
          <w:lang w:eastAsia="en-US"/>
        </w:rPr>
      </w:pPr>
    </w:p>
    <w:p w:rsidR="00100315" w:rsidRPr="00126647" w:rsidRDefault="00100315" w:rsidP="00126647">
      <w:pPr>
        <w:pStyle w:val="PEPS"/>
        <w:rPr>
          <w:rFonts w:ascii="Calibri" w:eastAsia="Calibri" w:hAnsi="Calibri" w:cs="Times New Roman"/>
          <w:b w:val="0"/>
          <w:color w:val="auto"/>
          <w:sz w:val="22"/>
          <w:szCs w:val="21"/>
          <w:lang w:eastAsia="en-US"/>
        </w:rPr>
      </w:pPr>
    </w:p>
    <w:p w:rsidR="00930CE0" w:rsidRDefault="00930CE0" w:rsidP="00672CE5">
      <w:pPr>
        <w:pStyle w:val="PEPS"/>
      </w:pPr>
      <w:r>
        <w:t>Actualité réglementaire</w:t>
      </w:r>
      <w:r w:rsidRPr="00947196">
        <w:t> :</w:t>
      </w:r>
    </w:p>
    <w:p w:rsidR="00100315" w:rsidRDefault="004A7D3C" w:rsidP="00672CE5">
      <w:pPr>
        <w:pStyle w:val="PEPS"/>
        <w:rPr>
          <w:rFonts w:ascii="Calibri" w:eastAsia="Calibri" w:hAnsi="Calibri" w:cs="Times New Roman"/>
          <w:b w:val="0"/>
          <w:color w:val="auto"/>
          <w:sz w:val="22"/>
          <w:szCs w:val="21"/>
          <w:lang w:eastAsia="en-US"/>
        </w:rPr>
      </w:pPr>
      <w:hyperlink r:id="rId15" w:history="1">
        <w:r w:rsidRPr="00E146CA">
          <w:rPr>
            <w:rStyle w:val="Lienhypertexte"/>
            <w:rFonts w:ascii="Calibri" w:eastAsia="Calibri" w:hAnsi="Calibri" w:cs="Times New Roman"/>
            <w:b w:val="0"/>
            <w:sz w:val="22"/>
            <w:szCs w:val="21"/>
            <w:lang w:eastAsia="en-US"/>
          </w:rPr>
          <w:t>https://peps.sante.gouv.fr/outils/docu/texto.xlsm</w:t>
        </w:r>
      </w:hyperlink>
    </w:p>
    <w:p w:rsidR="004A7D3C" w:rsidRDefault="004A7D3C" w:rsidP="00672CE5">
      <w:pPr>
        <w:pStyle w:val="PEPS"/>
        <w:rPr>
          <w:rFonts w:ascii="Calibri" w:eastAsia="Calibri" w:hAnsi="Calibri" w:cs="Times New Roman"/>
          <w:b w:val="0"/>
          <w:color w:val="auto"/>
          <w:sz w:val="22"/>
          <w:szCs w:val="21"/>
          <w:lang w:eastAsia="en-US"/>
        </w:rPr>
      </w:pPr>
    </w:p>
    <w:p w:rsidR="00426E07" w:rsidRPr="00426E07" w:rsidRDefault="00426E07" w:rsidP="00426E07">
      <w:pPr>
        <w:pStyle w:val="PEPS"/>
        <w:rPr>
          <w:rFonts w:ascii="Calibri" w:eastAsia="Calibri" w:hAnsi="Calibri" w:cs="Times New Roman"/>
          <w:b w:val="0"/>
          <w:color w:val="auto"/>
          <w:sz w:val="22"/>
          <w:szCs w:val="21"/>
          <w:lang w:eastAsia="en-US"/>
        </w:rPr>
      </w:pPr>
      <w:r w:rsidRPr="00426E07">
        <w:rPr>
          <w:rFonts w:ascii="Calibri" w:eastAsia="Calibri" w:hAnsi="Calibri" w:cs="Times New Roman"/>
          <w:b w:val="0"/>
          <w:color w:val="auto"/>
          <w:sz w:val="22"/>
          <w:szCs w:val="21"/>
          <w:lang w:eastAsia="en-US"/>
        </w:rPr>
        <w:t>Promulgation de la loi du 27 décembre 2023 visant à améliorer l’accès aux soins par l’engagement territorial des professionnels, (Ministère de la Santé et de la Prévention, 29/12/2023)</w:t>
      </w:r>
      <w:r>
        <w:rPr>
          <w:rFonts w:ascii="Calibri" w:eastAsia="Calibri" w:hAnsi="Calibri" w:cs="Times New Roman"/>
          <w:b w:val="0"/>
          <w:color w:val="auto"/>
          <w:sz w:val="22"/>
          <w:szCs w:val="21"/>
          <w:lang w:eastAsia="en-US"/>
        </w:rPr>
        <w:t>.</w:t>
      </w:r>
    </w:p>
    <w:p w:rsidR="00426E07" w:rsidRPr="00426E07" w:rsidRDefault="00426E07" w:rsidP="00426E07">
      <w:pPr>
        <w:pStyle w:val="PEPS"/>
        <w:rPr>
          <w:rFonts w:ascii="Calibri" w:eastAsia="Calibri" w:hAnsi="Calibri" w:cs="Times New Roman"/>
          <w:b w:val="0"/>
          <w:color w:val="auto"/>
          <w:sz w:val="22"/>
          <w:szCs w:val="21"/>
          <w:lang w:eastAsia="en-US"/>
        </w:rPr>
      </w:pPr>
      <w:r w:rsidRPr="00426E07">
        <w:rPr>
          <w:rFonts w:ascii="Calibri" w:eastAsia="Calibri" w:hAnsi="Calibri" w:cs="Times New Roman"/>
          <w:b w:val="0"/>
          <w:color w:val="auto"/>
          <w:sz w:val="22"/>
          <w:szCs w:val="21"/>
          <w:lang w:eastAsia="en-US"/>
        </w:rPr>
        <w:t>Le mercredi 27 décembre a été promulguée la loi visant à améliorer l’accès aux soins par l’engagement territorial des professionnels, à l’issue d’un cheminement parlementaire entamé en avril dernier, qui a permis d’enrichir la proposition initiale d’apports issus des différents groupes de l’Assemblée nationale comme du Sénat.</w:t>
      </w:r>
    </w:p>
    <w:p w:rsidR="00426E07" w:rsidRPr="00426E07" w:rsidRDefault="00426E07" w:rsidP="00426E07">
      <w:pPr>
        <w:pStyle w:val="PEPS"/>
        <w:rPr>
          <w:rFonts w:ascii="Calibri" w:eastAsia="Calibri" w:hAnsi="Calibri" w:cs="Times New Roman"/>
          <w:b w:val="0"/>
          <w:color w:val="auto"/>
          <w:sz w:val="22"/>
          <w:szCs w:val="21"/>
          <w:lang w:eastAsia="en-US"/>
        </w:rPr>
      </w:pPr>
      <w:r w:rsidRPr="00426E07">
        <w:rPr>
          <w:rFonts w:ascii="Calibri" w:eastAsia="Calibri" w:hAnsi="Calibri" w:cs="Times New Roman"/>
          <w:b w:val="0"/>
          <w:color w:val="auto"/>
          <w:sz w:val="22"/>
          <w:szCs w:val="21"/>
          <w:lang w:eastAsia="en-US"/>
        </w:rPr>
        <w:t>Cette nouvelle loi porte l’ambition d’accélérer le décloisonnement de notre système de santé, avec des solutions concrètes pour améliorer l’accès aux soins de nos concitoyens, et renforcer nos moyens de lutte contre les inégalités de santé, notamment territoriales.</w:t>
      </w:r>
    </w:p>
    <w:p w:rsidR="00426E07" w:rsidRPr="00426E07" w:rsidRDefault="00426E07" w:rsidP="00426E07">
      <w:pPr>
        <w:pStyle w:val="PEPS"/>
        <w:rPr>
          <w:rFonts w:ascii="Calibri" w:eastAsia="Calibri" w:hAnsi="Calibri" w:cs="Times New Roman"/>
          <w:b w:val="0"/>
          <w:color w:val="auto"/>
          <w:sz w:val="22"/>
          <w:szCs w:val="21"/>
          <w:lang w:eastAsia="en-US"/>
        </w:rPr>
      </w:pPr>
      <w:r w:rsidRPr="00426E07">
        <w:rPr>
          <w:rFonts w:ascii="Calibri" w:eastAsia="Calibri" w:hAnsi="Calibri" w:cs="Times New Roman"/>
          <w:b w:val="0"/>
          <w:color w:val="auto"/>
          <w:sz w:val="22"/>
          <w:szCs w:val="21"/>
          <w:lang w:eastAsia="en-US"/>
        </w:rPr>
        <w:t>Ce texte met en place un ensemble cohérent de mesures d’application immédiate, visant à toujours mieux coordonner l’organisation territoriale des soins et à mieux répartir les compétences et les responsabilités de chacun des acteurs, en fonction des besoins.</w:t>
      </w:r>
    </w:p>
    <w:p w:rsidR="00426E07" w:rsidRDefault="0022785A" w:rsidP="00426E07">
      <w:pPr>
        <w:pStyle w:val="PEPS"/>
        <w:rPr>
          <w:rFonts w:ascii="Calibri" w:eastAsia="Calibri" w:hAnsi="Calibri" w:cs="Times New Roman"/>
          <w:b w:val="0"/>
          <w:color w:val="auto"/>
          <w:sz w:val="22"/>
          <w:szCs w:val="21"/>
          <w:lang w:eastAsia="en-US"/>
        </w:rPr>
      </w:pPr>
      <w:hyperlink r:id="rId16" w:history="1">
        <w:r w:rsidR="00426E07" w:rsidRPr="00C81588">
          <w:rPr>
            <w:rStyle w:val="Lienhypertexte"/>
            <w:rFonts w:ascii="Calibri" w:eastAsia="Calibri" w:hAnsi="Calibri" w:cs="Times New Roman"/>
            <w:b w:val="0"/>
            <w:sz w:val="22"/>
            <w:szCs w:val="21"/>
            <w:lang w:eastAsia="en-US"/>
          </w:rPr>
          <w:t>https://sante.gouv.fr/actualites/presse/communiques-de-presse/article/promulgation-de-la-loi-du-27-decembre-2023-visant-a-ameliorer-l-acces-aux-soins</w:t>
        </w:r>
      </w:hyperlink>
    </w:p>
    <w:p w:rsidR="00426E07" w:rsidRPr="00426E07" w:rsidRDefault="00426E07" w:rsidP="00426E07">
      <w:pPr>
        <w:pStyle w:val="PEPS"/>
        <w:rPr>
          <w:rFonts w:ascii="Calibri" w:eastAsia="Calibri" w:hAnsi="Calibri" w:cs="Times New Roman"/>
          <w:b w:val="0"/>
          <w:color w:val="auto"/>
          <w:sz w:val="22"/>
          <w:szCs w:val="21"/>
          <w:lang w:eastAsia="en-US"/>
        </w:rPr>
      </w:pPr>
      <w:r w:rsidRPr="00426E07">
        <w:rPr>
          <w:rFonts w:ascii="Calibri" w:eastAsia="Calibri" w:hAnsi="Calibri" w:cs="Times New Roman"/>
          <w:b w:val="0"/>
          <w:color w:val="auto"/>
          <w:sz w:val="22"/>
          <w:szCs w:val="21"/>
          <w:lang w:eastAsia="en-US"/>
        </w:rPr>
        <w:t>Pour rappel : LOI n° 2023-1268 du 27 décembre 2023 visant à améliorer l'accès aux soins par l'engagement territorial des professionnels (</w:t>
      </w:r>
      <w:proofErr w:type="spellStart"/>
      <w:r w:rsidRPr="00426E07">
        <w:rPr>
          <w:rFonts w:ascii="Calibri" w:eastAsia="Calibri" w:hAnsi="Calibri" w:cs="Times New Roman"/>
          <w:b w:val="0"/>
          <w:color w:val="auto"/>
          <w:sz w:val="22"/>
          <w:szCs w:val="21"/>
          <w:lang w:eastAsia="en-US"/>
        </w:rPr>
        <w:t>NdlR</w:t>
      </w:r>
      <w:proofErr w:type="spellEnd"/>
      <w:r w:rsidRPr="00426E07">
        <w:rPr>
          <w:rFonts w:ascii="Calibri" w:eastAsia="Calibri" w:hAnsi="Calibri" w:cs="Times New Roman"/>
          <w:b w:val="0"/>
          <w:color w:val="auto"/>
          <w:sz w:val="22"/>
          <w:szCs w:val="21"/>
          <w:lang w:eastAsia="en-US"/>
        </w:rPr>
        <w:t xml:space="preserve"> : alias loi </w:t>
      </w:r>
      <w:proofErr w:type="spellStart"/>
      <w:r w:rsidRPr="00426E07">
        <w:rPr>
          <w:rFonts w:ascii="Calibri" w:eastAsia="Calibri" w:hAnsi="Calibri" w:cs="Times New Roman"/>
          <w:b w:val="0"/>
          <w:color w:val="auto"/>
          <w:sz w:val="22"/>
          <w:szCs w:val="21"/>
          <w:lang w:eastAsia="en-US"/>
        </w:rPr>
        <w:t>Valletoux</w:t>
      </w:r>
      <w:proofErr w:type="spellEnd"/>
      <w:r w:rsidRPr="00426E07">
        <w:rPr>
          <w:rFonts w:ascii="Calibri" w:eastAsia="Calibri" w:hAnsi="Calibri" w:cs="Times New Roman"/>
          <w:b w:val="0"/>
          <w:color w:val="auto"/>
          <w:sz w:val="22"/>
          <w:szCs w:val="21"/>
          <w:lang w:eastAsia="en-US"/>
        </w:rPr>
        <w:t>)</w:t>
      </w:r>
    </w:p>
    <w:p w:rsidR="00261A96" w:rsidRDefault="0022785A" w:rsidP="00426E07">
      <w:pPr>
        <w:pStyle w:val="PEPS"/>
        <w:rPr>
          <w:rFonts w:ascii="Calibri" w:eastAsia="Calibri" w:hAnsi="Calibri" w:cs="Times New Roman"/>
          <w:b w:val="0"/>
          <w:color w:val="auto"/>
          <w:sz w:val="22"/>
          <w:szCs w:val="21"/>
          <w:lang w:eastAsia="en-US"/>
        </w:rPr>
      </w:pPr>
      <w:hyperlink r:id="rId17" w:history="1">
        <w:r w:rsidR="00426E07" w:rsidRPr="00C81588">
          <w:rPr>
            <w:rStyle w:val="Lienhypertexte"/>
            <w:rFonts w:ascii="Calibri" w:eastAsia="Calibri" w:hAnsi="Calibri" w:cs="Times New Roman"/>
            <w:b w:val="0"/>
            <w:sz w:val="22"/>
            <w:szCs w:val="21"/>
            <w:lang w:eastAsia="en-US"/>
          </w:rPr>
          <w:t>https://www.legifrance.gouv.fr/jorf/id/JORFTEXT000048678304</w:t>
        </w:r>
      </w:hyperlink>
    </w:p>
    <w:p w:rsidR="00426E07" w:rsidRPr="00126647" w:rsidRDefault="00426E07" w:rsidP="00426E07">
      <w:pPr>
        <w:pStyle w:val="PEPS"/>
        <w:rPr>
          <w:rFonts w:ascii="Calibri" w:eastAsia="Calibri" w:hAnsi="Calibri" w:cs="Times New Roman"/>
          <w:b w:val="0"/>
          <w:color w:val="auto"/>
          <w:sz w:val="22"/>
          <w:szCs w:val="21"/>
          <w:lang w:eastAsia="en-US"/>
        </w:rPr>
      </w:pPr>
    </w:p>
    <w:p w:rsidR="007271FD" w:rsidRDefault="007271FD" w:rsidP="007A0120">
      <w:pPr>
        <w:pStyle w:val="Textebrut"/>
      </w:pPr>
      <w:r w:rsidRPr="007271FD">
        <w:t>Décision du 11 juillet 2023 de l'Union nationale des caisses d'assurance maladie relative à la liste des actes et prestations pris en charge par l'assurance maladie</w:t>
      </w:r>
    </w:p>
    <w:p w:rsidR="007271FD" w:rsidRDefault="007271FD" w:rsidP="007A0120">
      <w:pPr>
        <w:pStyle w:val="Textebrut"/>
      </w:pPr>
      <w:hyperlink r:id="rId18" w:history="1">
        <w:r w:rsidRPr="00E146CA">
          <w:rPr>
            <w:rStyle w:val="Lienhypertexte"/>
          </w:rPr>
          <w:t>https://www.legifrance.gouv.fr/jorf/id/JORFTEXT000047888180</w:t>
        </w:r>
      </w:hyperlink>
    </w:p>
    <w:p w:rsidR="007271FD" w:rsidRDefault="007271FD" w:rsidP="007A0120">
      <w:pPr>
        <w:pStyle w:val="Textebrut"/>
      </w:pPr>
    </w:p>
    <w:p w:rsidR="007A0120" w:rsidRDefault="007A0120" w:rsidP="007A0120">
      <w:pPr>
        <w:pStyle w:val="Textebrut"/>
      </w:pPr>
      <w:r>
        <w:t xml:space="preserve">Arrêté du 18 décembre 2023 modifiant la nature des épreuves écrites et orales pour les concours gérés par les ministères sociaux (supprime les épreuves écrites pour le concours de </w:t>
      </w:r>
      <w:proofErr w:type="spellStart"/>
      <w:r>
        <w:t>PhISP</w:t>
      </w:r>
      <w:proofErr w:type="spellEnd"/>
      <w:r>
        <w:t>, remplacées par l’évaluation par le jury d’un dossier d’admissibilité établi par le candidat et finalement d’un entretien d’admission avec le jury)</w:t>
      </w:r>
    </w:p>
    <w:p w:rsidR="007A0120" w:rsidRDefault="0022785A" w:rsidP="007A0120">
      <w:pPr>
        <w:pStyle w:val="Textebrut"/>
      </w:pPr>
      <w:hyperlink r:id="rId19" w:history="1">
        <w:r w:rsidR="007A0120" w:rsidRPr="00B21BFD">
          <w:rPr>
            <w:rStyle w:val="Lienhypertexte"/>
          </w:rPr>
          <w:t>https://www.legifrance.gouv.fr/jorf/id/JORFTEXT000048708625</w:t>
        </w:r>
      </w:hyperlink>
    </w:p>
    <w:p w:rsidR="007A0120" w:rsidRDefault="007A0120" w:rsidP="007A0120">
      <w:pPr>
        <w:pStyle w:val="Textebrut"/>
      </w:pPr>
    </w:p>
    <w:p w:rsidR="00261A96" w:rsidRDefault="00261A96" w:rsidP="007A0120">
      <w:pPr>
        <w:pStyle w:val="Textebrut"/>
      </w:pPr>
      <w:r w:rsidRPr="00261A96">
        <w:t xml:space="preserve">Décision </w:t>
      </w:r>
      <w:r>
        <w:t xml:space="preserve">ANSM </w:t>
      </w:r>
      <w:r w:rsidRPr="00261A96">
        <w:t>du 21/12/2023 - Additif n°121 à la Pharmacopée</w:t>
      </w:r>
    </w:p>
    <w:p w:rsidR="00261A96" w:rsidRDefault="0022785A" w:rsidP="00FA4972">
      <w:pPr>
        <w:pStyle w:val="Textebrut"/>
      </w:pPr>
      <w:hyperlink r:id="rId20" w:history="1">
        <w:r w:rsidR="00261A96" w:rsidRPr="00C81588">
          <w:rPr>
            <w:rStyle w:val="Lienhypertexte"/>
          </w:rPr>
          <w:t>https://ansm.sante.fr/actualites/decision-du-21-12-2023-additif-ndeg121-a-la-pharmacopee</w:t>
        </w:r>
      </w:hyperlink>
    </w:p>
    <w:p w:rsidR="00261A96" w:rsidRDefault="00261A96" w:rsidP="00FA4972">
      <w:pPr>
        <w:pStyle w:val="Textebrut"/>
      </w:pPr>
    </w:p>
    <w:p w:rsidR="00FA4972" w:rsidRDefault="00261A96" w:rsidP="00FA4972">
      <w:pPr>
        <w:pStyle w:val="Textebrut"/>
      </w:pPr>
      <w:r w:rsidRPr="00261A96">
        <w:t>Arrêté du 11 décembre 2023 fixant les modalités de dépôt et la liste des informations contenues dans la déclaration d'établissement de fabrication ou de conditionnement de produits de tatouage prévue à l'article L. 513-10-2 du code de la santé publique</w:t>
      </w:r>
    </w:p>
    <w:p w:rsidR="00A30FAA" w:rsidRDefault="0022785A" w:rsidP="00FA4972">
      <w:pPr>
        <w:pStyle w:val="Textebrut"/>
      </w:pPr>
      <w:hyperlink r:id="rId21" w:history="1">
        <w:r w:rsidR="00A30FAA" w:rsidRPr="00C81588">
          <w:rPr>
            <w:rStyle w:val="Lienhypertexte"/>
          </w:rPr>
          <w:t>https://www.legifrance.gouv.fr/jorf/id/JORFTEXT000048727926</w:t>
        </w:r>
      </w:hyperlink>
    </w:p>
    <w:p w:rsidR="00A30FAA" w:rsidRDefault="00A30FAA" w:rsidP="00FA4972">
      <w:pPr>
        <w:pStyle w:val="Textebrut"/>
      </w:pPr>
    </w:p>
    <w:p w:rsidR="00A30FAA" w:rsidRDefault="00A30FAA" w:rsidP="00FA4972">
      <w:pPr>
        <w:pStyle w:val="Textebrut"/>
      </w:pPr>
      <w:r w:rsidRPr="00A30FAA">
        <w:t>Décret n° 2023-1334 du 29 décembre 2023 portant publication de l'amendement à l'annexe I de la convention internationale contre le dopage dans le sport, adopté à Paris le 15 novembre 2023</w:t>
      </w:r>
      <w:r>
        <w:t>.</w:t>
      </w:r>
    </w:p>
    <w:p w:rsidR="00A30FAA" w:rsidRDefault="0022785A" w:rsidP="00FA4972">
      <w:pPr>
        <w:pStyle w:val="Textebrut"/>
      </w:pPr>
      <w:hyperlink r:id="rId22" w:history="1">
        <w:r w:rsidR="00A30FAA" w:rsidRPr="00C81588">
          <w:rPr>
            <w:rStyle w:val="Lienhypertexte"/>
          </w:rPr>
          <w:t>https://www.legifrance.gouv.fr/jorf/id/JORFTEXT000048728375</w:t>
        </w:r>
      </w:hyperlink>
    </w:p>
    <w:p w:rsidR="00A30FAA" w:rsidRDefault="00A30FAA" w:rsidP="00FA4972">
      <w:pPr>
        <w:pStyle w:val="Textebrut"/>
      </w:pPr>
    </w:p>
    <w:p w:rsidR="00A30FAA" w:rsidRDefault="00A30FAA" w:rsidP="00FA4972">
      <w:pPr>
        <w:pStyle w:val="Textebrut"/>
      </w:pPr>
      <w:r w:rsidRPr="00A30FAA">
        <w:t xml:space="preserve">Arrêté du 28 décembre 2023 modifiant l'arrêté du 19 mai 2021 limitant l'utilisation de médicaments de thérapie innovante à base de lymphocytes T génétiquement modifiés dits CAR-T </w:t>
      </w:r>
      <w:proofErr w:type="spellStart"/>
      <w:r w:rsidRPr="00A30FAA">
        <w:t>Cells</w:t>
      </w:r>
      <w:proofErr w:type="spellEnd"/>
      <w:r w:rsidRPr="00A30FAA">
        <w:t xml:space="preserve"> autologues à certains établissements de santé en application des dispositions de l'article L. 1151-1 du code de la santé publique</w:t>
      </w:r>
      <w:r>
        <w:t xml:space="preserve"> (prolongation de 6 mois de l’arrêté initial au 30/06/2024)</w:t>
      </w:r>
    </w:p>
    <w:p w:rsidR="00A30FAA" w:rsidRDefault="0022785A" w:rsidP="00FA4972">
      <w:pPr>
        <w:pStyle w:val="Textebrut"/>
      </w:pPr>
      <w:hyperlink r:id="rId23" w:history="1">
        <w:r w:rsidR="00A30FAA" w:rsidRPr="00C81588">
          <w:rPr>
            <w:rStyle w:val="Lienhypertexte"/>
          </w:rPr>
          <w:t>https://www.legifrance.gouv.fr/jorf/id/JORFTEXT000048730728</w:t>
        </w:r>
      </w:hyperlink>
    </w:p>
    <w:p w:rsidR="00A30FAA" w:rsidRDefault="00A30FAA" w:rsidP="00FA4972">
      <w:pPr>
        <w:pStyle w:val="Textebrut"/>
      </w:pPr>
    </w:p>
    <w:p w:rsidR="00FB6AEB" w:rsidRDefault="00FB6AEB" w:rsidP="00FB6AEB">
      <w:pPr>
        <w:pStyle w:val="Textebrut"/>
      </w:pPr>
      <w:r>
        <w:lastRenderedPageBreak/>
        <w:t>Arrêté du 26/12/2023 portant labellisation des réseaux des centres de référence prenant en charge les maladies rares (BO 2023/24 du 29/12/2023)</w:t>
      </w:r>
    </w:p>
    <w:p w:rsidR="00FB6AEB" w:rsidRDefault="0022785A" w:rsidP="00FB6AEB">
      <w:pPr>
        <w:pStyle w:val="Textebrut"/>
      </w:pPr>
      <w:hyperlink r:id="rId24" w:anchor="[{&quot;num&quot;:664,&quot;gen&quot;:0},{&quot;name&quot;:&quot;FitH&quot;}842]" w:history="1">
        <w:r w:rsidR="00FB6AEB" w:rsidRPr="00FB6AEB">
          <w:rPr>
            <w:rStyle w:val="Lienhypertexte"/>
          </w:rPr>
          <w:t>https://sante.gouv.fr/fichiers/bo/2023/2023.24.sante.pdf#[{"num":664,"gen":0},{"name":"FitH"}842]</w:t>
        </w:r>
      </w:hyperlink>
    </w:p>
    <w:p w:rsidR="00FB6AEB" w:rsidRDefault="00FB6AEB" w:rsidP="00FB6AEB">
      <w:pPr>
        <w:pStyle w:val="Textebrut"/>
      </w:pPr>
    </w:p>
    <w:p w:rsidR="00A30FAA" w:rsidRDefault="00A30FAA" w:rsidP="00FA4972">
      <w:pPr>
        <w:pStyle w:val="Textebrut"/>
      </w:pPr>
      <w:r w:rsidRPr="00A30FAA">
        <w:t>Arrêté du 28 décembre 2023 relatif à l'efficience et la pertinence de la prescription hospitalière de médicaments biologiques délivrés en ville</w:t>
      </w:r>
    </w:p>
    <w:p w:rsidR="00A30FAA" w:rsidRDefault="0022785A" w:rsidP="00FA4972">
      <w:pPr>
        <w:pStyle w:val="Textebrut"/>
      </w:pPr>
      <w:hyperlink r:id="rId25" w:history="1">
        <w:r w:rsidR="00A30FAA" w:rsidRPr="00C81588">
          <w:rPr>
            <w:rStyle w:val="Lienhypertexte"/>
          </w:rPr>
          <w:t>https://www.legifrance.gouv.fr/jorf/id/JORFTEXT000048730735</w:t>
        </w:r>
      </w:hyperlink>
    </w:p>
    <w:p w:rsidR="00A30FAA" w:rsidRDefault="00A30FAA" w:rsidP="00FA4972">
      <w:pPr>
        <w:pStyle w:val="Textebrut"/>
      </w:pPr>
    </w:p>
    <w:p w:rsidR="00A30FAA" w:rsidRDefault="00A30FAA" w:rsidP="00FA4972">
      <w:pPr>
        <w:pStyle w:val="Textebrut"/>
      </w:pPr>
      <w:r w:rsidRPr="00A30FAA">
        <w:t>Décret n° 2023-1371 du 28 décembre 2023 modifiant les conditions de prise en charge et de distribution de certains médicaments nécessaires à la réalisation d'examens d'imagerie médicale</w:t>
      </w:r>
      <w:r>
        <w:t>.</w:t>
      </w:r>
    </w:p>
    <w:p w:rsidR="00A30FAA" w:rsidRDefault="00A30FAA" w:rsidP="00FA4972">
      <w:pPr>
        <w:pStyle w:val="Textebrut"/>
      </w:pPr>
      <w:r>
        <w:t xml:space="preserve">Notice : </w:t>
      </w:r>
      <w:r w:rsidRPr="00A30FAA">
        <w:t>le décret introduit un critère spécifique de refus d'inscription et de radiation de la liste des spécialités remboursables aux assurés sociaux pour certains médicaments nécessaires à la réalisation d'examen d'imagerie médicale (« produits de contraste ») fournis dans le cadre de l'acte réalisé par un professionnel de santé et dont le financement est couvert par un forfait technique ou un supplément relatif à l'imagerie médicale. Le texte précise par ailleurs que l'acte de radiation de ces produits ne nécessite pas d'avis de la commission de la transparence de la Haute Autorité de santé mais peut faire l'objet d'une procédure contradictoire préalable auprès des ministres compétents. Il crée, enfin, un circuit dérogatoire au monopole pharmaceutique pour la fourniture des produits de contraste nécessaires à la réalisation de ces examens d'imagerie médicale</w:t>
      </w:r>
    </w:p>
    <w:p w:rsidR="00A30FAA" w:rsidRDefault="0022785A" w:rsidP="00FA4972">
      <w:pPr>
        <w:pStyle w:val="Textebrut"/>
      </w:pPr>
      <w:hyperlink r:id="rId26" w:history="1">
        <w:r w:rsidR="00A30FAA" w:rsidRPr="00C81588">
          <w:rPr>
            <w:rStyle w:val="Lienhypertexte"/>
          </w:rPr>
          <w:t>https://www.legifrance.gouv.fr/jorf/id/JORFTEXT000048730152</w:t>
        </w:r>
      </w:hyperlink>
    </w:p>
    <w:p w:rsidR="00A30FAA" w:rsidRDefault="00A30FAA" w:rsidP="00FA4972">
      <w:pPr>
        <w:pStyle w:val="Textebrut"/>
      </w:pPr>
    </w:p>
    <w:p w:rsidR="00A30FAA" w:rsidRDefault="0087793A" w:rsidP="00FA4972">
      <w:pPr>
        <w:pStyle w:val="Textebrut"/>
      </w:pPr>
      <w:r w:rsidRPr="0087793A">
        <w:t>Décret n° 2023-1401 du 30 décembre 2023 relatif aux modalités d'information des personnes concernées par l'examen de leurs caractéristiques génétiques réalisé à des fins de recherche scientifique prévu à l'article L. 1130-5 du code de la santé publique</w:t>
      </w:r>
      <w:r>
        <w:t>.</w:t>
      </w:r>
    </w:p>
    <w:p w:rsidR="0087793A" w:rsidRDefault="0087793A" w:rsidP="00FA4972">
      <w:pPr>
        <w:pStyle w:val="Textebrut"/>
      </w:pPr>
      <w:r w:rsidRPr="0087793A">
        <w:t>Notice : le décret précise les modalités d'information des personnes sur l'utilisation d'échantillons à des fins de recherche nécessitant l'étude des caractéristiques génétiques, ainsi que celles leur permettant, le cas échéant, d'exprimer leur opposition</w:t>
      </w:r>
    </w:p>
    <w:p w:rsidR="0087793A" w:rsidRDefault="0022785A" w:rsidP="00FA4972">
      <w:pPr>
        <w:pStyle w:val="Textebrut"/>
      </w:pPr>
      <w:hyperlink r:id="rId27" w:history="1">
        <w:r w:rsidR="0087793A" w:rsidRPr="00C81588">
          <w:rPr>
            <w:rStyle w:val="Lienhypertexte"/>
          </w:rPr>
          <w:t>https://www.legifrance.gouv.fr/jorf/id/JORFTEXT000048736185</w:t>
        </w:r>
      </w:hyperlink>
    </w:p>
    <w:p w:rsidR="0087793A" w:rsidRDefault="0087793A" w:rsidP="00FA4972">
      <w:pPr>
        <w:pStyle w:val="Textebrut"/>
      </w:pPr>
    </w:p>
    <w:p w:rsidR="0087793A" w:rsidRDefault="0087793A" w:rsidP="00FA4972">
      <w:pPr>
        <w:pStyle w:val="Textebrut"/>
      </w:pPr>
      <w:r w:rsidRPr="0087793A">
        <w:t>Décret n° 2023-1426 du 30 décembre 2023 relatif à l'examen des caractéristiques génétiques d'une personne</w:t>
      </w:r>
      <w:r>
        <w:t>.</w:t>
      </w:r>
    </w:p>
    <w:p w:rsidR="0087793A" w:rsidRDefault="0087793A" w:rsidP="00FA4972">
      <w:pPr>
        <w:pStyle w:val="Textebrut"/>
      </w:pPr>
      <w:r w:rsidRPr="0087793A">
        <w:t>Notice : le décret coordonne la prise en charge d'une personne pour l'examen de ses caractéristiques génétiques somatiques et sa prise en charge pour l'examen de ses caractéristiques génétiques constitutionnelles. Il prévoit également la coordination entre examen des caractéristiques génétiques à des fins de recherche scientifique et prise en charge médicale. Il fixe la liste des personnes asymptomatiques chez lesquelles peut être réalisé un examen des caractéristiques génétiques et complète l'information préalable à la réalisation d'un tel examen. Il détermine les conditions de réalisation de cet examen chez une personne hors d'état d'exprimer sa volonté ou décédée dans l'intérêt des membres de sa famille. Il actualise les dispositions relatives à la mise en œuvre de l'information de la parentèle en cas de diagnostic d'une anomalie génétique et précise le contenu des règles de bonnes pratiques applicables à la réalisation d'un examen des caractéristiques génétiques d'une personne. Il adapte, enfin, l'ensemble de ces dispositions au contexte particulier du dépistage néonatal</w:t>
      </w:r>
    </w:p>
    <w:p w:rsidR="0087793A" w:rsidRDefault="0022785A" w:rsidP="00FA4972">
      <w:pPr>
        <w:pStyle w:val="Textebrut"/>
      </w:pPr>
      <w:hyperlink r:id="rId28" w:history="1">
        <w:r w:rsidR="0087793A" w:rsidRPr="00C81588">
          <w:rPr>
            <w:rStyle w:val="Lienhypertexte"/>
          </w:rPr>
          <w:t>https://www.legifrance.gouv.fr/jorf/id/JORFTEXT000048737387</w:t>
        </w:r>
      </w:hyperlink>
    </w:p>
    <w:p w:rsidR="0087793A" w:rsidRDefault="0087793A" w:rsidP="00FA4972">
      <w:pPr>
        <w:pStyle w:val="Textebrut"/>
      </w:pPr>
    </w:p>
    <w:p w:rsidR="00681E1D" w:rsidRDefault="00681E1D" w:rsidP="00FA4972">
      <w:pPr>
        <w:pStyle w:val="Textebrut"/>
      </w:pPr>
      <w:r w:rsidRPr="00681E1D">
        <w:t>Décret n° 2024-1 du 2 janvier 2024 relatif aux modalités d'identification des denrées alimentaires destinées à des fins médicales spéciales pouvant présenter un risque grave pour la santé humaine en cas de mésusage</w:t>
      </w:r>
      <w:r>
        <w:t>.</w:t>
      </w:r>
    </w:p>
    <w:p w:rsidR="00681E1D" w:rsidRDefault="00681E1D" w:rsidP="00FA4972">
      <w:pPr>
        <w:pStyle w:val="Textebrut"/>
      </w:pPr>
      <w:r w:rsidRPr="00681E1D">
        <w:t>Notice : le décret précise les modalités d'identification des denrées alimentaires destinées à des fins médicales spéciales pouvant présenter un risque grave pour la santé humaine en cas de mésusage</w:t>
      </w:r>
    </w:p>
    <w:p w:rsidR="00681E1D" w:rsidRDefault="0022785A" w:rsidP="00FA4972">
      <w:pPr>
        <w:pStyle w:val="Textebrut"/>
      </w:pPr>
      <w:hyperlink r:id="rId29" w:history="1">
        <w:r w:rsidR="00681E1D" w:rsidRPr="00C81588">
          <w:rPr>
            <w:rStyle w:val="Lienhypertexte"/>
          </w:rPr>
          <w:t>https://www.legifrance.gouv.fr/jorf/id/JORFTEXT000048798027</w:t>
        </w:r>
      </w:hyperlink>
    </w:p>
    <w:p w:rsidR="00681E1D" w:rsidRDefault="00681E1D" w:rsidP="00FA4972">
      <w:pPr>
        <w:pStyle w:val="Textebrut"/>
      </w:pPr>
    </w:p>
    <w:p w:rsidR="0080427D" w:rsidRDefault="0080427D" w:rsidP="0080427D">
      <w:pPr>
        <w:pStyle w:val="Textebrut"/>
      </w:pPr>
      <w:r>
        <w:t>Arrêté du 18 décembre 2023 fixant la liste des personnes autorisées à exercer en France la profession de pharmacien en application des dispositions de l'article L. 4221-14-2 du code de la santé publique</w:t>
      </w:r>
    </w:p>
    <w:p w:rsidR="0087793A" w:rsidRDefault="0022785A" w:rsidP="0080427D">
      <w:pPr>
        <w:pStyle w:val="Textebrut"/>
      </w:pPr>
      <w:hyperlink r:id="rId30" w:history="1">
        <w:r w:rsidR="0080427D" w:rsidRPr="004C51D1">
          <w:rPr>
            <w:rStyle w:val="Lienhypertexte"/>
          </w:rPr>
          <w:t>https://www.legifrance.gouv.fr/jorf/id/JORFTEXT000048815592</w:t>
        </w:r>
      </w:hyperlink>
    </w:p>
    <w:p w:rsidR="0080427D" w:rsidRDefault="0080427D" w:rsidP="0080427D">
      <w:pPr>
        <w:pStyle w:val="Textebrut"/>
      </w:pPr>
    </w:p>
    <w:p w:rsidR="00BE5CEC" w:rsidRDefault="00BE5CEC" w:rsidP="00BE5CEC">
      <w:pPr>
        <w:pStyle w:val="Textebrut"/>
      </w:pPr>
      <w:r>
        <w:lastRenderedPageBreak/>
        <w:t>Décision ANSM du 29/12/2023 portant modification de la liste de référence des groupes biologiques similaires mentionnée à l’article R. 5121-9-1 du code de la santé publique (</w:t>
      </w:r>
      <w:proofErr w:type="spellStart"/>
      <w:r>
        <w:t>Lucentis</w:t>
      </w:r>
      <w:proofErr w:type="spellEnd"/>
      <w:r>
        <w:t xml:space="preserve">®, </w:t>
      </w:r>
      <w:proofErr w:type="spellStart"/>
      <w:r>
        <w:t>Roactemra</w:t>
      </w:r>
      <w:proofErr w:type="spellEnd"/>
      <w:r>
        <w:t xml:space="preserve">®, </w:t>
      </w:r>
      <w:proofErr w:type="spellStart"/>
      <w:r>
        <w:t>Tysabri</w:t>
      </w:r>
      <w:proofErr w:type="spellEnd"/>
      <w:r>
        <w:t xml:space="preserve">®, </w:t>
      </w:r>
      <w:proofErr w:type="spellStart"/>
      <w:r>
        <w:t>Eylea</w:t>
      </w:r>
      <w:proofErr w:type="spellEnd"/>
      <w:r>
        <w:t>®)</w:t>
      </w:r>
    </w:p>
    <w:p w:rsidR="00BE5CEC" w:rsidRDefault="0022785A" w:rsidP="00BE5CEC">
      <w:pPr>
        <w:pStyle w:val="Textebrut"/>
      </w:pPr>
      <w:hyperlink r:id="rId31" w:history="1">
        <w:r w:rsidR="00BE5CEC" w:rsidRPr="004C51D1">
          <w:rPr>
            <w:rStyle w:val="Lienhypertexte"/>
          </w:rPr>
          <w:t>https://ansm.sante.fr/actualites/decision-du-29-12-2023-portant-modification-de-la-liste-de-reference-des-groupes-biologiques-similaires-mentionnee-a-larticle-r-5121-9-1-du-code-de-la-sante-publique</w:t>
        </w:r>
      </w:hyperlink>
    </w:p>
    <w:p w:rsidR="00BE5CEC" w:rsidRDefault="00BE5CEC" w:rsidP="00BE5CEC">
      <w:pPr>
        <w:pStyle w:val="Textebrut"/>
      </w:pPr>
    </w:p>
    <w:p w:rsidR="003A4932" w:rsidRDefault="003A4932" w:rsidP="003A4932">
      <w:pPr>
        <w:pStyle w:val="Textebrut"/>
      </w:pPr>
      <w:r>
        <w:t>Décret n° 2024-8 du 3 janvier 2024 relatif à la préparation et à la réponse du système de santé pour faire face aux situations sanitaires exceptionnelles</w:t>
      </w:r>
    </w:p>
    <w:p w:rsidR="003A4932" w:rsidRDefault="003A4932" w:rsidP="003A4932">
      <w:pPr>
        <w:pStyle w:val="Textebrut"/>
      </w:pPr>
      <w:r>
        <w:t>Notice : le décret modifie et précise les objectifs du dispositif ORSAN (Organisation de la réponse du système de santé en situations sanitaires exceptionnelles) et ses modalités de déclenchement, ainsi que son articulation avec le plan zonal de mobilisation. Il prévoit les modalités de désignation des établissements de santé exerçant des missions de référence dont il précise le rôle, organise les conditions de la mobilisation des établissements et services médico-sociaux et des professionnels de santé dans les situations d'urgence et décrit les modalités d'élaboration ainsi que le contenu des plans détaillant les mesures à mettre en œuvre en cas d'événement entraînant une perturbation de l'organisation des soins, notamment dans des situations sanitaires exceptionnelles. Il précise les modalités de mise en œuvre du traitement de données à caractère personnel permettant l'identification et le suivi des victimes de situations sanitaires exceptionnelles ou de tout événement de nature à impliquer de nombreuses victimes, notamment les accidents collectifs, afin d'assurer la gestion de l'événement et le suivi de ces victimes notamment pour leur prise en charge</w:t>
      </w:r>
    </w:p>
    <w:p w:rsidR="00BE5CEC" w:rsidRDefault="0022785A" w:rsidP="003A4932">
      <w:pPr>
        <w:pStyle w:val="Textebrut"/>
      </w:pPr>
      <w:hyperlink r:id="rId32" w:history="1">
        <w:r w:rsidR="003A4932" w:rsidRPr="00CA03BB">
          <w:rPr>
            <w:rStyle w:val="Lienhypertexte"/>
          </w:rPr>
          <w:t>https://www.legifrance.gouv.fr/jorf/id/JORFTEXT000048851655</w:t>
        </w:r>
      </w:hyperlink>
    </w:p>
    <w:p w:rsidR="003A4932" w:rsidRDefault="003A4932" w:rsidP="003A4932">
      <w:pPr>
        <w:pStyle w:val="Textebrut"/>
      </w:pPr>
    </w:p>
    <w:p w:rsidR="00DF0068" w:rsidRDefault="00DF0068" w:rsidP="00DF0068">
      <w:pPr>
        <w:pStyle w:val="Textebrut"/>
      </w:pPr>
      <w:r>
        <w:t>Arrêté du 18 décembre 2023 fixant la liste des personnes autorisées à exercer en France la profession de pharmacien en application des dispositions de l'article L. 4221-14-1 du code de la santé publique</w:t>
      </w:r>
    </w:p>
    <w:p w:rsidR="003A4932" w:rsidRDefault="0022785A" w:rsidP="00DF0068">
      <w:pPr>
        <w:pStyle w:val="Textebrut"/>
      </w:pPr>
      <w:hyperlink r:id="rId33" w:history="1">
        <w:r w:rsidR="00DF0068" w:rsidRPr="007124FA">
          <w:rPr>
            <w:rStyle w:val="Lienhypertexte"/>
          </w:rPr>
          <w:t>https://www.legifrance.gouv.fr/jorf/id/JORFTEXT000048865832</w:t>
        </w:r>
      </w:hyperlink>
    </w:p>
    <w:p w:rsidR="00DF0068" w:rsidRDefault="00DF0068" w:rsidP="00DF0068">
      <w:pPr>
        <w:pStyle w:val="Textebrut"/>
      </w:pPr>
    </w:p>
    <w:p w:rsidR="00DF0068" w:rsidRDefault="00DF0068" w:rsidP="00DF0068">
      <w:pPr>
        <w:pStyle w:val="Textebrut"/>
      </w:pPr>
      <w:r>
        <w:t>Arrêté du 4 janvier 2024 fixant la liste des médicaments et produits ou objets mentionnés à l'article L. 4211-1 du code de la santé publique ou des dispositifs médicaux stériles pouvant être délivrés par la pharmacie à usage intérieur de la Polyclinique olympique et paralympique</w:t>
      </w:r>
    </w:p>
    <w:p w:rsidR="00DF0068" w:rsidRDefault="0022785A" w:rsidP="00DF0068">
      <w:pPr>
        <w:pStyle w:val="Textebrut"/>
      </w:pPr>
      <w:hyperlink r:id="rId34" w:history="1">
        <w:r w:rsidR="00DF0068" w:rsidRPr="007124FA">
          <w:rPr>
            <w:rStyle w:val="Lienhypertexte"/>
          </w:rPr>
          <w:t>https://www.legifrance.gouv.fr/jorf/id/JORFTEXT000048866500</w:t>
        </w:r>
      </w:hyperlink>
    </w:p>
    <w:p w:rsidR="000908A0" w:rsidRDefault="000908A0" w:rsidP="000908A0">
      <w:pPr>
        <w:pStyle w:val="Textebrut"/>
      </w:pPr>
      <w:r>
        <w:t xml:space="preserve">La liste des médicaments </w:t>
      </w:r>
      <w:proofErr w:type="spellStart"/>
      <w:r>
        <w:t>délivrables</w:t>
      </w:r>
      <w:proofErr w:type="spellEnd"/>
      <w:r>
        <w:t xml:space="preserve"> par la PUI olympique fixée (Le Quotidien du pharmacien, 08/01/2024).</w:t>
      </w:r>
    </w:p>
    <w:p w:rsidR="000908A0" w:rsidRDefault="000908A0" w:rsidP="000908A0">
      <w:pPr>
        <w:pStyle w:val="Textebrut"/>
      </w:pPr>
      <w:r>
        <w:t>Afin de prendre en charge les membres des délégations olympiques et paralympiques, un centre de santé éphémère comprenant une pharmacie à usage intérieur (PUI) a été créé pour les Jeux Olympiques 2024. Le « Journal Officiel » a dévoilé la liste des médicaments et produits médicaux qui pourront y être délivrés</w:t>
      </w:r>
    </w:p>
    <w:p w:rsidR="00DF0068" w:rsidRDefault="0022785A" w:rsidP="000908A0">
      <w:pPr>
        <w:pStyle w:val="Textebrut"/>
      </w:pPr>
      <w:hyperlink r:id="rId35" w:history="1">
        <w:r w:rsidR="000908A0" w:rsidRPr="00047D98">
          <w:rPr>
            <w:rStyle w:val="Lienhypertexte"/>
          </w:rPr>
          <w:t>https://www.lequotidiendupharmacien.fr/la-liste-des-medicaments-delivrables-par-la-pui-olympique-fixee</w:t>
        </w:r>
      </w:hyperlink>
    </w:p>
    <w:p w:rsidR="000908A0" w:rsidRDefault="000908A0" w:rsidP="000908A0">
      <w:pPr>
        <w:pStyle w:val="Textebrut"/>
      </w:pPr>
    </w:p>
    <w:p w:rsidR="000151B1" w:rsidRDefault="000151B1" w:rsidP="000151B1">
      <w:pPr>
        <w:pStyle w:val="Textebrut"/>
      </w:pPr>
      <w:r>
        <w:t>Note d’information n° DGOS/PF5/2023/201 du 29 décembre 2023 relative au soutien financier des établissements de santé déclarés OSE (Opérateur de Services Essentiels) pour la mise en œuvre de leur plan d’action de réduction des risques numériques.</w:t>
      </w:r>
    </w:p>
    <w:p w:rsidR="000151B1" w:rsidRDefault="000151B1" w:rsidP="000151B1">
      <w:pPr>
        <w:pStyle w:val="Textebrut"/>
      </w:pPr>
      <w:r>
        <w:t>Résumé : L’objet de cette note d’information est de préciser les modalités d’un financement forfaitaire destiné à accompagner la mise en œuvre de plans d’action visant la réduction des risques numériques au sein des établissements de santé déclarés opérateurs de services essentiels (OSE) au sens de la directive européenne NIS (Network and Information System Security)</w:t>
      </w:r>
    </w:p>
    <w:p w:rsidR="00DF0068" w:rsidRDefault="0022785A" w:rsidP="000151B1">
      <w:pPr>
        <w:pStyle w:val="Textebrut"/>
      </w:pPr>
      <w:hyperlink r:id="rId36" w:history="1">
        <w:r w:rsidR="000151B1" w:rsidRPr="007124FA">
          <w:rPr>
            <w:rStyle w:val="Lienhypertexte"/>
          </w:rPr>
          <w:t>https://portail.tessadoc.social.gouv.fr/recherche/viewnotice/id/965356</w:t>
        </w:r>
      </w:hyperlink>
    </w:p>
    <w:p w:rsidR="000151B1" w:rsidRDefault="000151B1" w:rsidP="000151B1">
      <w:pPr>
        <w:pStyle w:val="Textebrut"/>
      </w:pPr>
    </w:p>
    <w:p w:rsidR="00DF4DC5" w:rsidRDefault="00DF4DC5" w:rsidP="00DF4DC5">
      <w:pPr>
        <w:pStyle w:val="Textebrut"/>
      </w:pPr>
      <w:r>
        <w:t xml:space="preserve">Arrêté du 5 janvier 2024 portant approbation de l'avenant n° 12 à la convention nationale organisant les rapports entre les directeurs de laboratoires privés d'analyses médicales et l'assurance maladie. </w:t>
      </w:r>
      <w:proofErr w:type="spellStart"/>
      <w:r>
        <w:t>NdlR</w:t>
      </w:r>
      <w:proofErr w:type="spellEnd"/>
      <w:r>
        <w:t xml:space="preserve"> : à noter que cet arrêté figure dans les textes du ministère de l’économie et non du ministère de la santé (même s’il est cosigné de la DGOS), ce qui en dit long sur les modalités d’élaboration des textes relatifs à l’assurance maladie (mais vous le saviez déjà).</w:t>
      </w:r>
    </w:p>
    <w:p w:rsidR="00DF4DC5" w:rsidRDefault="00DF4DC5" w:rsidP="00DF4DC5">
      <w:pPr>
        <w:pStyle w:val="Textebrut"/>
      </w:pPr>
      <w:r>
        <w:t xml:space="preserve">Les partenaires conventionnels s'engagent à ce que cet avenant soit associé à la mise en œuvre d'un ensemble d'actions de gestion du risque à fort rendement dès le début d'année 2024 afin d'assurer une baisse rapide des dépenses inutiles et une plus grande efficience de la dépense de biologie médicale. La commission de gestion du risque proposera de nouvelles actions de maîtrise médicalisée relatives aux dépenses de biologie qui pourraient </w:t>
      </w:r>
      <w:r>
        <w:lastRenderedPageBreak/>
        <w:t>être menées et sur de nouvelles thématiques à expertiser (en plus de la maîtrise médicalisée portant sur la vitamine D).</w:t>
      </w:r>
    </w:p>
    <w:p w:rsidR="00DF4DC5" w:rsidRDefault="00DF4DC5" w:rsidP="00DF4DC5">
      <w:pPr>
        <w:pStyle w:val="Textebrut"/>
      </w:pPr>
      <w:r>
        <w:t>Passage du B à 0,25€ (0,29 aux Antilles et 0,31 en Guyane et l’Océan indien).</w:t>
      </w:r>
    </w:p>
    <w:p w:rsidR="00DF4DC5" w:rsidRDefault="00DF4DC5" w:rsidP="00DF4DC5">
      <w:pPr>
        <w:pStyle w:val="Textebrut"/>
      </w:pPr>
      <w:r>
        <w:t xml:space="preserve">Insertion de la mission vaccination </w:t>
      </w:r>
      <w:r w:rsidRPr="00820A42">
        <w:rPr>
          <w:b/>
        </w:rPr>
        <w:t>par le biologiste médical</w:t>
      </w:r>
      <w:r>
        <w:t xml:space="preserve"> exerçant au sein d'un laboratoire de biologie qui peut, en application de l'article R. 6212-2 du code de la santé publique, vacciner sous certaines conditions au sein du laboratoire où il exerce (7,50€ sur prescription, 9,60€ sans prescription).</w:t>
      </w:r>
    </w:p>
    <w:p w:rsidR="000151B1" w:rsidRDefault="0022785A" w:rsidP="00DF4DC5">
      <w:pPr>
        <w:pStyle w:val="Textebrut"/>
      </w:pPr>
      <w:hyperlink r:id="rId37" w:history="1">
        <w:r w:rsidR="00DF4DC5" w:rsidRPr="002D00CB">
          <w:rPr>
            <w:rStyle w:val="Lienhypertexte"/>
          </w:rPr>
          <w:t>https://www.legifrance.gouv.fr/jorf/id/JORFTEXT000048898848</w:t>
        </w:r>
      </w:hyperlink>
    </w:p>
    <w:p w:rsidR="00DF4DC5" w:rsidRDefault="00DF4DC5" w:rsidP="00DF4DC5">
      <w:pPr>
        <w:pStyle w:val="Textebrut"/>
      </w:pPr>
    </w:p>
    <w:p w:rsidR="00820A42" w:rsidRDefault="00820A42" w:rsidP="00820A42">
      <w:pPr>
        <w:pStyle w:val="Textebrut"/>
      </w:pPr>
      <w:r>
        <w:t>Arrêté du 18 décembre 2023 fixant la liste des personnes autorisées à exercer en France la profession de pharmacien en application des dispositions du V de l'article 83 de la loi n° 2006-1640 du 21 décembre 2006 de financement de la sécurité sociale pour 2007 modifiée</w:t>
      </w:r>
    </w:p>
    <w:p w:rsidR="00DF4DC5" w:rsidRDefault="0022785A" w:rsidP="00820A42">
      <w:pPr>
        <w:pStyle w:val="Textebrut"/>
      </w:pPr>
      <w:hyperlink r:id="rId38" w:history="1">
        <w:r w:rsidR="00820A42" w:rsidRPr="002D00CB">
          <w:rPr>
            <w:rStyle w:val="Lienhypertexte"/>
          </w:rPr>
          <w:t>https://www.legifrance.gouv.fr/jorf/id/JORFTEXT000048899242</w:t>
        </w:r>
      </w:hyperlink>
    </w:p>
    <w:p w:rsidR="00820A42" w:rsidRDefault="00820A42" w:rsidP="00820A42">
      <w:pPr>
        <w:pStyle w:val="Textebrut"/>
      </w:pPr>
    </w:p>
    <w:p w:rsidR="00217B2C" w:rsidRDefault="00217B2C" w:rsidP="00217B2C">
      <w:pPr>
        <w:pStyle w:val="Textebrut"/>
      </w:pPr>
      <w:r>
        <w:t>Arrêté du 12 janvier 2024 modifiant l'arrêté du 18 décembre 2023 modifiant la nature des épreuves écrites et orales pour les concours gérés par les ministères sociaux</w:t>
      </w:r>
    </w:p>
    <w:p w:rsidR="00820A42" w:rsidRDefault="0022785A" w:rsidP="00217B2C">
      <w:pPr>
        <w:pStyle w:val="Textebrut"/>
      </w:pPr>
      <w:hyperlink r:id="rId39" w:history="1">
        <w:r w:rsidR="00217B2C" w:rsidRPr="004F6744">
          <w:rPr>
            <w:rStyle w:val="Lienhypertexte"/>
          </w:rPr>
          <w:t>https://www.legifrance.gouv.fr/jorf/id/JORFTEXT000048939366</w:t>
        </w:r>
      </w:hyperlink>
    </w:p>
    <w:p w:rsidR="00217B2C" w:rsidRDefault="00217B2C" w:rsidP="00217B2C">
      <w:pPr>
        <w:pStyle w:val="Textebrut"/>
      </w:pPr>
    </w:p>
    <w:p w:rsidR="006A4465" w:rsidRDefault="006A4465" w:rsidP="006A4465">
      <w:pPr>
        <w:pStyle w:val="Textebrut"/>
      </w:pPr>
      <w:r>
        <w:t>Circulaire n° 6425-SG du 21 novembre 2023 relative à l’engagement pour la transformation écologique de l’État</w:t>
      </w:r>
    </w:p>
    <w:p w:rsidR="006A4465" w:rsidRDefault="0022785A" w:rsidP="006A4465">
      <w:pPr>
        <w:pStyle w:val="Textebrut"/>
      </w:pPr>
      <w:hyperlink r:id="rId40" w:history="1">
        <w:r w:rsidR="006A4465" w:rsidRPr="0046443B">
          <w:rPr>
            <w:rStyle w:val="Lienhypertexte"/>
          </w:rPr>
          <w:t>https://www.legifrance.gouv.fr/circulaire/id/45511</w:t>
        </w:r>
      </w:hyperlink>
    </w:p>
    <w:p w:rsidR="006A4465" w:rsidRDefault="006A4465" w:rsidP="006A4465">
      <w:pPr>
        <w:pStyle w:val="Textebrut"/>
      </w:pPr>
    </w:p>
    <w:p w:rsidR="006A4465" w:rsidRDefault="006A4465" w:rsidP="006A4465">
      <w:pPr>
        <w:pStyle w:val="Textebrut"/>
      </w:pPr>
      <w:r>
        <w:t>Décision ANSM du 16/01/2024 - Modification de la liste des médicaments de médication officinale mentionnée à l'article R. 5121-202 du CSP</w:t>
      </w:r>
    </w:p>
    <w:p w:rsidR="00217B2C" w:rsidRDefault="0022785A" w:rsidP="006A4465">
      <w:pPr>
        <w:pStyle w:val="Textebrut"/>
      </w:pPr>
      <w:hyperlink r:id="rId41" w:history="1">
        <w:r w:rsidR="006A4465" w:rsidRPr="0046443B">
          <w:rPr>
            <w:rStyle w:val="Lienhypertexte"/>
          </w:rPr>
          <w:t>https://ansm.sante.fr/actualites/decision-du-16-01-2024-modification-de-la-liste-des-medicaments-de-medication-officinale-mentionnee-a-larticle-r-5121-202-du-csp</w:t>
        </w:r>
      </w:hyperlink>
    </w:p>
    <w:p w:rsidR="006A4465" w:rsidRDefault="006A4465" w:rsidP="006A4465">
      <w:pPr>
        <w:pStyle w:val="Textebrut"/>
      </w:pPr>
    </w:p>
    <w:p w:rsidR="00521D65" w:rsidRDefault="00521D65" w:rsidP="00521D65">
      <w:pPr>
        <w:pStyle w:val="Textebrut"/>
      </w:pPr>
      <w:r>
        <w:t>Note d'information interministérielle n° DGOS/PF2/DSS/1C/2023/204 du 27 décembre 2023 relative à l'évolution des modalités de prise en charge en sus des prestations d’hospitalisation, à titre dérogatoire et transitoire, des spécialités pharmaceutiques à base d’immunoglobulines humaines faisant l’objet d’une autorisation d’importation dans un contexte de tensions d’approvisionnement des spécialités équivalentes.</w:t>
      </w:r>
    </w:p>
    <w:p w:rsidR="00521D65" w:rsidRDefault="00521D65" w:rsidP="00521D65">
      <w:pPr>
        <w:pStyle w:val="Textebrut"/>
      </w:pPr>
      <w:r>
        <w:t>Résumé : Lors de tensions d’approvisionnement concernant une spécialité commercialisée en France, l’Agence nationale de sécurité du médicament et des produits de santé (ANSM) peut accorder une autorisation d’importation pour une spécialité non destinée initialement au marché français. Cette note d’information précise les modalités de prise en charge des spécialités à base d’immunoglobulines polyvalentes humaines faisant l’objet d’une autorisation d’importation pour pallier les tensions d’approvisionnement d’une spécialité dont une ou plusieurs des indications thérapeutiques sont inscrites sur la liste prévue à l’article L. 162-22-7 du code de la sécurité sociale (dite « liste en sus ») et qui bénéficient à ce titre d’une prise en charge en sus des prestations d’hospitalisation. Cette note récapitule par ailleurs les spécialités et les indications concernées par cette prise en charge dérogatoire</w:t>
      </w:r>
    </w:p>
    <w:p w:rsidR="006A4465" w:rsidRDefault="0022785A" w:rsidP="00521D65">
      <w:pPr>
        <w:pStyle w:val="Textebrut"/>
      </w:pPr>
      <w:hyperlink r:id="rId42" w:history="1">
        <w:r w:rsidR="00521D65" w:rsidRPr="00567243">
          <w:rPr>
            <w:rStyle w:val="Lienhypertexte"/>
          </w:rPr>
          <w:t>https://portail.tessadoc.social.gouv.fr/recherche/viewnotice/id/965543</w:t>
        </w:r>
      </w:hyperlink>
    </w:p>
    <w:p w:rsidR="00521D65" w:rsidRDefault="00521D65" w:rsidP="00521D65">
      <w:pPr>
        <w:pStyle w:val="Textebrut"/>
      </w:pPr>
    </w:p>
    <w:p w:rsidR="00EB37FA" w:rsidRDefault="00EB37FA" w:rsidP="00EB37FA">
      <w:pPr>
        <w:pStyle w:val="Textebrut"/>
      </w:pPr>
      <w:r>
        <w:t>Note d’information n° DGOS/PF2/2024/2 du 18 janvier 2024 relative à l’enquête « achat et consommation des médicaments à l’hôpital » menée par l’Agence technique de l’information sur l’hospitalisation (ATIH).</w:t>
      </w:r>
    </w:p>
    <w:p w:rsidR="00EB37FA" w:rsidRDefault="00EB37FA" w:rsidP="00EB37FA">
      <w:pPr>
        <w:pStyle w:val="Textebrut"/>
      </w:pPr>
      <w:r>
        <w:t>Résumé : Cette note d’information a pour objet de rappeler que la participation à l’enquête « achat et consommation de médicaments en établissements de santé » est essentielle pour la connaissance et l’amélioration de la prise en charge médicamenteuse en France.</w:t>
      </w:r>
      <w:r w:rsidR="00211369">
        <w:t xml:space="preserve"> </w:t>
      </w:r>
      <w:r>
        <w:t>Dans le cadre de cette enquête, les établissements de santé sont sollicités afin de transmettre les quantités achetées, délivrées et rétrocédées ainsi que les prix d’achat de chaque médicament.</w:t>
      </w:r>
    </w:p>
    <w:p w:rsidR="00EB37FA" w:rsidRDefault="00EB37FA" w:rsidP="00EB37FA">
      <w:pPr>
        <w:pStyle w:val="Textebrut"/>
      </w:pPr>
      <w:r>
        <w:t xml:space="preserve">L’exploitation de ces données permettra, à partir des tableaux de bord réalisés par l’ATIH, de disposer à l’échelon régional et national, d’une meilleure connaissance des consommations de médicaments, des prix d’achat, d’évaluer la pénétration des médicaments inscrits au répertoire des génériques et des </w:t>
      </w:r>
      <w:proofErr w:type="spellStart"/>
      <w:r>
        <w:t>biosimilaires</w:t>
      </w:r>
      <w:proofErr w:type="spellEnd"/>
      <w:r>
        <w:t xml:space="preserve"> ainsi que d’analyser les pratiques de prescription.</w:t>
      </w:r>
    </w:p>
    <w:p w:rsidR="00EB37FA" w:rsidRDefault="00EB37FA" w:rsidP="00EB37FA">
      <w:pPr>
        <w:pStyle w:val="Textebrut"/>
      </w:pPr>
      <w:r>
        <w:lastRenderedPageBreak/>
        <w:t>Les établissements de santé ayant participé à l’enquête pourront accéder à l’ensemble de leurs données, ainsi qu’à certaines informations supplémentaires permettant de se comparer entre eux. Des restitutions sont aussi disponibles sur le site internet de l’ATIH</w:t>
      </w:r>
    </w:p>
    <w:p w:rsidR="00EB37FA" w:rsidRDefault="0022785A" w:rsidP="00EB37FA">
      <w:pPr>
        <w:pStyle w:val="Textebrut"/>
      </w:pPr>
      <w:hyperlink r:id="rId43" w:history="1">
        <w:r w:rsidR="00A955D5" w:rsidRPr="00072300">
          <w:rPr>
            <w:rStyle w:val="Lienhypertexte"/>
          </w:rPr>
          <w:t>https://portail.tessadoc.social.gouv.fr/recherche/viewnotice/id/965555</w:t>
        </w:r>
      </w:hyperlink>
    </w:p>
    <w:p w:rsidR="00A955D5" w:rsidRDefault="00A955D5" w:rsidP="00EB37FA">
      <w:pPr>
        <w:pStyle w:val="Textebrut"/>
      </w:pPr>
    </w:p>
    <w:p w:rsidR="003C4037" w:rsidRDefault="003C4037" w:rsidP="003C4037">
      <w:pPr>
        <w:pStyle w:val="Textebrut"/>
      </w:pPr>
      <w:r>
        <w:t>Arrêté du 16 janvier 2024 relatif aux programmes de dépistages organisés des cancers (remplace l’arrêté de 2006 de même objet)</w:t>
      </w:r>
      <w:r w:rsidR="003E17F7">
        <w:t>.</w:t>
      </w:r>
    </w:p>
    <w:p w:rsidR="003E17F7" w:rsidRDefault="003E17F7" w:rsidP="003C4037">
      <w:pPr>
        <w:pStyle w:val="Textebrut"/>
      </w:pPr>
      <w:r>
        <w:t>« Article 2 :</w:t>
      </w:r>
    </w:p>
    <w:p w:rsidR="003E17F7" w:rsidRDefault="003E17F7" w:rsidP="003E17F7">
      <w:pPr>
        <w:pStyle w:val="Textebrut"/>
      </w:pPr>
      <w:r>
        <w:t>La direction générale de la santé assure le pilotage stratégique des programmes de dépistages organisés des cancers.</w:t>
      </w:r>
    </w:p>
    <w:p w:rsidR="003E17F7" w:rsidRDefault="003E17F7" w:rsidP="003E17F7">
      <w:pPr>
        <w:pStyle w:val="Textebrut"/>
      </w:pPr>
      <w:r>
        <w:t>Les organismes d'assurance maladie assurent le pilotage de la mise en œuvre des invitations et de relances à participer à ces dépistages.</w:t>
      </w:r>
    </w:p>
    <w:p w:rsidR="003E17F7" w:rsidRDefault="003E17F7" w:rsidP="003E17F7">
      <w:pPr>
        <w:pStyle w:val="Textebrut"/>
      </w:pPr>
      <w:r>
        <w:t>L'Agence nationale de santé publique réalise l'évaluation épidémiologique de la performance des programmes.</w:t>
      </w:r>
    </w:p>
    <w:p w:rsidR="003E17F7" w:rsidRDefault="003E17F7" w:rsidP="003E17F7">
      <w:pPr>
        <w:pStyle w:val="Textebrut"/>
      </w:pPr>
      <w:r>
        <w:t>L'Institut national du cancer, chargé de coordonner les actions de lutte contre le cancer, fournit l'expertise nécessaire aux programmes de dépistage organisé des cancers en s'appuyant notamment sur les professionnels des centres régionaux de coordination des dépistages des cancers.</w:t>
      </w:r>
    </w:p>
    <w:p w:rsidR="003E17F7" w:rsidRDefault="003E17F7" w:rsidP="003E17F7">
      <w:pPr>
        <w:pStyle w:val="Textebrut"/>
      </w:pPr>
      <w:r>
        <w:t>Les programmes de dépistages organisés des cancers mentionnés à l'article 1er sont mis en œuvre par des centres régionaux de coordination des dépistages des cancers, ainsi que par les organismes d'assurance maladie.</w:t>
      </w:r>
    </w:p>
    <w:p w:rsidR="003E17F7" w:rsidRDefault="003E17F7" w:rsidP="003E17F7">
      <w:pPr>
        <w:pStyle w:val="Textebrut"/>
      </w:pPr>
      <w:r>
        <w:t>Les programmes de dépistage sont pilotés au niveau régional par les agences régionales de santé en lien avec le directeur coordinateur de gestion du risque de l'assurance maladie et le directeur de l'association régionale des caisses de mutualité agricole.</w:t>
      </w:r>
    </w:p>
    <w:p w:rsidR="003E17F7" w:rsidRDefault="003E17F7" w:rsidP="003E17F7">
      <w:pPr>
        <w:pStyle w:val="Textebrut"/>
      </w:pPr>
      <w:r>
        <w:t>Les missions des acteurs mentionnés aux précédents alinéas sont fixées par les cahiers des charges joints en annexes I et II du présent arrêté »</w:t>
      </w:r>
    </w:p>
    <w:p w:rsidR="003C4037" w:rsidRDefault="0022785A" w:rsidP="003C4037">
      <w:pPr>
        <w:pStyle w:val="Textebrut"/>
      </w:pPr>
      <w:hyperlink r:id="rId44" w:history="1">
        <w:r w:rsidR="003C4037" w:rsidRPr="00C11AF8">
          <w:rPr>
            <w:rStyle w:val="Lienhypertexte"/>
          </w:rPr>
          <w:t>https://www.legifrance.gouv.fr/jorf/id/JORFTEXT000049025564</w:t>
        </w:r>
      </w:hyperlink>
    </w:p>
    <w:p w:rsidR="003C4037" w:rsidRDefault="003C4037" w:rsidP="003C4037">
      <w:pPr>
        <w:pStyle w:val="Textebrut"/>
      </w:pPr>
    </w:p>
    <w:p w:rsidR="003C4037" w:rsidRDefault="003C4037" w:rsidP="003C4037">
      <w:pPr>
        <w:pStyle w:val="Textebrut"/>
      </w:pPr>
      <w:r>
        <w:t>Arrêté du 18 janvier 2024 relatif aux missions de référence, aux capacités et moyens de prise en charge et de diagnostic des établissements de santé de référence et aux missions des agences régionales de santé (ORSAN et établissements de santé de référence)</w:t>
      </w:r>
    </w:p>
    <w:p w:rsidR="003C4037" w:rsidRDefault="0022785A" w:rsidP="003C4037">
      <w:pPr>
        <w:pStyle w:val="Textebrut"/>
      </w:pPr>
      <w:hyperlink r:id="rId45" w:history="1">
        <w:r w:rsidR="003C4037" w:rsidRPr="00C11AF8">
          <w:rPr>
            <w:rStyle w:val="Lienhypertexte"/>
          </w:rPr>
          <w:t>https://www.legifrance.gouv.fr/jorf/id/JORFTEXT000049025604</w:t>
        </w:r>
      </w:hyperlink>
    </w:p>
    <w:p w:rsidR="003C4037" w:rsidRDefault="003C4037" w:rsidP="003C4037">
      <w:pPr>
        <w:pStyle w:val="Textebrut"/>
      </w:pPr>
      <w:r>
        <w:t>Arrêté du 18 janvier 2024 fixant la liste des établissements de santé de référence</w:t>
      </w:r>
    </w:p>
    <w:p w:rsidR="00DF4DC5" w:rsidRDefault="0022785A" w:rsidP="003C4037">
      <w:pPr>
        <w:pStyle w:val="Textebrut"/>
      </w:pPr>
      <w:hyperlink r:id="rId46" w:history="1">
        <w:r w:rsidR="003C4037" w:rsidRPr="00C11AF8">
          <w:rPr>
            <w:rStyle w:val="Lienhypertexte"/>
          </w:rPr>
          <w:t>https://www.legifrance.gouv.fr/jorf/id/JORFTEXT000049025644</w:t>
        </w:r>
      </w:hyperlink>
    </w:p>
    <w:p w:rsidR="003C4037" w:rsidRDefault="003C4037" w:rsidP="003C4037">
      <w:pPr>
        <w:pStyle w:val="Textebrut"/>
      </w:pPr>
    </w:p>
    <w:p w:rsidR="0061319B" w:rsidRDefault="0061319B" w:rsidP="006B3C61">
      <w:pPr>
        <w:pStyle w:val="Textebrut"/>
      </w:pPr>
      <w:r>
        <w:t xml:space="preserve">Arrêté du 25 janvier 2024 modifiant l'arrêté du 21 octobre 1992 fixant la liste des titres exigés des personnes employées en qualité de technicien dans un laboratoire d'analyses de biologie médicale (ajout </w:t>
      </w:r>
      <w:r w:rsidR="006B3C61">
        <w:t xml:space="preserve">des Diplôme d'Etat de technicien en analyses biomédicales ; Diplôme d'Etat de technicien de laboratoire médical ; Licence professionnelle </w:t>
      </w:r>
      <w:proofErr w:type="spellStart"/>
      <w:r w:rsidR="006B3C61">
        <w:t>bachelor</w:t>
      </w:r>
      <w:proofErr w:type="spellEnd"/>
      <w:r w:rsidR="006B3C61">
        <w:t xml:space="preserve"> universitaire de technologie spécialité génie biologique, parcours biologie médicale et biotechnologie ; du BTS de </w:t>
      </w:r>
      <w:r w:rsidR="006B3C61" w:rsidRPr="006B3C61">
        <w:t>bio-analyses et contrôles</w:t>
      </w:r>
      <w:r w:rsidR="006B3C61">
        <w:t xml:space="preserve"> et du BTS </w:t>
      </w:r>
      <w:r w:rsidR="006B3C61" w:rsidRPr="006B3C61">
        <w:t>d'analyses de biologie médicale ;</w:t>
      </w:r>
      <w:r w:rsidR="006B3C61">
        <w:t xml:space="preserve"> </w:t>
      </w:r>
      <w:r>
        <w:t>du DUT option analyses biologiques et biochimiques lorsque le diplôme a été délivré avant la rentrée universitaire 2022 – 2023)</w:t>
      </w:r>
    </w:p>
    <w:p w:rsidR="0080427D" w:rsidRDefault="0022785A" w:rsidP="0061319B">
      <w:pPr>
        <w:pStyle w:val="Textebrut"/>
      </w:pPr>
      <w:hyperlink r:id="rId47" w:history="1">
        <w:r w:rsidR="0061319B" w:rsidRPr="009A54DA">
          <w:rPr>
            <w:rStyle w:val="Lienhypertexte"/>
          </w:rPr>
          <w:t>https://www.legifrance.gouv.fr/jorf/id/JORFTEXT000049040708</w:t>
        </w:r>
      </w:hyperlink>
    </w:p>
    <w:p w:rsidR="0061319B" w:rsidRDefault="0061319B" w:rsidP="0061319B">
      <w:pPr>
        <w:pStyle w:val="Textebrut"/>
      </w:pPr>
    </w:p>
    <w:p w:rsidR="0061319B" w:rsidRDefault="0061319B" w:rsidP="0061319B">
      <w:pPr>
        <w:pStyle w:val="Textebrut"/>
      </w:pPr>
    </w:p>
    <w:p w:rsidR="00126647" w:rsidRDefault="00126647" w:rsidP="00F8571B">
      <w:pPr>
        <w:pStyle w:val="Textebrut"/>
      </w:pPr>
    </w:p>
    <w:p w:rsidR="00B7291F" w:rsidRPr="0089584B" w:rsidRDefault="0022785A" w:rsidP="00B7291F">
      <w:pPr>
        <w:pStyle w:val="PEPS"/>
      </w:pPr>
      <w:hyperlink r:id="rId48" w:history="1">
        <w:r w:rsidR="00B7291F" w:rsidRPr="0089584B">
          <w:t>Actualités</w:t>
        </w:r>
      </w:hyperlink>
      <w:r w:rsidR="00B7291F">
        <w:t xml:space="preserve"> Covid-19</w:t>
      </w:r>
      <w:r w:rsidR="00B7291F" w:rsidRPr="0089584B">
        <w:t> :</w:t>
      </w:r>
    </w:p>
    <w:p w:rsidR="00B7291F" w:rsidRDefault="00B7291F" w:rsidP="00B7291F">
      <w:pPr>
        <w:pStyle w:val="Textebrut"/>
      </w:pPr>
    </w:p>
    <w:p w:rsidR="00B7291F" w:rsidRDefault="00B7291F" w:rsidP="00B7291F">
      <w:pPr>
        <w:pStyle w:val="Textebrut"/>
      </w:pPr>
      <w:r>
        <w:t>Vous retrouverez tout sur ce sujet sur la page d’actualités du PEPPS dédiée :</w:t>
      </w:r>
    </w:p>
    <w:p w:rsidR="00B7291F" w:rsidRDefault="0022785A" w:rsidP="00B7291F">
      <w:pPr>
        <w:pStyle w:val="Textebrut"/>
      </w:pPr>
      <w:hyperlink r:id="rId49" w:history="1">
        <w:r w:rsidR="00B7291F" w:rsidRPr="009D7C82">
          <w:rPr>
            <w:rStyle w:val="Lienhypertexte"/>
          </w:rPr>
          <w:t>https://peps.sante.gouv.fr/actu/ncov/actus_2019-ncov.html</w:t>
        </w:r>
      </w:hyperlink>
    </w:p>
    <w:p w:rsidR="00B7291F" w:rsidRDefault="00B7291F" w:rsidP="00B7291F">
      <w:pPr>
        <w:pStyle w:val="Textebrut"/>
      </w:pPr>
    </w:p>
    <w:p w:rsidR="00746698" w:rsidRDefault="00746698" w:rsidP="00746698">
      <w:pPr>
        <w:pStyle w:val="Textebrut"/>
      </w:pPr>
      <w:r>
        <w:t>Covid-19 et système nerveux : Formes aiguës et COVID long (Académie nationale de médecine, 12/12/2023)</w:t>
      </w:r>
    </w:p>
    <w:p w:rsidR="00746698" w:rsidRDefault="0022785A" w:rsidP="00746698">
      <w:pPr>
        <w:pStyle w:val="Textebrut"/>
      </w:pPr>
      <w:hyperlink r:id="rId50" w:history="1">
        <w:r w:rsidR="00746698" w:rsidRPr="002D00CB">
          <w:rPr>
            <w:rStyle w:val="Lienhypertexte"/>
          </w:rPr>
          <w:t>https://www.academie-medecine.fr/covid-19-et-systeme-nerveux-formes-aigues-et-covid-long/</w:t>
        </w:r>
      </w:hyperlink>
    </w:p>
    <w:p w:rsidR="00746698" w:rsidRDefault="00746698" w:rsidP="00746698">
      <w:pPr>
        <w:pStyle w:val="Textebrut"/>
      </w:pPr>
    </w:p>
    <w:p w:rsidR="000908A0" w:rsidRDefault="000908A0" w:rsidP="000908A0">
      <w:pPr>
        <w:pStyle w:val="Textebrut"/>
      </w:pPr>
      <w:r>
        <w:lastRenderedPageBreak/>
        <w:t>Le nombre de cas de Covid-19 a augmenté de plus de 50 % en un mois dans le monde (Le Quotidien du pharmacien, 08/01/2024). Article réservé aux abonnés.</w:t>
      </w:r>
    </w:p>
    <w:p w:rsidR="000908A0" w:rsidRDefault="000908A0" w:rsidP="000908A0">
      <w:pPr>
        <w:pStyle w:val="Textebrut"/>
      </w:pPr>
      <w:r>
        <w:t>Selon les derniers chiffres de l’Organisation mondiale de la Santé (OMS), le nombre de cas de Covid-19 a augmenté de 52 % au niveau mondial entre le 20 novembre et le 17 décembre 2023. Une tendance qui devrait se poursuivre dans les prochains mois</w:t>
      </w:r>
    </w:p>
    <w:p w:rsidR="00B7291F" w:rsidRDefault="0022785A" w:rsidP="000908A0">
      <w:pPr>
        <w:pStyle w:val="Textebrut"/>
      </w:pPr>
      <w:hyperlink r:id="rId51" w:history="1">
        <w:r w:rsidR="000908A0" w:rsidRPr="00047D98">
          <w:rPr>
            <w:rStyle w:val="Lienhypertexte"/>
          </w:rPr>
          <w:t>https://www.lequotidiendupharmacien.fr/le-nombre-de-cas-de-covid-19-augmente-de-plus-de-50-en-un-mois-dans-le-monde</w:t>
        </w:r>
      </w:hyperlink>
    </w:p>
    <w:p w:rsidR="000908A0" w:rsidRDefault="000908A0" w:rsidP="000908A0">
      <w:pPr>
        <w:pStyle w:val="Textebrut"/>
      </w:pPr>
    </w:p>
    <w:p w:rsidR="00076047" w:rsidRDefault="00076047" w:rsidP="00076047">
      <w:pPr>
        <w:pStyle w:val="Textebrut"/>
      </w:pPr>
      <w:r>
        <w:t>Orientations relatives à la lutte anti-infectieuse dans le contexte de la maladie à coronavirus 2019 (COVID-19) : Résumé d’orientation (OMS, 21/12/2023)</w:t>
      </w:r>
    </w:p>
    <w:p w:rsidR="000908A0" w:rsidRDefault="0022785A" w:rsidP="00076047">
      <w:pPr>
        <w:pStyle w:val="Textebrut"/>
      </w:pPr>
      <w:hyperlink r:id="rId52" w:history="1">
        <w:r w:rsidR="00076047" w:rsidRPr="00B21BFD">
          <w:rPr>
            <w:rStyle w:val="Lienhypertexte"/>
          </w:rPr>
          <w:t>https://iris.who.int/bitstream/handle/10665/375236/WHO-2019-nCoV-IPC-guideline-summary-2023.4-fre.pdf</w:t>
        </w:r>
      </w:hyperlink>
    </w:p>
    <w:p w:rsidR="00076047" w:rsidRDefault="00076047" w:rsidP="00076047">
      <w:pPr>
        <w:pStyle w:val="Textebrut"/>
      </w:pPr>
    </w:p>
    <w:p w:rsidR="005707C2" w:rsidRDefault="005707C2" w:rsidP="005707C2">
      <w:pPr>
        <w:pStyle w:val="Textebrut"/>
      </w:pPr>
      <w:r>
        <w:t>Utilisation de l’outil de commande de vaccins Covid-19 (Ministère de la santé, actualisation du 10/01/2024)</w:t>
      </w:r>
    </w:p>
    <w:p w:rsidR="00076047" w:rsidRDefault="0022785A" w:rsidP="005707C2">
      <w:pPr>
        <w:pStyle w:val="Textebrut"/>
      </w:pPr>
      <w:hyperlink r:id="rId53" w:history="1">
        <w:r w:rsidR="005707C2" w:rsidRPr="004F6744">
          <w:rPr>
            <w:rStyle w:val="Lienhypertexte"/>
          </w:rPr>
          <w:t>https://sante.gouv.fr/soins-et-maladies/maladies/maladies-infectieuses/coronavirus/vaccin-covid-19/je-suis-un-professionnel-de-sante-du-medico-social-et-du-social/distribution-vaccins-en-ville</w:t>
        </w:r>
      </w:hyperlink>
    </w:p>
    <w:p w:rsidR="005707C2" w:rsidRDefault="005707C2" w:rsidP="005707C2">
      <w:pPr>
        <w:pStyle w:val="Textebrut"/>
      </w:pPr>
    </w:p>
    <w:p w:rsidR="005707C2" w:rsidRDefault="006F106E" w:rsidP="005707C2">
      <w:pPr>
        <w:pStyle w:val="Textebrut"/>
      </w:pPr>
      <w:r w:rsidRPr="006F106E">
        <w:t xml:space="preserve">Analyse de risque liée aux </w:t>
      </w:r>
      <w:proofErr w:type="spellStart"/>
      <w:r w:rsidRPr="006F106E">
        <w:t>variants</w:t>
      </w:r>
      <w:proofErr w:type="spellEnd"/>
      <w:r w:rsidRPr="006F106E">
        <w:t xml:space="preserve"> émergents de SARS-COV-2 (</w:t>
      </w:r>
      <w:proofErr w:type="spellStart"/>
      <w:r w:rsidRPr="006F106E">
        <w:t>SpF</w:t>
      </w:r>
      <w:proofErr w:type="spellEnd"/>
      <w:r w:rsidRPr="006F106E">
        <w:t>, 08/01/2023)</w:t>
      </w:r>
    </w:p>
    <w:p w:rsidR="006F106E" w:rsidRDefault="0022785A" w:rsidP="005707C2">
      <w:pPr>
        <w:pStyle w:val="Textebrut"/>
      </w:pPr>
      <w:hyperlink r:id="rId54" w:history="1">
        <w:r w:rsidR="006F106E" w:rsidRPr="00E0313D">
          <w:rPr>
            <w:rStyle w:val="Lienhypertexte"/>
          </w:rPr>
          <w:t>https://www.santepubliquefrance.fr/media/files/01-maladies-et-traumatismes/maladies-et-infections-respiratoires/infection-a-coronavirus/analyse-de-risque-liee-aux-variants-emergents-de-sars-cov-2-08-01-24</w:t>
        </w:r>
      </w:hyperlink>
    </w:p>
    <w:p w:rsidR="006F106E" w:rsidRDefault="006F106E" w:rsidP="005707C2">
      <w:pPr>
        <w:pStyle w:val="Textebrut"/>
      </w:pPr>
    </w:p>
    <w:p w:rsidR="00AB7A36" w:rsidRDefault="00AB7A36" w:rsidP="00AB7A36">
      <w:pPr>
        <w:pStyle w:val="Textebrut"/>
      </w:pPr>
      <w:r>
        <w:t>Les vaccins COVID auraient sauvé au moins 1,4 million de vies en Europe, selon l'OMS (Euronews, 16/01/2024).</w:t>
      </w:r>
    </w:p>
    <w:p w:rsidR="00AB7A36" w:rsidRDefault="00AB7A36" w:rsidP="00AB7A36">
      <w:pPr>
        <w:pStyle w:val="Textebrut"/>
      </w:pPr>
      <w:r>
        <w:t>Selon l'Organisation mondiale de la santé (OMS), sans les vaccins COVID-19, le nombre cumulé de décès en Europe aurait été d'environ 4 millions</w:t>
      </w:r>
    </w:p>
    <w:p w:rsidR="006F106E" w:rsidRDefault="0022785A" w:rsidP="00AB7A36">
      <w:pPr>
        <w:pStyle w:val="Textebrut"/>
      </w:pPr>
      <w:hyperlink r:id="rId55" w:history="1">
        <w:r w:rsidR="00AB7A36" w:rsidRPr="0046443B">
          <w:rPr>
            <w:rStyle w:val="Lienhypertexte"/>
          </w:rPr>
          <w:t>https://fr.euronews.com/next/2024/01/16/les-vaccins-covid-auraient-sauve-au-moins-14-million-de-vies-en-europe-selon-loms</w:t>
        </w:r>
      </w:hyperlink>
    </w:p>
    <w:p w:rsidR="00AB7A36" w:rsidRDefault="00AB7A36" w:rsidP="00AB7A36">
      <w:pPr>
        <w:pStyle w:val="Textebrut"/>
      </w:pPr>
    </w:p>
    <w:p w:rsidR="00903EA2" w:rsidRDefault="00903EA2" w:rsidP="00903EA2">
      <w:pPr>
        <w:pStyle w:val="Textebrut"/>
      </w:pPr>
      <w:r>
        <w:t>Nouvelles données en faveur d’un risque accru de saignements menstruels abondants après la primovaccination contre le Covid-19 (ANSM/EPI-PHARE/Assurance maladie, 24/01/2024).</w:t>
      </w:r>
    </w:p>
    <w:p w:rsidR="00903EA2" w:rsidRDefault="00903EA2" w:rsidP="00903EA2">
      <w:pPr>
        <w:pStyle w:val="Textebrut"/>
      </w:pPr>
      <w:r>
        <w:t>Dans le cadre du dispositif renforcé de surveillance des vaccins contre le Covid-19, EPI-PHARE (groupement d’intérêt scientifique en épidémiologie des produits de santé ANSM-</w:t>
      </w:r>
      <w:proofErr w:type="spellStart"/>
      <w:r>
        <w:t>Cnam</w:t>
      </w:r>
      <w:proofErr w:type="spellEnd"/>
      <w:r>
        <w:t>) a réalisé une nouvelle étude de pharmaco-épidémiologie pour mesurer le risque de saignements menstruels abondants ayant fait l’objet d’une prise en charge à l’hôpital après une vaccination par les vaccins contre le Covid-19 en France.</w:t>
      </w:r>
    </w:p>
    <w:p w:rsidR="00903EA2" w:rsidRDefault="00903EA2" w:rsidP="00903EA2">
      <w:pPr>
        <w:pStyle w:val="Textebrut"/>
      </w:pPr>
      <w:r>
        <w:t xml:space="preserve">Cette étude a été réalisée à partir des données du Système national des données de santé (SNDS) couplé au Système d'information vaccin </w:t>
      </w:r>
      <w:proofErr w:type="spellStart"/>
      <w:r>
        <w:t>Covid</w:t>
      </w:r>
      <w:proofErr w:type="spellEnd"/>
      <w:r>
        <w:t xml:space="preserve"> (VAC-SI). Elle met en évidence une augmentation de 20 % du risque de saignements menstruels abondants ayant nécessité une prise en charge à l’hôpital dans un délai de 1 à 3 mois suivant la primovaccination par vaccin à ARNm (</w:t>
      </w:r>
      <w:proofErr w:type="spellStart"/>
      <w:r>
        <w:t>Comirnaty</w:t>
      </w:r>
      <w:proofErr w:type="spellEnd"/>
      <w:r>
        <w:t xml:space="preserve"> ou </w:t>
      </w:r>
      <w:proofErr w:type="spellStart"/>
      <w:r>
        <w:t>Spikevax</w:t>
      </w:r>
      <w:proofErr w:type="spellEnd"/>
      <w:r>
        <w:t>). En revanche, le risque n’apparaît pas augmenté au-delà de 3 mois après la primo-vaccination, ni après l’administration d’une dose de rappel.</w:t>
      </w:r>
    </w:p>
    <w:p w:rsidR="00903EA2" w:rsidRDefault="00903EA2" w:rsidP="00903EA2">
      <w:pPr>
        <w:pStyle w:val="Textebrut"/>
      </w:pPr>
      <w:r>
        <w:t>Pour rappel, ces troubles menstruels ont été ajoutés dans les résumés des caractéristiques du produit (RCP) et les notices des vaccins à ARNm en octobre 2022</w:t>
      </w:r>
    </w:p>
    <w:p w:rsidR="00AB7A36" w:rsidRDefault="0022785A" w:rsidP="00903EA2">
      <w:pPr>
        <w:pStyle w:val="Textebrut"/>
      </w:pPr>
      <w:hyperlink r:id="rId56" w:history="1">
        <w:r w:rsidR="00903EA2" w:rsidRPr="00660D09">
          <w:rPr>
            <w:rStyle w:val="Lienhypertexte"/>
          </w:rPr>
          <w:t>https://ansm.sante.fr/actualites/nouvelles-donnees-en-faveur-dun-risque-accru-de-saignements-menstruels-abondants-apres-la-primovaccination-contre-le-covid-19</w:t>
        </w:r>
      </w:hyperlink>
    </w:p>
    <w:p w:rsidR="00903EA2" w:rsidRDefault="00903EA2" w:rsidP="00903EA2">
      <w:pPr>
        <w:pStyle w:val="Textebrut"/>
      </w:pPr>
    </w:p>
    <w:p w:rsidR="00ED17EA" w:rsidRDefault="00ED17EA" w:rsidP="00ED17EA">
      <w:pPr>
        <w:pStyle w:val="Textebrut"/>
      </w:pPr>
      <w:r>
        <w:t>Infections respiratoires aiguës (grippe, bronchiolite, COVID-19). Bulletin du 24 janvier 2024 (</w:t>
      </w:r>
      <w:proofErr w:type="spellStart"/>
      <w:r>
        <w:t>SpF</w:t>
      </w:r>
      <w:proofErr w:type="spellEnd"/>
      <w:r>
        <w:t>, 24/01/2024).</w:t>
      </w:r>
    </w:p>
    <w:p w:rsidR="00ED17EA" w:rsidRDefault="00ED17EA" w:rsidP="00ED17EA">
      <w:pPr>
        <w:pStyle w:val="Textebrut"/>
      </w:pPr>
      <w:r>
        <w:t>Infections respiratoires aiguës (IRA) : Activité en augmentation en médecine de ville et globalement stable à l'hôpital.</w:t>
      </w:r>
    </w:p>
    <w:p w:rsidR="00ED17EA" w:rsidRDefault="00ED17EA" w:rsidP="00ED17EA">
      <w:pPr>
        <w:pStyle w:val="Textebrut"/>
      </w:pPr>
      <w:r>
        <w:t>COVID-19 : Poursuite de la diminution de l’ensemble des indicateurs.</w:t>
      </w:r>
    </w:p>
    <w:p w:rsidR="00903EA2" w:rsidRDefault="0022785A" w:rsidP="00ED17EA">
      <w:pPr>
        <w:pStyle w:val="Textebrut"/>
      </w:pPr>
      <w:hyperlink r:id="rId57" w:history="1">
        <w:r w:rsidR="00ED17EA" w:rsidRPr="00C11AF8">
          <w:rPr>
            <w:rStyle w:val="Lienhypertexte"/>
          </w:rPr>
          <w:t>https://www.santepubliquefrance.fr/maladies-et-traumatismes/maladies-et-infections-respiratoires/grippe/documents/bulletin-national/infections-respiratoires-aigues-grippe-bronchiolite-covid-19-.-bulletin-du-24-janvier-2024</w:t>
        </w:r>
      </w:hyperlink>
    </w:p>
    <w:p w:rsidR="00ED17EA" w:rsidRDefault="00ED17EA" w:rsidP="00ED17EA">
      <w:pPr>
        <w:pStyle w:val="Textebrut"/>
      </w:pPr>
    </w:p>
    <w:p w:rsidR="00ED17EA" w:rsidRDefault="00ED17EA" w:rsidP="00ED17EA">
      <w:pPr>
        <w:pStyle w:val="Textebrut"/>
      </w:pPr>
    </w:p>
    <w:p w:rsidR="00B7291F" w:rsidRDefault="00B7291F" w:rsidP="00B7291F">
      <w:pPr>
        <w:pStyle w:val="Textebrut"/>
      </w:pPr>
    </w:p>
    <w:p w:rsidR="005C44D0" w:rsidRDefault="005C44D0" w:rsidP="00B7291F">
      <w:pPr>
        <w:pStyle w:val="Textebrut"/>
      </w:pPr>
    </w:p>
    <w:p w:rsidR="00B7291F" w:rsidRDefault="00B7291F" w:rsidP="00F8571B">
      <w:pPr>
        <w:pStyle w:val="Textebrut"/>
      </w:pPr>
    </w:p>
    <w:p w:rsidR="00B7291F" w:rsidRDefault="00B7291F" w:rsidP="00F8571B">
      <w:pPr>
        <w:pStyle w:val="Textebrut"/>
      </w:pPr>
    </w:p>
    <w:p w:rsidR="00107ABA" w:rsidRPr="0089584B" w:rsidRDefault="0022785A" w:rsidP="0089584B">
      <w:pPr>
        <w:pStyle w:val="PEPS"/>
      </w:pPr>
      <w:hyperlink r:id="rId58" w:history="1">
        <w:r w:rsidR="00930CE0" w:rsidRPr="0089584B">
          <w:t>Autres actualités</w:t>
        </w:r>
      </w:hyperlink>
      <w:r w:rsidR="00930CE0" w:rsidRPr="0089584B">
        <w:t> :</w:t>
      </w:r>
    </w:p>
    <w:p w:rsidR="00AD56CA" w:rsidRDefault="00B7291F" w:rsidP="007044DE">
      <w:pPr>
        <w:pStyle w:val="Textebrut"/>
      </w:pPr>
      <w:bookmarkStart w:id="0" w:name="_GoBack"/>
      <w:r>
        <w:t>En ligne</w:t>
      </w:r>
      <w:r w:rsidR="00AD56CA">
        <w:t xml:space="preserve"> sur la page d’actualités du PEPPS :</w:t>
      </w:r>
    </w:p>
    <w:p w:rsidR="007044DE" w:rsidRDefault="0022785A" w:rsidP="007044DE">
      <w:pPr>
        <w:pStyle w:val="Textebrut"/>
      </w:pPr>
      <w:hyperlink r:id="rId59" w:history="1">
        <w:r w:rsidR="00B7291F" w:rsidRPr="002859B7">
          <w:rPr>
            <w:rStyle w:val="Lienhypertexte"/>
          </w:rPr>
          <w:t>https://peps.sante.gouv.fr/actu/actualites.html</w:t>
        </w:r>
      </w:hyperlink>
    </w:p>
    <w:bookmarkEnd w:id="0"/>
    <w:p w:rsidR="00B7291F" w:rsidRDefault="00B7291F" w:rsidP="007044DE">
      <w:pPr>
        <w:pStyle w:val="Textebrut"/>
      </w:pPr>
    </w:p>
    <w:p w:rsidR="00F9467F" w:rsidRDefault="00F9467F" w:rsidP="00F9467F">
      <w:pPr>
        <w:pStyle w:val="Textebrut"/>
      </w:pPr>
      <w:r>
        <w:t>Vaccination des seniors (Académie nationale de médecine, 07/11/2023).</w:t>
      </w:r>
    </w:p>
    <w:p w:rsidR="00F9467F" w:rsidRDefault="00F9467F" w:rsidP="00F9467F">
      <w:pPr>
        <w:pStyle w:val="Textebrut"/>
      </w:pPr>
      <w:r>
        <w:t xml:space="preserve">En France, la politique nationale de vaccination s’applique en priorité à l’immunisation des nourrissons avec un calendrier comportant 11 vaccinations obligatoires avant l’âge de 18 mois. Au-delà, y compris pour le grand âge, les recommandations concernant les vaccinations de routine sont souvent perdues de vue, à l’exception des vaccinations obligatoires (soignants, militaires…). Chez les sujets de 65 ans et plus, qui représentent plus de 20 % de la population, l’insuffisance des couvertures vaccinales vis-à-vis de 4 maladies infectieuses parmi les plus sévères pour cette tranche d’âge (grippe, Covid-19, </w:t>
      </w:r>
      <w:proofErr w:type="spellStart"/>
      <w:r>
        <w:t>pneumococcies</w:t>
      </w:r>
      <w:proofErr w:type="spellEnd"/>
      <w:r>
        <w:t xml:space="preserve"> et zona) crée un fardeau médical et économique de plus en plus lourd dans une population qui vieillit. Pour ces raisons, la vaccination des seniors devrait devenir un objectif prioritaire de santé publique. La protection vaccinale des personnes âgées doit être améliorée en impliquant tous les professionnels de santé, et en première ligne les médecins traitants, en mettant à profit les nouvelles avancées de la </w:t>
      </w:r>
      <w:proofErr w:type="spellStart"/>
      <w:r>
        <w:t>vaccinologie</w:t>
      </w:r>
      <w:proofErr w:type="spellEnd"/>
      <w:r>
        <w:t>, en tirant le meilleur parti des technologies numériques et en intégrant ces mesures dans un programme ambitieux de maintien des couvertures vaccinales tout au long de la vie</w:t>
      </w:r>
    </w:p>
    <w:p w:rsidR="00F9467F" w:rsidRDefault="0022785A" w:rsidP="00F9467F">
      <w:pPr>
        <w:pStyle w:val="Textebrut"/>
      </w:pPr>
      <w:hyperlink r:id="rId60" w:history="1">
        <w:r w:rsidR="00F9467F" w:rsidRPr="00E0313D">
          <w:rPr>
            <w:rStyle w:val="Lienhypertexte"/>
          </w:rPr>
          <w:t>https://www.academie-medecine.fr/vaccination-des-seniors/</w:t>
        </w:r>
      </w:hyperlink>
    </w:p>
    <w:p w:rsidR="00F9467F" w:rsidRDefault="00F9467F" w:rsidP="00F9467F">
      <w:pPr>
        <w:pStyle w:val="Textebrut"/>
      </w:pPr>
    </w:p>
    <w:p w:rsidR="00347F50" w:rsidRDefault="00347F50" w:rsidP="00F9467F">
      <w:pPr>
        <w:pStyle w:val="Textebrut"/>
      </w:pPr>
      <w:r w:rsidRPr="00347F50">
        <w:t xml:space="preserve">Présentation DGS du 15/12/2023 sur </w:t>
      </w:r>
      <w:proofErr w:type="spellStart"/>
      <w:r w:rsidRPr="00347F50">
        <w:t>LABOé</w:t>
      </w:r>
      <w:proofErr w:type="spellEnd"/>
      <w:r w:rsidRPr="00347F50">
        <w:t>-SI</w:t>
      </w:r>
    </w:p>
    <w:p w:rsidR="00347F50" w:rsidRDefault="0022785A" w:rsidP="00F9467F">
      <w:pPr>
        <w:pStyle w:val="Textebrut"/>
      </w:pPr>
      <w:hyperlink r:id="rId61" w:history="1">
        <w:r w:rsidR="00347F50" w:rsidRPr="00660D09">
          <w:rPr>
            <w:rStyle w:val="Lienhypertexte"/>
          </w:rPr>
          <w:t>https://peps.sante.gouv.fr/actu/2024/23_dgs_presentation-laboesi_15122023.pptx</w:t>
        </w:r>
      </w:hyperlink>
    </w:p>
    <w:p w:rsidR="00347F50" w:rsidRDefault="00347F50" w:rsidP="00F9467F">
      <w:pPr>
        <w:pStyle w:val="Textebrut"/>
      </w:pPr>
    </w:p>
    <w:p w:rsidR="00426E07" w:rsidRDefault="00426E07" w:rsidP="00F9467F">
      <w:pPr>
        <w:pStyle w:val="Textebrut"/>
      </w:pPr>
      <w:r>
        <w:t>Produits cosmétiques : la DGCCRF assure désormais seule le contrôle</w:t>
      </w:r>
      <w:r w:rsidR="00030635">
        <w:t xml:space="preserve"> des produits et établissements</w:t>
      </w:r>
      <w:r>
        <w:t xml:space="preserve"> (economie.gouv.fr, 29/12/2023).</w:t>
      </w:r>
    </w:p>
    <w:p w:rsidR="00426E07" w:rsidRDefault="00426E07" w:rsidP="00426E07">
      <w:pPr>
        <w:pStyle w:val="Textebrut"/>
      </w:pPr>
      <w:r>
        <w:t>A compter du 1</w:t>
      </w:r>
      <w:r w:rsidRPr="00426E07">
        <w:rPr>
          <w:vertAlign w:val="superscript"/>
        </w:rPr>
        <w:t>er</w:t>
      </w:r>
      <w:r>
        <w:t xml:space="preserve"> janvier 2024, la DGCCRF assure seule le contrôle des produits et établissements cosmétiques, jusqu’alors assuré conjointement avec l'Agence nationale de sécurité du médicament et des produits de santé (ANSM). L'Agence nationale de sécurité sanitaire de l’alimentation, de l’environnement et du travail (Anses) reprend quant à elle la </w:t>
      </w:r>
      <w:proofErr w:type="spellStart"/>
      <w:r>
        <w:t>cosmétovigilance</w:t>
      </w:r>
      <w:proofErr w:type="spellEnd"/>
      <w:r>
        <w:t xml:space="preserve"> et les missions d’évaluation des risques précédemment assurées par l’ANSM.</w:t>
      </w:r>
    </w:p>
    <w:p w:rsidR="00B7291F" w:rsidRDefault="0022785A" w:rsidP="00426E07">
      <w:pPr>
        <w:pStyle w:val="Textebrut"/>
      </w:pPr>
      <w:hyperlink r:id="rId62" w:history="1">
        <w:r w:rsidR="00426E07" w:rsidRPr="00C81588">
          <w:rPr>
            <w:rStyle w:val="Lienhypertexte"/>
          </w:rPr>
          <w:t>https://www.economie.gouv.fr/dgccrf/produits-cosmetiques-la-dgccrf-assure-desormais-seule-le-controle-des-produits-et</w:t>
        </w:r>
      </w:hyperlink>
    </w:p>
    <w:p w:rsidR="00030635" w:rsidRDefault="00030635" w:rsidP="00030635">
      <w:pPr>
        <w:pStyle w:val="Textebrut"/>
      </w:pPr>
      <w:r>
        <w:t>Nouvelles missions sur la sécurité sanitaire des produits cosmétiques et de tatouage (ANSES, 02/01/2024).</w:t>
      </w:r>
    </w:p>
    <w:p w:rsidR="00030635" w:rsidRDefault="00030635" w:rsidP="00030635">
      <w:pPr>
        <w:pStyle w:val="Textebrut"/>
      </w:pPr>
      <w:r>
        <w:t>Depuis le 1</w:t>
      </w:r>
      <w:r w:rsidRPr="00030635">
        <w:rPr>
          <w:vertAlign w:val="superscript"/>
        </w:rPr>
        <w:t>er</w:t>
      </w:r>
      <w:r>
        <w:t xml:space="preserve"> janvier 2024, l’Anses est en charge des missions de vigilance et d’expertise relatives aux produits cosmétiques et de tatouage. Ces missions, qui étaient du ressort de l’Agence nationale de la sécurité du médicament et des produits de santé (ANSM), ont été transférées à l’Anses par voie législative, en cohérence avec les orientations de son contrat d’objectifs avec l’Etat pour la période 2023-2027. Elles s’inscrivent pleinement dans les compétences de l’Agence concernant l’évaluation des risques liés aux substances chimiques auxquelles les populations sont exposées au quotidien.</w:t>
      </w:r>
    </w:p>
    <w:p w:rsidR="00426E07" w:rsidRDefault="0022785A" w:rsidP="00030635">
      <w:pPr>
        <w:pStyle w:val="Textebrut"/>
      </w:pPr>
      <w:hyperlink r:id="rId63" w:history="1">
        <w:r w:rsidR="00030635" w:rsidRPr="00C81588">
          <w:rPr>
            <w:rStyle w:val="Lienhypertexte"/>
          </w:rPr>
          <w:t>https://www.anses.fr/fr/content/nouvelles-missions-cosmetiques-et-tatouage</w:t>
        </w:r>
      </w:hyperlink>
    </w:p>
    <w:p w:rsidR="00030635" w:rsidRDefault="00030635" w:rsidP="00030635">
      <w:pPr>
        <w:pStyle w:val="Textebrut"/>
      </w:pPr>
      <w:r>
        <w:t xml:space="preserve">Les missions de surveillance du marché </w:t>
      </w:r>
      <w:proofErr w:type="gramStart"/>
      <w:r>
        <w:t>des cosmétiques confiées</w:t>
      </w:r>
      <w:proofErr w:type="gramEnd"/>
      <w:r>
        <w:t xml:space="preserve"> à la DGCCRF (ANSM, 02/01/2024).</w:t>
      </w:r>
    </w:p>
    <w:p w:rsidR="00030635" w:rsidRDefault="00030635" w:rsidP="00030635">
      <w:pPr>
        <w:pStyle w:val="Textebrut"/>
      </w:pPr>
      <w:r>
        <w:t>Depuis le 1</w:t>
      </w:r>
      <w:r w:rsidRPr="00030635">
        <w:rPr>
          <w:vertAlign w:val="superscript"/>
        </w:rPr>
        <w:t>er</w:t>
      </w:r>
      <w:r>
        <w:t xml:space="preserve"> janvier 2024, la Direction générale de la concurrence, de la consommation et de la répression des fraudes (DGCCRF) est la seule autorité compétente pour contrôler les établissements de fabrication et de conditionnement des produits cosmétiques, mission que nous partagions. Elle prend également en charge, dans le cadre de la réforme, la gestion des déclarations d’établissements qui incombait jusqu’alors à l’ANSM.</w:t>
      </w:r>
    </w:p>
    <w:p w:rsidR="00030635" w:rsidRDefault="0022785A" w:rsidP="00030635">
      <w:pPr>
        <w:pStyle w:val="Textebrut"/>
      </w:pPr>
      <w:hyperlink r:id="rId64" w:history="1">
        <w:r w:rsidR="00030635" w:rsidRPr="00C81588">
          <w:rPr>
            <w:rStyle w:val="Lienhypertexte"/>
          </w:rPr>
          <w:t>https://ansm.sante.fr/actualites/les-missions-de-surveillance-du-marche-des-cosmetiques-confiees-a-la-dgccrf</w:t>
        </w:r>
      </w:hyperlink>
    </w:p>
    <w:p w:rsidR="00030635" w:rsidRDefault="00030635" w:rsidP="00030635">
      <w:pPr>
        <w:pStyle w:val="Textebrut"/>
      </w:pPr>
    </w:p>
    <w:p w:rsidR="00426E07" w:rsidRDefault="00426E07" w:rsidP="00426E07">
      <w:pPr>
        <w:pStyle w:val="Textebrut"/>
      </w:pPr>
      <w:r>
        <w:t>Ce qui change au 1</w:t>
      </w:r>
      <w:r w:rsidRPr="00426E07">
        <w:rPr>
          <w:vertAlign w:val="superscript"/>
        </w:rPr>
        <w:t>er</w:t>
      </w:r>
      <w:r>
        <w:t xml:space="preserve"> janvier 2024 au ministère </w:t>
      </w:r>
      <w:r w:rsidR="00030635">
        <w:t>de la Santé et de la Prévention</w:t>
      </w:r>
      <w:r>
        <w:t xml:space="preserve"> (Ministère de la Santé et de la Prévention, 29/12/2023)</w:t>
      </w:r>
    </w:p>
    <w:p w:rsidR="00426E07" w:rsidRDefault="0022785A" w:rsidP="00426E07">
      <w:pPr>
        <w:pStyle w:val="Textebrut"/>
      </w:pPr>
      <w:hyperlink r:id="rId65" w:history="1">
        <w:r w:rsidR="00426E07" w:rsidRPr="00C81588">
          <w:rPr>
            <w:rStyle w:val="Lienhypertexte"/>
          </w:rPr>
          <w:t>https://sante.gouv.fr/actualites/actualites-du-ministere/article/ce-qui-change-au-1er-janvier-2024-au-ministere-de-la-sante-et-de-la-prevention</w:t>
        </w:r>
      </w:hyperlink>
    </w:p>
    <w:p w:rsidR="00426E07" w:rsidRDefault="00426E07" w:rsidP="00426E07">
      <w:pPr>
        <w:pStyle w:val="Textebrut"/>
      </w:pPr>
    </w:p>
    <w:p w:rsidR="004D7261" w:rsidRDefault="004D7261" w:rsidP="004D7261">
      <w:pPr>
        <w:pStyle w:val="Textebrut"/>
      </w:pPr>
      <w:r>
        <w:t>Renforcer l’information des professionnels de santé pour une utilisation sécurisée du chlorure de potassium (</w:t>
      </w:r>
      <w:proofErr w:type="spellStart"/>
      <w:r>
        <w:t>KCl</w:t>
      </w:r>
      <w:proofErr w:type="spellEnd"/>
      <w:r>
        <w:t>) injectable (ANSM, 04/01/2024).</w:t>
      </w:r>
    </w:p>
    <w:p w:rsidR="004D7261" w:rsidRDefault="004D7261" w:rsidP="004D7261">
      <w:pPr>
        <w:pStyle w:val="Textebrut"/>
      </w:pPr>
      <w:r>
        <w:t>Le chlorure de potassium (</w:t>
      </w:r>
      <w:proofErr w:type="spellStart"/>
      <w:r>
        <w:t>KCl</w:t>
      </w:r>
      <w:proofErr w:type="spellEnd"/>
      <w:r>
        <w:t>) injectable est une solution utilisée dans les établissements de santé et par les structures mobiles d'urgence et de réanimation (</w:t>
      </w:r>
      <w:proofErr w:type="spellStart"/>
      <w:r>
        <w:t>Smur</w:t>
      </w:r>
      <w:proofErr w:type="spellEnd"/>
      <w:r>
        <w:t xml:space="preserve">) pour apporter du potassium à l’organisme. Une mauvaise utilisation fait courir un risque vital au patient, c’est pourquoi il faut respecter scrupuleusement les précautions d’emploi. L’injection doit ainsi systématiquement être réalisée par perfusion intraveineuse (IV) lente, et uniquement après dilution du </w:t>
      </w:r>
      <w:proofErr w:type="spellStart"/>
      <w:r>
        <w:t>KCl</w:t>
      </w:r>
      <w:proofErr w:type="spellEnd"/>
      <w:r>
        <w:t>.</w:t>
      </w:r>
    </w:p>
    <w:p w:rsidR="004D7261" w:rsidRDefault="004D7261" w:rsidP="004D7261">
      <w:pPr>
        <w:pStyle w:val="Textebrut"/>
      </w:pPr>
      <w:r>
        <w:t>Afin de rappeler l’ensemble des précautions à prendre à chaque étape, une affiche, un support de formation et une réglette sont à la disposition des professionnels susceptibles d’utiliser ce médicament</w:t>
      </w:r>
      <w:r w:rsidR="000E10A5">
        <w:t>.</w:t>
      </w:r>
    </w:p>
    <w:p w:rsidR="000E10A5" w:rsidRDefault="000E10A5" w:rsidP="004D7261">
      <w:pPr>
        <w:pStyle w:val="Textebrut"/>
      </w:pPr>
      <w:r w:rsidRPr="000E10A5">
        <w:t xml:space="preserve">Les erreurs médicamenteuses qui se produisent lors de l’administration du </w:t>
      </w:r>
      <w:proofErr w:type="spellStart"/>
      <w:r w:rsidRPr="000E10A5">
        <w:t>KCl</w:t>
      </w:r>
      <w:proofErr w:type="spellEnd"/>
      <w:r w:rsidRPr="000E10A5">
        <w:t xml:space="preserve"> injectable font partie de la liste des 12 "évènements qui ne devraient jamais arriver / Never Events" et doivent s’inscrire dans les priorités de prévention des établissements de santé</w:t>
      </w:r>
    </w:p>
    <w:p w:rsidR="00426E07" w:rsidRDefault="0022785A" w:rsidP="004D7261">
      <w:pPr>
        <w:pStyle w:val="Textebrut"/>
      </w:pPr>
      <w:hyperlink r:id="rId66" w:history="1">
        <w:r w:rsidR="004D7261" w:rsidRPr="004C51D1">
          <w:rPr>
            <w:rStyle w:val="Lienhypertexte"/>
          </w:rPr>
          <w:t>https://ansm.sante.fr/actualites/renforcer-linformation-des-professionnels-de-sante-pour-une-utilisation-securisee-du-chlorure-de-potassium-kcl-injectable</w:t>
        </w:r>
      </w:hyperlink>
    </w:p>
    <w:p w:rsidR="000E10A5" w:rsidRDefault="000E10A5" w:rsidP="000E10A5">
      <w:pPr>
        <w:pStyle w:val="Textebrut"/>
      </w:pPr>
      <w:r>
        <w:t xml:space="preserve">Le dossier Prévenir les erreurs avec le chlorure de potassium injectable (ANSM, </w:t>
      </w:r>
      <w:proofErr w:type="spellStart"/>
      <w:r>
        <w:t>actualisatoin</w:t>
      </w:r>
      <w:proofErr w:type="spellEnd"/>
      <w:r>
        <w:t xml:space="preserve"> du 04/01/2024)</w:t>
      </w:r>
    </w:p>
    <w:p w:rsidR="004D7261" w:rsidRDefault="0022785A" w:rsidP="000E10A5">
      <w:pPr>
        <w:pStyle w:val="Textebrut"/>
      </w:pPr>
      <w:hyperlink r:id="rId67" w:history="1">
        <w:r w:rsidR="000E10A5" w:rsidRPr="004C51D1">
          <w:rPr>
            <w:rStyle w:val="Lienhypertexte"/>
          </w:rPr>
          <w:t>https://ansm.sante.fr/dossiers-thematiques/prevenir-les-erreurs-avec-le-chlorure-de-potassium-injectable</w:t>
        </w:r>
      </w:hyperlink>
    </w:p>
    <w:p w:rsidR="000E10A5" w:rsidRDefault="000E10A5" w:rsidP="000E10A5">
      <w:pPr>
        <w:pStyle w:val="Textebrut"/>
      </w:pPr>
    </w:p>
    <w:p w:rsidR="005D5D94" w:rsidRDefault="005D5D94" w:rsidP="005D5D94">
      <w:pPr>
        <w:pStyle w:val="Textebrut"/>
      </w:pPr>
      <w:r>
        <w:t xml:space="preserve">Diagnostic complexe d’endométriose : </w:t>
      </w:r>
      <w:proofErr w:type="gramStart"/>
      <w:r>
        <w:t>la HAS</w:t>
      </w:r>
      <w:proofErr w:type="gramEnd"/>
      <w:r>
        <w:t xml:space="preserve"> propose un accès au test salivaire </w:t>
      </w:r>
      <w:proofErr w:type="spellStart"/>
      <w:r>
        <w:t>Endotest</w:t>
      </w:r>
      <w:proofErr w:type="spellEnd"/>
      <w:r>
        <w:t>® dans le cadre du forfait innovation (HAS, 08/01/2024).</w:t>
      </w:r>
    </w:p>
    <w:p w:rsidR="005D5D94" w:rsidRDefault="005D5D94" w:rsidP="005D5D94">
      <w:pPr>
        <w:pStyle w:val="Textebrut"/>
      </w:pPr>
      <w:r>
        <w:t xml:space="preserve">En France, près de 2 millions de femmes adultes sont susceptibles de se demander si une endométriose est à l’origine de leurs douleurs pelviennes chroniques. Mais le diagnostic de cette maladie, responsable d’infertilité et dont l’impact sur la qualité de vie peut être très lourd, est parfois difficile. C’est pourquoi la Haute Autorité de santé s’est autosaisie afin d’évaluer, en vue du remboursement, l’efficacité et l’utilité clinique du test diagnostique salivaire </w:t>
      </w:r>
      <w:proofErr w:type="spellStart"/>
      <w:r>
        <w:t>Endotest</w:t>
      </w:r>
      <w:proofErr w:type="spellEnd"/>
      <w:r>
        <w:t xml:space="preserve">®, développé par la société </w:t>
      </w:r>
      <w:proofErr w:type="spellStart"/>
      <w:r>
        <w:t>Ziwig</w:t>
      </w:r>
      <w:proofErr w:type="spellEnd"/>
      <w:r>
        <w:t xml:space="preserve">. Si </w:t>
      </w:r>
      <w:proofErr w:type="gramStart"/>
      <w:r>
        <w:t>la HAS</w:t>
      </w:r>
      <w:proofErr w:type="gramEnd"/>
      <w:r>
        <w:t xml:space="preserve"> reconnait le caractère innovant et les performances diagnostiques de ce test qui a vocation à être réalisé en 3e intention après les examens cliniques et d’imagerie, les données restent trop préliminaires pour accorder un avis favorable au remboursement de droit commun. Elle propose donc de permettre un accès précoce et sécurisé des femmes à ce test, dans le cadre d’un forfait innovation qui permettra de recueillir les données manquantes aujourd’hui</w:t>
      </w:r>
    </w:p>
    <w:p w:rsidR="000E10A5" w:rsidRDefault="0022785A" w:rsidP="005D5D94">
      <w:pPr>
        <w:pStyle w:val="Textebrut"/>
      </w:pPr>
      <w:hyperlink r:id="rId68" w:history="1">
        <w:r w:rsidR="005D5D94" w:rsidRPr="007124FA">
          <w:rPr>
            <w:rStyle w:val="Lienhypertexte"/>
          </w:rPr>
          <w:t>https://www.has-sante.fr/jcms/p_3487378/fr/diagnostic-complexe-d-endometriose-la-has-propose-un-acces-au-test-salivaire-endotest-dans-le-cadre-du-forfait-innovation</w:t>
        </w:r>
      </w:hyperlink>
    </w:p>
    <w:p w:rsidR="000908A0" w:rsidRDefault="000908A0" w:rsidP="000908A0">
      <w:pPr>
        <w:pStyle w:val="Textebrut"/>
      </w:pPr>
      <w:r>
        <w:t>Endométriose : un test de diagnostic salivaire bientôt disponible en France (Le Quotidien du pharmacien, 08/01/2024). Article réservé aux abonnés.</w:t>
      </w:r>
    </w:p>
    <w:p w:rsidR="000908A0" w:rsidRDefault="000908A0" w:rsidP="000908A0">
      <w:pPr>
        <w:pStyle w:val="Textebrut"/>
      </w:pPr>
      <w:r>
        <w:t xml:space="preserve">La Haute Autorité de santé (HAS) a évalué </w:t>
      </w:r>
      <w:proofErr w:type="spellStart"/>
      <w:r>
        <w:t>Endotest</w:t>
      </w:r>
      <w:proofErr w:type="spellEnd"/>
      <w:r>
        <w:t>, un test diagnostique salivaire de l’endométriose. Si ce test est prometteur, l’instance estime qu’il manque des données pour lui accorder un avis favorable au remboursement. Elle propose dans un premier temps un accès précoce, via un forfait dit "innovation"</w:t>
      </w:r>
    </w:p>
    <w:p w:rsidR="005D5D94" w:rsidRDefault="0022785A" w:rsidP="000908A0">
      <w:pPr>
        <w:pStyle w:val="Textebrut"/>
      </w:pPr>
      <w:hyperlink r:id="rId69" w:history="1">
        <w:r w:rsidR="000908A0" w:rsidRPr="00047D98">
          <w:rPr>
            <w:rStyle w:val="Lienhypertexte"/>
          </w:rPr>
          <w:t>https://www.lequotidiendupharmacien.fr/endometriose-un-test-de-diagnostic-salivaire-bientot-disponible-en-france</w:t>
        </w:r>
      </w:hyperlink>
    </w:p>
    <w:p w:rsidR="000908A0" w:rsidRDefault="000908A0" w:rsidP="000908A0">
      <w:pPr>
        <w:pStyle w:val="Textebrut"/>
      </w:pPr>
    </w:p>
    <w:p w:rsidR="005D5D94" w:rsidRDefault="000B673C" w:rsidP="005D5D94">
      <w:pPr>
        <w:pStyle w:val="Textebrut"/>
      </w:pPr>
      <w:r w:rsidRPr="000B673C">
        <w:t>Courrier du 27/10/2023 adressé par la DGOS au DG du COFRAC donnant la position réglementaire du ministère opposée à la participation des infirmières et infirmiers à la phase pré-analytique des examens de biologie médicale, en particulier la réalisation de la centrifugation</w:t>
      </w:r>
    </w:p>
    <w:p w:rsidR="000B673C" w:rsidRDefault="0022785A" w:rsidP="005D5D94">
      <w:pPr>
        <w:pStyle w:val="Textebrut"/>
      </w:pPr>
      <w:hyperlink r:id="rId70" w:history="1">
        <w:r w:rsidR="000B673C" w:rsidRPr="007124FA">
          <w:rPr>
            <w:rStyle w:val="Lienhypertexte"/>
          </w:rPr>
          <w:t>https://peps.sante.gouv.fr/actu/2024/23_dgos_ide-preanalytique_27102023.pdf</w:t>
        </w:r>
      </w:hyperlink>
    </w:p>
    <w:p w:rsidR="000B673C" w:rsidRDefault="000B673C" w:rsidP="005D5D94">
      <w:pPr>
        <w:pStyle w:val="Textebrut"/>
      </w:pPr>
    </w:p>
    <w:p w:rsidR="003D6639" w:rsidRDefault="003D6639" w:rsidP="003D6639">
      <w:pPr>
        <w:pStyle w:val="Textebrut"/>
      </w:pPr>
      <w:r>
        <w:t>Remboursements de soins à fin novembre 2023 (ameli.fr, 09/01/2024).</w:t>
      </w:r>
    </w:p>
    <w:p w:rsidR="003D6639" w:rsidRDefault="003D6639" w:rsidP="003D6639">
      <w:pPr>
        <w:pStyle w:val="Textebrut"/>
      </w:pPr>
      <w:r>
        <w:t>Les remboursements de soins du régime général évoluent de 2,6 % sur les douze derniers mois</w:t>
      </w:r>
    </w:p>
    <w:p w:rsidR="000B673C" w:rsidRDefault="0022785A" w:rsidP="003D6639">
      <w:pPr>
        <w:pStyle w:val="Textebrut"/>
      </w:pPr>
      <w:hyperlink r:id="rId71" w:history="1">
        <w:r w:rsidR="003D6639" w:rsidRPr="00047D98">
          <w:rPr>
            <w:rStyle w:val="Lienhypertexte"/>
          </w:rPr>
          <w:t>https://assurance-maladie.ameli.fr/presse/2024-01-08-cp-depenses-fin-novembre-2023</w:t>
        </w:r>
      </w:hyperlink>
    </w:p>
    <w:p w:rsidR="003D6639" w:rsidRDefault="003D6639" w:rsidP="003D6639">
      <w:pPr>
        <w:pStyle w:val="Textebrut"/>
      </w:pPr>
    </w:p>
    <w:p w:rsidR="004D7261" w:rsidRDefault="00A36D58" w:rsidP="004D7261">
      <w:pPr>
        <w:pStyle w:val="Textebrut"/>
      </w:pPr>
      <w:r w:rsidRPr="00A36D58">
        <w:t>Avis conjoint d’EUROPHARMAT et de la SF2S à propos de l’expérimentation de retraitement des DM à usage unique prévue dans le PLFSS 2024 (SF2S, 10/01/2024)</w:t>
      </w:r>
    </w:p>
    <w:p w:rsidR="00A36D58" w:rsidRDefault="0022785A" w:rsidP="004D7261">
      <w:pPr>
        <w:pStyle w:val="Textebrut"/>
      </w:pPr>
      <w:hyperlink r:id="rId72" w:history="1">
        <w:r w:rsidR="00A36D58" w:rsidRPr="002D00CB">
          <w:rPr>
            <w:rStyle w:val="Lienhypertexte"/>
          </w:rPr>
          <w:t>https://peps.sante.gouv.fr/actu/2024/24_europharmat-sf2s_avis-retraitement-dm_10012024.pdf</w:t>
        </w:r>
      </w:hyperlink>
    </w:p>
    <w:p w:rsidR="00A36D58" w:rsidRDefault="00A36D58" w:rsidP="004D7261">
      <w:pPr>
        <w:pStyle w:val="Textebrut"/>
      </w:pPr>
    </w:p>
    <w:p w:rsidR="00FD1DC7" w:rsidRDefault="00FD1DC7" w:rsidP="00FD1DC7">
      <w:pPr>
        <w:pStyle w:val="Textebrut"/>
      </w:pPr>
      <w:r>
        <w:t>Infection urinaire ? Faire un test en pharmacie est désormais possible (ameli.fr, 10/01/2024)</w:t>
      </w:r>
    </w:p>
    <w:p w:rsidR="00A36D58" w:rsidRDefault="0022785A" w:rsidP="00FD1DC7">
      <w:pPr>
        <w:pStyle w:val="Textebrut"/>
      </w:pPr>
      <w:hyperlink r:id="rId73" w:history="1">
        <w:r w:rsidR="00FD1DC7" w:rsidRPr="002D00CB">
          <w:rPr>
            <w:rStyle w:val="Lienhypertexte"/>
          </w:rPr>
          <w:t>https://www.ameli.fr/assure/actualites/infection-urinaire-faire-un-test-en-pharmacie-est-desormais-possible</w:t>
        </w:r>
      </w:hyperlink>
    </w:p>
    <w:p w:rsidR="00FD1DC7" w:rsidRDefault="00FD1DC7" w:rsidP="00FD1DC7">
      <w:pPr>
        <w:pStyle w:val="Textebrut"/>
      </w:pPr>
    </w:p>
    <w:p w:rsidR="00781380" w:rsidRDefault="00781380" w:rsidP="00781380">
      <w:pPr>
        <w:pStyle w:val="Textebrut"/>
      </w:pPr>
      <w:r>
        <w:t>Produits de contraste : vers la fin du remboursement en ville (CNOP, 11/01/2024).</w:t>
      </w:r>
    </w:p>
    <w:p w:rsidR="00781380" w:rsidRDefault="00781380" w:rsidP="00781380">
      <w:pPr>
        <w:pStyle w:val="Textebrut"/>
      </w:pPr>
      <w:r>
        <w:t>Suite à l'adoption de la loi de financement de la sécurité sociale pour 2024, le décret 2023-1371 modifiant les conditions de prise en charge et de distribution de certains médicaments nécessaires à la réalisation d'examens d'imagerie médicale, dits "produits de contraste", a été publié au JO du 30 décembre 2023</w:t>
      </w:r>
    </w:p>
    <w:p w:rsidR="00DA0C5F" w:rsidRDefault="0022785A" w:rsidP="00781380">
      <w:pPr>
        <w:pStyle w:val="Textebrut"/>
      </w:pPr>
      <w:hyperlink r:id="rId74" w:history="1">
        <w:r w:rsidR="00781380" w:rsidRPr="00B21BFD">
          <w:rPr>
            <w:rStyle w:val="Lienhypertexte"/>
          </w:rPr>
          <w:t>https://www.ordre.pharmacien.fr/les-communications/focus-sur/les-actualites/produits-de-contraste-vers-la-fin-du-remboursement-en-ville</w:t>
        </w:r>
      </w:hyperlink>
    </w:p>
    <w:p w:rsidR="001A526B" w:rsidRDefault="001A526B" w:rsidP="001A526B">
      <w:pPr>
        <w:pStyle w:val="Textebrut"/>
      </w:pPr>
      <w:r>
        <w:t>Produits de contraste : la question des stocks encore loin d’être réglée (Le Quotidien du pharmacien, 11/01/2024). Article réservé aux abonnés.</w:t>
      </w:r>
    </w:p>
    <w:p w:rsidR="001A526B" w:rsidRDefault="001A526B" w:rsidP="001A526B">
      <w:pPr>
        <w:pStyle w:val="Textebrut"/>
      </w:pPr>
      <w:r>
        <w:t>À compter du 1er mars, les cabinets de radiologie pourront normalement commander l'ensemble des produits de contraste nécessaires à leurs actes auprès des laboratoires. À moins de deux mois de l’application de cette mesure, il reste toutefois des points à éclaircir, concernant les produits de contraste de petit volume et le devenir des stocks détenus par les officinaux</w:t>
      </w:r>
    </w:p>
    <w:p w:rsidR="00781380" w:rsidRDefault="0022785A" w:rsidP="001A526B">
      <w:pPr>
        <w:pStyle w:val="Textebrut"/>
      </w:pPr>
      <w:hyperlink r:id="rId75" w:history="1">
        <w:r w:rsidR="001A526B" w:rsidRPr="00B21BFD">
          <w:rPr>
            <w:rStyle w:val="Lienhypertexte"/>
          </w:rPr>
          <w:t>https://www.lequotidiendupharmacien.fr/produits-de-contraste-la-question-des-stocks-encore-loin-detre-reglee</w:t>
        </w:r>
      </w:hyperlink>
    </w:p>
    <w:p w:rsidR="001A526B" w:rsidRDefault="001A526B" w:rsidP="001A526B">
      <w:pPr>
        <w:pStyle w:val="Textebrut"/>
      </w:pPr>
    </w:p>
    <w:p w:rsidR="00A94BA6" w:rsidRDefault="00A94BA6" w:rsidP="00A94BA6">
      <w:pPr>
        <w:pStyle w:val="Textebrut"/>
      </w:pPr>
      <w:r>
        <w:t>Cancers : se faire dépister même quand on est en bonne santé (ameli.fr, 11/01/2024)</w:t>
      </w:r>
    </w:p>
    <w:p w:rsidR="001A526B" w:rsidRDefault="0022785A" w:rsidP="00A94BA6">
      <w:pPr>
        <w:pStyle w:val="Textebrut"/>
      </w:pPr>
      <w:hyperlink r:id="rId76" w:history="1">
        <w:r w:rsidR="00A94BA6" w:rsidRPr="004F6744">
          <w:rPr>
            <w:rStyle w:val="Lienhypertexte"/>
          </w:rPr>
          <w:t>https://www.ameli.fr/assure/actualites/cancers-se-faire-depister-meme-quand-est-en-bonne-sante</w:t>
        </w:r>
      </w:hyperlink>
    </w:p>
    <w:p w:rsidR="00A94BA6" w:rsidRDefault="00A94BA6" w:rsidP="00A94BA6">
      <w:pPr>
        <w:pStyle w:val="Textebrut"/>
      </w:pPr>
    </w:p>
    <w:p w:rsidR="004C0AF0" w:rsidRDefault="004C0AF0" w:rsidP="004C0AF0">
      <w:pPr>
        <w:pStyle w:val="Textebrut"/>
      </w:pPr>
      <w:r>
        <w:t>Tout ce qui va changer en 2024 (Le Quotidien du pharmacien, 15/01/2024).</w:t>
      </w:r>
    </w:p>
    <w:p w:rsidR="004C0AF0" w:rsidRDefault="004C0AF0" w:rsidP="004C0AF0">
      <w:pPr>
        <w:pStyle w:val="Textebrut"/>
      </w:pPr>
      <w:r>
        <w:t xml:space="preserve">Pour les pharmaciens, 2024 sera marquée par les négociations conventionnelles avec l’assurance-maladie, ô combien importantes pour l’avenir économique de la profession. Toutefois, l’année qui s’ouvre confirme surtout le rôle de plus en plus important qu’occupent les officinaux au sein du système de santé. Prescription d’antibiotiques après un TROD angine ou cystite positif, prise en charge de plusieurs pathologies dans le cadre du dispositif </w:t>
      </w:r>
      <w:proofErr w:type="spellStart"/>
      <w:r>
        <w:t>OSyS</w:t>
      </w:r>
      <w:proofErr w:type="spellEnd"/>
      <w:r>
        <w:t>, implication dans la réalisation des bilans de prévention aux âges clés de la vie… En 2024, les missions investies par le pharmacien seront toujours plus nombreuses</w:t>
      </w:r>
    </w:p>
    <w:p w:rsidR="00A94BA6" w:rsidRDefault="0022785A" w:rsidP="004C0AF0">
      <w:pPr>
        <w:pStyle w:val="Textebrut"/>
      </w:pPr>
      <w:hyperlink r:id="rId77" w:history="1">
        <w:r w:rsidR="004C0AF0" w:rsidRPr="00E0313D">
          <w:rPr>
            <w:rStyle w:val="Lienhypertexte"/>
          </w:rPr>
          <w:t>https://www.lequotidiendupharmacien.fr/exercice-pro/politique-de-sante/tout-ce-qui-va-changer-en-2024</w:t>
        </w:r>
      </w:hyperlink>
    </w:p>
    <w:p w:rsidR="004C0AF0" w:rsidRDefault="004C0AF0" w:rsidP="004C0AF0">
      <w:pPr>
        <w:pStyle w:val="Textebrut"/>
      </w:pPr>
    </w:p>
    <w:p w:rsidR="004C0AF0" w:rsidRDefault="004C0AF0" w:rsidP="004C0AF0">
      <w:pPr>
        <w:pStyle w:val="Textebrut"/>
      </w:pPr>
      <w:r>
        <w:t xml:space="preserve">Le contrat d’engagement de service public accessible aux étudiants en pharmacie (Le Quotidien du pharmacien, 15/01/2024). </w:t>
      </w:r>
      <w:proofErr w:type="spellStart"/>
      <w:r w:rsidRPr="004C0AF0">
        <w:t>NdlR</w:t>
      </w:r>
      <w:proofErr w:type="spellEnd"/>
      <w:r w:rsidRPr="004C0AF0">
        <w:t xml:space="preserve"> : art. 20 de la « loi </w:t>
      </w:r>
      <w:proofErr w:type="spellStart"/>
      <w:r w:rsidRPr="004C0AF0">
        <w:t>Valletoux</w:t>
      </w:r>
      <w:proofErr w:type="spellEnd"/>
      <w:r w:rsidRPr="004C0AF0">
        <w:t xml:space="preserve"> »</w:t>
      </w:r>
    </w:p>
    <w:p w:rsidR="004C0AF0" w:rsidRDefault="004C0AF0" w:rsidP="004C0AF0">
      <w:pPr>
        <w:pStyle w:val="Textebrut"/>
      </w:pPr>
      <w:r>
        <w:t>Les étudiants en pharmacie ont désormais accès au contrat d’engagement de service public (CESP), et cela dès la 2e année d’études. À partir de la rentrée universitaire 2024, les futurs pharmaciens pourront postuler pour obtenir une bourse mensuelle de 1 200 euros pendant leurs études, s’ils acceptent d’exercer, une fois diplômés, dans une zone sous-médicalisée</w:t>
      </w:r>
    </w:p>
    <w:p w:rsidR="004C0AF0" w:rsidRDefault="0022785A" w:rsidP="004C0AF0">
      <w:pPr>
        <w:pStyle w:val="Textebrut"/>
      </w:pPr>
      <w:hyperlink r:id="rId78" w:history="1">
        <w:r w:rsidR="004C0AF0" w:rsidRPr="00E0313D">
          <w:rPr>
            <w:rStyle w:val="Lienhypertexte"/>
          </w:rPr>
          <w:t>https://www.lequotidiendupharmacien.fr/le-contrat-dengagement-de-service-public-accessible-aux-etudiants-en-pharmacie</w:t>
        </w:r>
      </w:hyperlink>
    </w:p>
    <w:p w:rsidR="004C0AF0" w:rsidRDefault="004C0AF0" w:rsidP="004C0AF0">
      <w:pPr>
        <w:pStyle w:val="Textebrut"/>
      </w:pPr>
    </w:p>
    <w:p w:rsidR="00F9467F" w:rsidRDefault="00F9467F" w:rsidP="00F9467F">
      <w:pPr>
        <w:pStyle w:val="Textebrut"/>
      </w:pPr>
      <w:r>
        <w:t xml:space="preserve">Le </w:t>
      </w:r>
      <w:proofErr w:type="spellStart"/>
      <w:r>
        <w:t>tramadol</w:t>
      </w:r>
      <w:proofErr w:type="spellEnd"/>
      <w:r>
        <w:t xml:space="preserve"> désormais interdit en compétition (Le Quotidien du pharmacien, 15/01/2024).</w:t>
      </w:r>
    </w:p>
    <w:p w:rsidR="00F9467F" w:rsidRDefault="00F9467F" w:rsidP="00F9467F">
      <w:pPr>
        <w:pStyle w:val="Textebrut"/>
      </w:pPr>
      <w:r>
        <w:t xml:space="preserve">Comme chaque année, la liste des produits interdits dans le cadre de pratiques ou de compétitions sportives a été actualisée. Parmi les nouveautés, le </w:t>
      </w:r>
      <w:proofErr w:type="spellStart"/>
      <w:r>
        <w:t>tramadol</w:t>
      </w:r>
      <w:proofErr w:type="spellEnd"/>
      <w:r>
        <w:t xml:space="preserve"> est désormais interdit en compétition</w:t>
      </w:r>
    </w:p>
    <w:p w:rsidR="004C0AF0" w:rsidRDefault="0022785A" w:rsidP="00F9467F">
      <w:pPr>
        <w:pStyle w:val="Textebrut"/>
      </w:pPr>
      <w:hyperlink r:id="rId79" w:history="1">
        <w:r w:rsidR="00F9467F" w:rsidRPr="00E0313D">
          <w:rPr>
            <w:rStyle w:val="Lienhypertexte"/>
          </w:rPr>
          <w:t>https://www.lequotidiendupharmacien.fr/medicament-parapharmacie/medicament/le-tramadol-desormais-interdit-en-competition</w:t>
        </w:r>
      </w:hyperlink>
    </w:p>
    <w:p w:rsidR="00F9467F" w:rsidRDefault="00F9467F" w:rsidP="00F9467F">
      <w:pPr>
        <w:pStyle w:val="Textebrut"/>
      </w:pPr>
    </w:p>
    <w:p w:rsidR="00421CEA" w:rsidRDefault="00421CEA" w:rsidP="00421CEA">
      <w:pPr>
        <w:pStyle w:val="Textebrut"/>
      </w:pPr>
      <w:r>
        <w:t>Vaccination anti-HPV dans les collèges : des premiers résultats mitigés (Le Quotidien du médecin, 15/01/2024)</w:t>
      </w:r>
    </w:p>
    <w:p w:rsidR="00F9467F" w:rsidRDefault="0022785A" w:rsidP="00421CEA">
      <w:pPr>
        <w:pStyle w:val="Textebrut"/>
      </w:pPr>
      <w:hyperlink r:id="rId80" w:history="1">
        <w:r w:rsidR="00421CEA" w:rsidRPr="00E0313D">
          <w:rPr>
            <w:rStyle w:val="Lienhypertexte"/>
          </w:rPr>
          <w:t>https://www.lequotidiendumedecin.fr/specialites/infectiologie/vaccination-anti-hpv-dans-les-colleges-des-premiers-resultats-mitiges</w:t>
        </w:r>
      </w:hyperlink>
    </w:p>
    <w:p w:rsidR="00421CEA" w:rsidRDefault="00421CEA" w:rsidP="00421CEA">
      <w:pPr>
        <w:pStyle w:val="Textebrut"/>
      </w:pPr>
    </w:p>
    <w:p w:rsidR="00A504DD" w:rsidRDefault="00A504DD" w:rsidP="00A504DD">
      <w:pPr>
        <w:pStyle w:val="Textebrut"/>
      </w:pPr>
      <w:r>
        <w:t xml:space="preserve">Epidémie de </w:t>
      </w:r>
      <w:proofErr w:type="spellStart"/>
      <w:r>
        <w:t>Mpox</w:t>
      </w:r>
      <w:proofErr w:type="spellEnd"/>
      <w:r>
        <w:t xml:space="preserve"> en France : caractéristiques épidémiologiques et comportement sexuel de cas de plus de 15 ans, 2022 (</w:t>
      </w:r>
      <w:proofErr w:type="spellStart"/>
      <w:r>
        <w:t>SpF</w:t>
      </w:r>
      <w:proofErr w:type="spellEnd"/>
      <w:r>
        <w:t>, 15/01/2024)</w:t>
      </w:r>
    </w:p>
    <w:p w:rsidR="00781380" w:rsidRDefault="0022785A" w:rsidP="00A504DD">
      <w:pPr>
        <w:pStyle w:val="Textebrut"/>
      </w:pPr>
      <w:hyperlink r:id="rId81" w:history="1">
        <w:r w:rsidR="00A504DD" w:rsidRPr="00E0313D">
          <w:rPr>
            <w:rStyle w:val="Lienhypertexte"/>
          </w:rPr>
          <w:t>https://www.santepubliquefrance.fr/revues/articles-du-mois/2024/epidemie-de-mpox-en-france-caracteristiques-epidemiologiques-et-comportement-sexuel-de-cas-de-plus-de-15-ans-2022</w:t>
        </w:r>
      </w:hyperlink>
    </w:p>
    <w:p w:rsidR="00A504DD" w:rsidRDefault="00A504DD" w:rsidP="00A504DD">
      <w:pPr>
        <w:pStyle w:val="Textebrut"/>
      </w:pPr>
    </w:p>
    <w:p w:rsidR="004F7E1C" w:rsidRDefault="004F7E1C" w:rsidP="00A504DD">
      <w:pPr>
        <w:pStyle w:val="Textebrut"/>
      </w:pPr>
      <w:r w:rsidRPr="004F7E1C">
        <w:t>Message de la DGS (Mission ministérielle de Prévention des Infections et de l’Antibiorésistance) du 17/01/2024 relatif à l’actualité de janvier 2024 sur la prévention des infections et de l’antibiorésistance</w:t>
      </w:r>
    </w:p>
    <w:p w:rsidR="004F7E1C" w:rsidRDefault="0022785A" w:rsidP="00A504DD">
      <w:pPr>
        <w:pStyle w:val="Textebrut"/>
      </w:pPr>
      <w:hyperlink r:id="rId82" w:history="1">
        <w:r w:rsidR="004F7E1C" w:rsidRPr="0046443B">
          <w:rPr>
            <w:rStyle w:val="Lienhypertexte"/>
          </w:rPr>
          <w:t>https://peps.sante.gouv.fr/actu/2024/24_dgs_actus-antibioresistance_17012024.pdf</w:t>
        </w:r>
      </w:hyperlink>
    </w:p>
    <w:p w:rsidR="004F7E1C" w:rsidRDefault="004F7E1C" w:rsidP="00A504DD">
      <w:pPr>
        <w:pStyle w:val="Textebrut"/>
      </w:pPr>
    </w:p>
    <w:p w:rsidR="000850BD" w:rsidRDefault="000850BD" w:rsidP="000850BD">
      <w:pPr>
        <w:pStyle w:val="Textebrut"/>
      </w:pPr>
      <w:r>
        <w:t>Biologie délocalisée. Le SDBIO remet l’église au milieu du village sur les déserts diagnostiques et l’utilisation des EBMD (</w:t>
      </w:r>
      <w:proofErr w:type="spellStart"/>
      <w:r>
        <w:t>SdBio</w:t>
      </w:r>
      <w:proofErr w:type="spellEnd"/>
      <w:r>
        <w:t>, 17/01/2024)</w:t>
      </w:r>
    </w:p>
    <w:p w:rsidR="004F7E1C" w:rsidRDefault="0022785A" w:rsidP="000850BD">
      <w:pPr>
        <w:pStyle w:val="Textebrut"/>
      </w:pPr>
      <w:hyperlink r:id="rId83" w:history="1">
        <w:r w:rsidR="000850BD" w:rsidRPr="0046443B">
          <w:rPr>
            <w:rStyle w:val="Lienhypertexte"/>
          </w:rPr>
          <w:t>https://www.sdbio.eu/actualites/fil-d-infos/biologie-delocalisee-le-sdbio-remet-l-eglise-au-milieu-du-village-sur-les-deserts-diagnostiques-et-l-utilisation-des-ebmd</w:t>
        </w:r>
      </w:hyperlink>
    </w:p>
    <w:p w:rsidR="000850BD" w:rsidRDefault="000850BD" w:rsidP="000850BD">
      <w:pPr>
        <w:pStyle w:val="Textebrut"/>
      </w:pPr>
    </w:p>
    <w:p w:rsidR="000616BE" w:rsidRDefault="000616BE" w:rsidP="000616BE">
      <w:pPr>
        <w:pStyle w:val="Textebrut"/>
      </w:pPr>
      <w:r>
        <w:t>Une campagne pour faire connaitre la diversité des métiers de la pharmacie (CNOP, 17/01/2024).</w:t>
      </w:r>
    </w:p>
    <w:p w:rsidR="000616BE" w:rsidRDefault="000616BE" w:rsidP="000616BE">
      <w:pPr>
        <w:pStyle w:val="Textebrut"/>
      </w:pPr>
      <w:r>
        <w:t xml:space="preserve">A l’occasion de l’ouverture des inscriptions sur </w:t>
      </w:r>
      <w:proofErr w:type="spellStart"/>
      <w:r>
        <w:t>Parcoursup</w:t>
      </w:r>
      <w:proofErr w:type="spellEnd"/>
      <w:r>
        <w:t xml:space="preserve">, l’Ordre national des pharmaciens rappelle son engagement durable pour mettre en avant toute la richesse des missions de santé publique, assurées par les différents métiers de la pharmacie. </w:t>
      </w:r>
    </w:p>
    <w:p w:rsidR="000616BE" w:rsidRDefault="000616BE" w:rsidP="000616BE">
      <w:pPr>
        <w:pStyle w:val="Textebrut"/>
      </w:pPr>
      <w:r>
        <w:t>Son objectif : Susciter des vocations pour répondre aux besoins croissants des patients en matière d'accompagnement et de suivi à chaque étape du parcours de soin</w:t>
      </w:r>
    </w:p>
    <w:p w:rsidR="000850BD" w:rsidRDefault="0022785A" w:rsidP="000616BE">
      <w:pPr>
        <w:pStyle w:val="Textebrut"/>
      </w:pPr>
      <w:hyperlink r:id="rId84" w:history="1">
        <w:r w:rsidR="000616BE" w:rsidRPr="00CA244F">
          <w:rPr>
            <w:rStyle w:val="Lienhypertexte"/>
          </w:rPr>
          <w:t>https://www.ordre.pharmacien.fr/mediatheque/fichiers/communiques-de-presse/une-campagne-pour-faire-connaitre-la-diversite-des-metiers-de-la-pharmacie</w:t>
        </w:r>
      </w:hyperlink>
    </w:p>
    <w:p w:rsidR="000616BE" w:rsidRDefault="000616BE" w:rsidP="000616BE">
      <w:pPr>
        <w:pStyle w:val="Textebrut"/>
      </w:pPr>
    </w:p>
    <w:p w:rsidR="006E4FB7" w:rsidRDefault="006E4FB7" w:rsidP="006E4FB7">
      <w:pPr>
        <w:pStyle w:val="Textebrut"/>
      </w:pPr>
      <w:r>
        <w:t>Essais cliniques de médicaments : toutes les demandes de transition doivent être déposées sur le portail CTIS (ANSM, 18/01/2024).</w:t>
      </w:r>
    </w:p>
    <w:p w:rsidR="006E4FB7" w:rsidRDefault="006E4FB7" w:rsidP="006E4FB7">
      <w:pPr>
        <w:pStyle w:val="Textebrut"/>
      </w:pPr>
      <w:r>
        <w:t>Les promoteurs d’essais cliniques de médicaments sont encouragés à déposer dès que possible sur le portail CTIS (</w:t>
      </w:r>
      <w:proofErr w:type="spellStart"/>
      <w:r>
        <w:t>Clinical</w:t>
      </w:r>
      <w:proofErr w:type="spellEnd"/>
      <w:r>
        <w:t xml:space="preserve"> Trial Information System) les demandes de transition de leurs essais cliniques de la directive 2001/20/CE vers le règlement n°536/2014 (règlement essais cliniques, REC). 4 000 à 6 000 essais sont en attente de transition en Europe. Le 30 janvier 2025, ils devront tous obligatoirement avoir été intégrés à CTIS</w:t>
      </w:r>
    </w:p>
    <w:p w:rsidR="000616BE" w:rsidRDefault="0022785A" w:rsidP="006E4FB7">
      <w:pPr>
        <w:pStyle w:val="Textebrut"/>
      </w:pPr>
      <w:hyperlink r:id="rId85" w:history="1">
        <w:r w:rsidR="006E4FB7" w:rsidRPr="00E91873">
          <w:rPr>
            <w:rStyle w:val="Lienhypertexte"/>
          </w:rPr>
          <w:t>https://ansm.sante.fr/actualites/essais-cliniques-de-medicaments-toutes-les-demandes-de-transition-doivent-etre-deposees-sur-le-portail-ctis</w:t>
        </w:r>
      </w:hyperlink>
    </w:p>
    <w:p w:rsidR="006E4FB7" w:rsidRDefault="006E4FB7" w:rsidP="006E4FB7">
      <w:pPr>
        <w:pStyle w:val="Textebrut"/>
      </w:pPr>
    </w:p>
    <w:p w:rsidR="004F62A0" w:rsidRDefault="004F62A0" w:rsidP="004F62A0">
      <w:pPr>
        <w:pStyle w:val="Textebrut"/>
      </w:pPr>
      <w:r>
        <w:t>Les fermetures de pharmacies s'accélèrent (Les Echos, 18/01/2024). Article réservé aux abonnés</w:t>
      </w:r>
    </w:p>
    <w:p w:rsidR="004F62A0" w:rsidRDefault="004F62A0" w:rsidP="004F62A0">
      <w:pPr>
        <w:pStyle w:val="Textebrut"/>
      </w:pPr>
      <w:r>
        <w:t>Alors que l'Etat compte sur les pharmaciens pour compenser la pénurie de médecins, en 2023 les fermetures de pharmacies se sont accélérées. Fin décembre, la France était tombée sous la barre des 20.000 officines</w:t>
      </w:r>
    </w:p>
    <w:p w:rsidR="006E4FB7" w:rsidRDefault="0022785A" w:rsidP="004F62A0">
      <w:pPr>
        <w:pStyle w:val="Textebrut"/>
      </w:pPr>
      <w:hyperlink r:id="rId86" w:history="1">
        <w:r w:rsidR="004F62A0" w:rsidRPr="00567243">
          <w:rPr>
            <w:rStyle w:val="Lienhypertexte"/>
          </w:rPr>
          <w:t>https://www.lesechos.fr/industrie-services/pharmacie-sante/les-fermetures-de-pharmacies-saccelerent-2047282</w:t>
        </w:r>
      </w:hyperlink>
    </w:p>
    <w:p w:rsidR="004F62A0" w:rsidRDefault="004F62A0" w:rsidP="004F62A0">
      <w:pPr>
        <w:pStyle w:val="Textebrut"/>
      </w:pPr>
    </w:p>
    <w:p w:rsidR="00C327E3" w:rsidRDefault="00C327E3" w:rsidP="00C327E3">
      <w:pPr>
        <w:pStyle w:val="Textebrut"/>
      </w:pPr>
      <w:r>
        <w:t>Les âges clés de la prévention entrent en pharmacie (Le Quotidien du pharmacien, 18/01/2024). Article réservé aux abonnés (et au mode lecture des navigateurs Web)</w:t>
      </w:r>
    </w:p>
    <w:p w:rsidR="00C327E3" w:rsidRDefault="00C327E3" w:rsidP="00C327E3">
      <w:pPr>
        <w:pStyle w:val="Textebrut"/>
      </w:pPr>
      <w:r>
        <w:t>Après les tests, la vaccination, voici les bilans aux âges clés de la vie qui ancrent encore davantage le pharmacien dans sa position d’acteur de prévention. Dans quelques semaines, les officinaux pourront, en effet, tout comme les médecins, les infirmières et les sages-femmes, réaliser des bilans de prévention. Moyennant quelques ajustements, ils pourront s’appuyer sur l’expérience de leurs confrères des Hauts-de-France, précurseurs dans ce domaine</w:t>
      </w:r>
    </w:p>
    <w:p w:rsidR="00C327E3" w:rsidRDefault="0022785A" w:rsidP="00C327E3">
      <w:pPr>
        <w:pStyle w:val="Textebrut"/>
      </w:pPr>
      <w:hyperlink r:id="rId87" w:history="1">
        <w:r w:rsidR="00C327E3" w:rsidRPr="00072300">
          <w:rPr>
            <w:rStyle w:val="Lienhypertexte"/>
          </w:rPr>
          <w:t>https://www.lequotidiendupharmacien.fr/exercice-pro/les-ages-cles-de-la-prevention-entrent-en-pharmacie</w:t>
        </w:r>
      </w:hyperlink>
    </w:p>
    <w:p w:rsidR="00C327E3" w:rsidRDefault="00C327E3" w:rsidP="00C327E3">
      <w:pPr>
        <w:pStyle w:val="Textebrut"/>
      </w:pPr>
    </w:p>
    <w:p w:rsidR="004F62A0" w:rsidRDefault="004F62A0" w:rsidP="004F62A0">
      <w:pPr>
        <w:pStyle w:val="Textebrut"/>
      </w:pPr>
      <w:r>
        <w:t>Pharmacien biologiste médical sanctionné pour avoir transmis des résultats négatifs de dépistage du covid-19 non analysés (CNOP, 18/01/2024).</w:t>
      </w:r>
    </w:p>
    <w:p w:rsidR="004F62A0" w:rsidRDefault="004F62A0" w:rsidP="004F62A0">
      <w:pPr>
        <w:pStyle w:val="Textebrut"/>
      </w:pPr>
      <w:r>
        <w:t>Décision n° AD/06397-4/CN, AD/06553-4/CN et AD/06593-4/CN. Plusieurs plaintes disciplinaires ont été formées par des pharmaciens biologistes médicaux contre un pharmacien biologiste médical co-responsable et président d’un laboratoire de biologie médicale à la date des faits reprochés, à la suite de l’établissement de comptes rendus de résultats d’analyses de dépistage du covid-19 par RT PCR, correspondant à des prélèvements non analysés</w:t>
      </w:r>
    </w:p>
    <w:p w:rsidR="004F62A0" w:rsidRDefault="0022785A" w:rsidP="004F62A0">
      <w:pPr>
        <w:pStyle w:val="Textebrut"/>
      </w:pPr>
      <w:hyperlink r:id="rId88" w:history="1">
        <w:r w:rsidR="004F62A0" w:rsidRPr="00567243">
          <w:rPr>
            <w:rStyle w:val="Lienhypertexte"/>
          </w:rPr>
          <w:t>https://www.ordre.pharmacien.fr/les-communications/focus-sur/les-actualites/pharmacien-biologiste-medical-sanctionne-pour-avoir-transmis-des-resultats-negatifs-de-depistage-du-covid-19-non-analyses</w:t>
        </w:r>
      </w:hyperlink>
    </w:p>
    <w:p w:rsidR="006171DB" w:rsidRDefault="006171DB" w:rsidP="006171DB">
      <w:pPr>
        <w:pStyle w:val="Textebrut"/>
      </w:pPr>
      <w:r>
        <w:t xml:space="preserve">Fraude sur des tests </w:t>
      </w:r>
      <w:proofErr w:type="spellStart"/>
      <w:r>
        <w:t>Covid</w:t>
      </w:r>
      <w:proofErr w:type="spellEnd"/>
      <w:r>
        <w:t xml:space="preserve"> : un pharmacien biologiste sanctionné (Le Quotidien du pharmacien, 19/01/2024).</w:t>
      </w:r>
    </w:p>
    <w:p w:rsidR="006171DB" w:rsidRDefault="006171DB" w:rsidP="006171DB">
      <w:pPr>
        <w:pStyle w:val="Textebrut"/>
      </w:pPr>
      <w:r>
        <w:t xml:space="preserve">Un pharmacien biologiste a écopé d’une interdiction d’exercer la pharmacie pendant quatre ans, selon une décision que l’Ordre des pharmaciens vient de publier sur son site. L’homme avait transmis près de 500 résultats négatifs pour des tests </w:t>
      </w:r>
      <w:proofErr w:type="spellStart"/>
      <w:r>
        <w:t>Covid</w:t>
      </w:r>
      <w:proofErr w:type="spellEnd"/>
      <w:r>
        <w:t xml:space="preserve"> PCR qui n’avaient pas encore été analysés</w:t>
      </w:r>
    </w:p>
    <w:p w:rsidR="004F62A0" w:rsidRDefault="0022785A" w:rsidP="006171DB">
      <w:pPr>
        <w:pStyle w:val="Textebrut"/>
      </w:pPr>
      <w:hyperlink r:id="rId89" w:history="1">
        <w:r w:rsidR="006171DB" w:rsidRPr="00042AB4">
          <w:rPr>
            <w:rStyle w:val="Lienhypertexte"/>
          </w:rPr>
          <w:t>https://www.lequotidiendupharmacien.fr/exercice-pro/justice/fraude-sur-des-tests-covid-un-pharmacien-biologiste-sanctionne</w:t>
        </w:r>
      </w:hyperlink>
    </w:p>
    <w:p w:rsidR="006171DB" w:rsidRDefault="006171DB" w:rsidP="006171DB">
      <w:pPr>
        <w:pStyle w:val="Textebrut"/>
      </w:pPr>
    </w:p>
    <w:p w:rsidR="004F62A0" w:rsidRDefault="004F62A0" w:rsidP="004F62A0">
      <w:pPr>
        <w:pStyle w:val="Textebrut"/>
      </w:pPr>
      <w:r>
        <w:t>Substances dopantes : liste 2024 et outils pratiques (CNOP, 18/01/2024).</w:t>
      </w:r>
    </w:p>
    <w:p w:rsidR="004F62A0" w:rsidRDefault="004F62A0" w:rsidP="004F62A0">
      <w:pPr>
        <w:pStyle w:val="Textebrut"/>
      </w:pPr>
      <w:r>
        <w:t>Comme chaque année, la liste des interdictions dans le cadre de pratiques ou de compétitions sportives a été actualisée par l’Agence Mondiale Antidopage. Focus sur les principales nouveautés 2024 et les outils pratiques à disposition pour vous informer et vous aider à sensibiliser les sportifs</w:t>
      </w:r>
    </w:p>
    <w:p w:rsidR="004F62A0" w:rsidRDefault="0022785A" w:rsidP="004F62A0">
      <w:pPr>
        <w:pStyle w:val="Textebrut"/>
      </w:pPr>
      <w:hyperlink r:id="rId90" w:history="1">
        <w:r w:rsidR="004F62A0" w:rsidRPr="00567243">
          <w:rPr>
            <w:rStyle w:val="Lienhypertexte"/>
          </w:rPr>
          <w:t>https://www.ordre.pharmacien.fr/les-communications/focus-sur/les-actualites/substances-dopantes-liste-2024-et-outils-pratiques</w:t>
        </w:r>
      </w:hyperlink>
    </w:p>
    <w:p w:rsidR="004F62A0" w:rsidRDefault="004F62A0" w:rsidP="004F62A0">
      <w:pPr>
        <w:pStyle w:val="Textebrut"/>
      </w:pPr>
    </w:p>
    <w:p w:rsidR="004F62A0" w:rsidRDefault="00616BE2" w:rsidP="004F62A0">
      <w:pPr>
        <w:pStyle w:val="Textebrut"/>
      </w:pPr>
      <w:r w:rsidRPr="00616BE2">
        <w:t xml:space="preserve">MINSANTE n°2024_01 du 19/01/2024 - </w:t>
      </w:r>
      <w:proofErr w:type="spellStart"/>
      <w:r w:rsidRPr="00616BE2">
        <w:t>Beyfortus</w:t>
      </w:r>
      <w:proofErr w:type="spellEnd"/>
      <w:r w:rsidRPr="00616BE2">
        <w:t>® (</w:t>
      </w:r>
      <w:proofErr w:type="spellStart"/>
      <w:r w:rsidRPr="00616BE2">
        <w:t>nirsévimab</w:t>
      </w:r>
      <w:proofErr w:type="spellEnd"/>
      <w:r w:rsidRPr="00616BE2">
        <w:t>) 100 mg : Modalités de répartition du volume résiduel des doses</w:t>
      </w:r>
    </w:p>
    <w:p w:rsidR="00616BE2" w:rsidRDefault="0022785A" w:rsidP="004F62A0">
      <w:pPr>
        <w:pStyle w:val="Textebrut"/>
      </w:pPr>
      <w:hyperlink r:id="rId91" w:history="1">
        <w:r w:rsidR="00616BE2" w:rsidRPr="00567243">
          <w:rPr>
            <w:rStyle w:val="Lienhypertexte"/>
          </w:rPr>
          <w:t>https://peps.sante.gouv.fr/actu/2024/24_minsante-ccs_2024-01.pdf</w:t>
        </w:r>
      </w:hyperlink>
    </w:p>
    <w:p w:rsidR="00616BE2" w:rsidRDefault="00616BE2" w:rsidP="004F62A0">
      <w:pPr>
        <w:pStyle w:val="Textebrut"/>
      </w:pPr>
      <w:r w:rsidRPr="00616BE2">
        <w:t xml:space="preserve">MARS n°2024_01 du 19/01/2024 - </w:t>
      </w:r>
      <w:proofErr w:type="spellStart"/>
      <w:r w:rsidRPr="00616BE2">
        <w:t>Beyfortus</w:t>
      </w:r>
      <w:proofErr w:type="spellEnd"/>
      <w:r w:rsidRPr="00616BE2">
        <w:t>® (</w:t>
      </w:r>
      <w:proofErr w:type="spellStart"/>
      <w:r w:rsidRPr="00616BE2">
        <w:t>nirsévimab</w:t>
      </w:r>
      <w:proofErr w:type="spellEnd"/>
      <w:r w:rsidRPr="00616BE2">
        <w:t>) 100 mg : Modalités de répartition du volume résiduel des doses</w:t>
      </w:r>
    </w:p>
    <w:p w:rsidR="00616BE2" w:rsidRDefault="0022785A" w:rsidP="004F62A0">
      <w:pPr>
        <w:pStyle w:val="Textebrut"/>
      </w:pPr>
      <w:hyperlink r:id="rId92" w:history="1">
        <w:r w:rsidR="00616BE2" w:rsidRPr="00567243">
          <w:rPr>
            <w:rStyle w:val="Lienhypertexte"/>
          </w:rPr>
          <w:t>https://peps.sante.gouv.fr/actu/2024/24_mars_2024-01.pdf</w:t>
        </w:r>
      </w:hyperlink>
    </w:p>
    <w:p w:rsidR="00616BE2" w:rsidRDefault="00616BE2" w:rsidP="004F62A0">
      <w:pPr>
        <w:pStyle w:val="Textebrut"/>
      </w:pPr>
    </w:p>
    <w:p w:rsidR="006171DB" w:rsidRDefault="006171DB" w:rsidP="006171DB">
      <w:pPr>
        <w:pStyle w:val="Textebrut"/>
      </w:pPr>
      <w:r>
        <w:t>Grippe aviaire : vers un renforcement de la surveillance humaine pour détecter précocement toute transmission à l’être humain (</w:t>
      </w:r>
      <w:proofErr w:type="spellStart"/>
      <w:r>
        <w:t>SpF</w:t>
      </w:r>
      <w:proofErr w:type="spellEnd"/>
      <w:r>
        <w:t>, 19/01/2024).</w:t>
      </w:r>
    </w:p>
    <w:p w:rsidR="006171DB" w:rsidRDefault="006171DB" w:rsidP="006171DB">
      <w:pPr>
        <w:pStyle w:val="Textebrut"/>
      </w:pPr>
      <w:r>
        <w:t>Face à la dynamique actuelle de propagation de virus influenza aviaires hautement pathogène en Europe et en France, Santé publique France renforce sa surveillance afin de détecter précocement tout cas de transmission de ces virus à l’être humain</w:t>
      </w:r>
    </w:p>
    <w:p w:rsidR="00616BE2" w:rsidRDefault="0022785A" w:rsidP="006171DB">
      <w:pPr>
        <w:pStyle w:val="Textebrut"/>
      </w:pPr>
      <w:hyperlink r:id="rId93" w:history="1">
        <w:r w:rsidR="006171DB" w:rsidRPr="00042AB4">
          <w:rPr>
            <w:rStyle w:val="Lienhypertexte"/>
          </w:rPr>
          <w:t>https://www.santepubliquefrance.fr/les-actualites/2024/grippe-aviaire-vers-un-renforcement-de-la-surveillance-humaine-pour-detecter-precocement-toute-transmission-a-l-etre-humain</w:t>
        </w:r>
      </w:hyperlink>
    </w:p>
    <w:p w:rsidR="006171DB" w:rsidRDefault="006171DB" w:rsidP="006171DB">
      <w:pPr>
        <w:pStyle w:val="Textebrut"/>
      </w:pPr>
    </w:p>
    <w:p w:rsidR="006171DB" w:rsidRDefault="006171DB" w:rsidP="006171DB">
      <w:pPr>
        <w:pStyle w:val="Textebrut"/>
      </w:pPr>
      <w:r>
        <w:t>Avis du HCSP du 21/12/2023 relatif aux propositions d’évolution du cadre scientifique et réglementaire des greffes dérogatoires d'organes, de tissus ou de cellules de donneurs porteurs de marqueurs des hépatites B et C</w:t>
      </w:r>
    </w:p>
    <w:p w:rsidR="006171DB" w:rsidRDefault="0022785A" w:rsidP="006171DB">
      <w:pPr>
        <w:pStyle w:val="Textebrut"/>
      </w:pPr>
      <w:hyperlink r:id="rId94" w:history="1">
        <w:r w:rsidR="006171DB" w:rsidRPr="00042AB4">
          <w:rPr>
            <w:rStyle w:val="Lienhypertexte"/>
          </w:rPr>
          <w:t>https://www.hcsp.fr/Explore.cgi/avisrapportsdomaine?clefr=1365</w:t>
        </w:r>
      </w:hyperlink>
    </w:p>
    <w:p w:rsidR="006171DB" w:rsidRDefault="006171DB" w:rsidP="006171DB">
      <w:pPr>
        <w:pStyle w:val="Textebrut"/>
      </w:pPr>
    </w:p>
    <w:p w:rsidR="0064704E" w:rsidRDefault="0064704E" w:rsidP="0064704E">
      <w:pPr>
        <w:pStyle w:val="Textebrut"/>
      </w:pPr>
      <w:r>
        <w:t>Prise en charge des personnes infectées par les virus de l’hépatite B, C ou D (Recommandations de bonne pratique, HAS, actualisation du 19/01/2024)</w:t>
      </w:r>
    </w:p>
    <w:p w:rsidR="006171DB" w:rsidRDefault="0022785A" w:rsidP="0064704E">
      <w:pPr>
        <w:pStyle w:val="Textebrut"/>
      </w:pPr>
      <w:hyperlink r:id="rId95" w:history="1">
        <w:r w:rsidR="0064704E" w:rsidRPr="00042AB4">
          <w:rPr>
            <w:rStyle w:val="Lienhypertexte"/>
          </w:rPr>
          <w:t>https://www.has-sante.fr/jcms/p_3324682/fr/prise-en-charge-des-personnes-infectees-par-les-virus-de-l-hepatite-b-c-ou-d</w:t>
        </w:r>
      </w:hyperlink>
    </w:p>
    <w:p w:rsidR="0064704E" w:rsidRDefault="0064704E" w:rsidP="0064704E">
      <w:pPr>
        <w:pStyle w:val="Textebrut"/>
      </w:pPr>
    </w:p>
    <w:p w:rsidR="00466872" w:rsidRDefault="00466872" w:rsidP="00466872">
      <w:pPr>
        <w:pStyle w:val="Textebrut"/>
      </w:pPr>
      <w:r>
        <w:t>Communiqué du 22/01/2024 - Le Gouvernement acte des mesures en direction des médecins à diplôme étranger.</w:t>
      </w:r>
    </w:p>
    <w:p w:rsidR="00466872" w:rsidRDefault="00466872" w:rsidP="00466872">
      <w:pPr>
        <w:pStyle w:val="Textebrut"/>
      </w:pPr>
      <w:r>
        <w:t>Catherine Vautrin, ministre du Travail, de la Santé et des Solidarités, apporte un certain nombre de garanties et de précisions conformément au souhait du président de la République, exprimé le 16 janvier dernier, de sécuriser la situation des PADHUE (praticiens à diplôme hors Union européenne), médecins devenus indispensables à notre système de santé, à la fois pour les candidats ayant réussi les dernières EVC (épreuves de vérification des connaissances) et pour ceux qui y ont échoué</w:t>
      </w:r>
    </w:p>
    <w:p w:rsidR="0064704E" w:rsidRDefault="0022785A" w:rsidP="00466872">
      <w:pPr>
        <w:pStyle w:val="Textebrut"/>
      </w:pPr>
      <w:hyperlink r:id="rId96" w:history="1">
        <w:r w:rsidR="00466872" w:rsidRPr="00042AB4">
          <w:rPr>
            <w:rStyle w:val="Lienhypertexte"/>
          </w:rPr>
          <w:t>https://sante.gouv.fr/actualites/presse/communiques-de-presse/article/le-gouvernement-acte-des-mesures-en-direction-des-medecins-a-diplome-etranger</w:t>
        </w:r>
      </w:hyperlink>
    </w:p>
    <w:p w:rsidR="00466872" w:rsidRDefault="00466872" w:rsidP="00466872">
      <w:pPr>
        <w:pStyle w:val="Textebrut"/>
      </w:pPr>
    </w:p>
    <w:p w:rsidR="009E6814" w:rsidRDefault="009E6814" w:rsidP="009E6814">
      <w:pPr>
        <w:pStyle w:val="Textebrut"/>
      </w:pPr>
      <w:r>
        <w:t>L’ANSM est désormais chargée de fixer la liste des médicaments rétrocédés (ANSM, actualisation du 23/01/2024)</w:t>
      </w:r>
    </w:p>
    <w:p w:rsidR="009E6814" w:rsidRDefault="0022785A" w:rsidP="009E6814">
      <w:pPr>
        <w:pStyle w:val="Textebrut"/>
      </w:pPr>
      <w:hyperlink r:id="rId97" w:history="1">
        <w:r w:rsidR="009E6814" w:rsidRPr="00072300">
          <w:rPr>
            <w:rStyle w:val="Lienhypertexte"/>
          </w:rPr>
          <w:t>https://ansm.sante.fr/actualites/lansm-est-desormais-chargee-de-fixer-la-liste-des-medicaments-retrocedes</w:t>
        </w:r>
      </w:hyperlink>
    </w:p>
    <w:p w:rsidR="009E6814" w:rsidRDefault="009E6814" w:rsidP="009E6814">
      <w:pPr>
        <w:pStyle w:val="Textebrut"/>
      </w:pPr>
      <w:r>
        <w:lastRenderedPageBreak/>
        <w:t>La liste des médicaments en rétrocession est disponible sur le site de l’ANSM, celle du ministère n’étant plus actualisée :</w:t>
      </w:r>
    </w:p>
    <w:p w:rsidR="009E6814" w:rsidRDefault="009E6814" w:rsidP="009E6814">
      <w:pPr>
        <w:pStyle w:val="Textebrut"/>
      </w:pPr>
      <w:r>
        <w:t xml:space="preserve">L’ANSM poursuit son travail sur la liste de rétrocession des médicaments et publie une décision correspondant à une liste de rétrocession consolidée et actualisée. En effet, compte tenu des modifications successives de cette liste ou des informations relatives aux médicaments qui y sont inscrits, afin d’en améliorer la lisibilité et de faciliter sa connaissance et sa bonne application, cette décision intègre dans un document unique l’ensemble des médicaments avec autorisation de mise sur le marché (AMM) ou autorisation d’importation (AI) </w:t>
      </w:r>
      <w:proofErr w:type="spellStart"/>
      <w:r>
        <w:t>rétrocédables</w:t>
      </w:r>
      <w:proofErr w:type="spellEnd"/>
      <w:r>
        <w:t>.</w:t>
      </w:r>
    </w:p>
    <w:p w:rsidR="00466872" w:rsidRDefault="0022785A" w:rsidP="009E6814">
      <w:pPr>
        <w:pStyle w:val="Textebrut"/>
      </w:pPr>
      <w:hyperlink r:id="rId98" w:history="1">
        <w:r w:rsidR="009E6814" w:rsidRPr="00072300">
          <w:rPr>
            <w:rStyle w:val="Lienhypertexte"/>
          </w:rPr>
          <w:t>https://ansm.sante.fr/documents/reference/medicaments-en-retrocession</w:t>
        </w:r>
      </w:hyperlink>
    </w:p>
    <w:p w:rsidR="009E6814" w:rsidRDefault="009E6814" w:rsidP="009E6814">
      <w:pPr>
        <w:pStyle w:val="Textebrut"/>
      </w:pPr>
    </w:p>
    <w:p w:rsidR="00443563" w:rsidRDefault="00443563" w:rsidP="00443563">
      <w:pPr>
        <w:pStyle w:val="Textebrut"/>
      </w:pPr>
      <w:r>
        <w:t xml:space="preserve">« </w:t>
      </w:r>
      <w:proofErr w:type="spellStart"/>
      <w:r>
        <w:t>Panoramix</w:t>
      </w:r>
      <w:proofErr w:type="spellEnd"/>
      <w:r>
        <w:t xml:space="preserve"> » jugé pour trafic de stupéfiants (Le Quotidien du pharmacien, 23/01/2024).</w:t>
      </w:r>
    </w:p>
    <w:p w:rsidR="00443563" w:rsidRDefault="00443563" w:rsidP="00443563">
      <w:pPr>
        <w:pStyle w:val="Textebrut"/>
      </w:pPr>
      <w:r>
        <w:t xml:space="preserve">Jean-Yves T, surnommé le « </w:t>
      </w:r>
      <w:proofErr w:type="spellStart"/>
      <w:r>
        <w:t>Panoramix</w:t>
      </w:r>
      <w:proofErr w:type="spellEnd"/>
      <w:r>
        <w:t xml:space="preserve"> » de la musculation, risque jusqu’à 7 ans de prison pour trafic de médicaments et exercice illégal de la profession de pharmacien. L’homme confectionnait des stéroïdes anabolisants à partir de principes actifs achetés en Chine, qu’il revendait ensuite sur son site. Ce trafic lui aurait rapporté 120 000 euros en un an et demi</w:t>
      </w:r>
    </w:p>
    <w:p w:rsidR="009E6814" w:rsidRDefault="0022785A" w:rsidP="00443563">
      <w:pPr>
        <w:pStyle w:val="Textebrut"/>
      </w:pPr>
      <w:hyperlink r:id="rId99" w:history="1">
        <w:r w:rsidR="00443563" w:rsidRPr="00072300">
          <w:rPr>
            <w:rStyle w:val="Lienhypertexte"/>
          </w:rPr>
          <w:t>https://www.lequotidiendupharmacien.fr/exercice-pro/justice/panoramix-juge-pour-trafic-de-stupefiants</w:t>
        </w:r>
      </w:hyperlink>
    </w:p>
    <w:p w:rsidR="00443563" w:rsidRDefault="00443563" w:rsidP="00443563">
      <w:pPr>
        <w:pStyle w:val="Textebrut"/>
      </w:pPr>
    </w:p>
    <w:p w:rsidR="009D3A58" w:rsidRDefault="009D3A58" w:rsidP="009D3A58">
      <w:pPr>
        <w:pStyle w:val="Textebrut"/>
      </w:pPr>
      <w:r>
        <w:t>Retour d’information sur le PRAC de janvier 2024 (8 – 11 janvier), ANSM, 24/01/2024.</w:t>
      </w:r>
    </w:p>
    <w:p w:rsidR="009D3A58" w:rsidRDefault="009D3A58" w:rsidP="009D3A58">
      <w:pPr>
        <w:pStyle w:val="Textebrut"/>
      </w:pPr>
      <w:r>
        <w:t xml:space="preserve">Le comité de pharmacovigilance (PRAC) de l’Agence européenne des médicaments (EMA) recommande la mise en place de mesures de réduction du risque pour les patients de sexe masculin traités par </w:t>
      </w:r>
      <w:proofErr w:type="spellStart"/>
      <w:r>
        <w:t>valproate</w:t>
      </w:r>
      <w:proofErr w:type="spellEnd"/>
      <w:r>
        <w:t xml:space="preserve"> ou ses dérivés en raison d’un risque potentiel de troubles </w:t>
      </w:r>
      <w:proofErr w:type="spellStart"/>
      <w:r>
        <w:t>neurodéveloppementaux</w:t>
      </w:r>
      <w:proofErr w:type="spellEnd"/>
      <w:r>
        <w:t xml:space="preserve"> chez les enfants dont le père a été traité dans les trois mois précédant la conception.</w:t>
      </w:r>
    </w:p>
    <w:p w:rsidR="009D3A58" w:rsidRPr="009D3A58" w:rsidRDefault="009D3A58" w:rsidP="009D3A58">
      <w:pPr>
        <w:pStyle w:val="Textebrut"/>
        <w:rPr>
          <w:b/>
        </w:rPr>
      </w:pPr>
      <w:r w:rsidRPr="009D3A58">
        <w:rPr>
          <w:b/>
        </w:rPr>
        <w:t xml:space="preserve">Par ailleurs, le PRAC initie une revue de sécurité portant sur les cancers secondaires avec six médicaments de thérapie génique (« CAR-T </w:t>
      </w:r>
      <w:proofErr w:type="spellStart"/>
      <w:r w:rsidRPr="009D3A58">
        <w:rPr>
          <w:b/>
        </w:rPr>
        <w:t>cells</w:t>
      </w:r>
      <w:proofErr w:type="spellEnd"/>
      <w:r w:rsidRPr="009D3A58">
        <w:rPr>
          <w:b/>
        </w:rPr>
        <w:t xml:space="preserve"> ») indiqués dans le traitement de cancers hématologiques</w:t>
      </w:r>
    </w:p>
    <w:p w:rsidR="00443563" w:rsidRDefault="0022785A" w:rsidP="009D3A58">
      <w:pPr>
        <w:pStyle w:val="Textebrut"/>
      </w:pPr>
      <w:hyperlink r:id="rId100" w:history="1">
        <w:r w:rsidR="009D3A58" w:rsidRPr="00660D09">
          <w:rPr>
            <w:rStyle w:val="Lienhypertexte"/>
          </w:rPr>
          <w:t>https://ansm.sante.fr/actualites/retour-dinformation-sur-le-prac-de-janvier-2024-8-11-janvier</w:t>
        </w:r>
      </w:hyperlink>
    </w:p>
    <w:p w:rsidR="009D3A58" w:rsidRDefault="009D3A58" w:rsidP="009D3A58">
      <w:pPr>
        <w:pStyle w:val="Textebrut"/>
      </w:pPr>
    </w:p>
    <w:p w:rsidR="005F46C3" w:rsidRDefault="005F46C3" w:rsidP="005F46C3">
      <w:pPr>
        <w:pStyle w:val="Textebrut"/>
      </w:pPr>
      <w:r>
        <w:t>Comité économique des produits de santé - Rapport d'activité 2022 (Ministère de la santé, 23/01/2024)</w:t>
      </w:r>
      <w:r w:rsidRPr="005F46C3">
        <w:t xml:space="preserve">. Concerne notamment les </w:t>
      </w:r>
      <w:r w:rsidR="005538E3" w:rsidRPr="005538E3">
        <w:t>doctrines</w:t>
      </w:r>
      <w:r w:rsidR="005538E3">
        <w:t xml:space="preserve"> </w:t>
      </w:r>
      <w:r w:rsidRPr="005F46C3">
        <w:t>de fixation du prix du médicament</w:t>
      </w:r>
    </w:p>
    <w:p w:rsidR="009D3A58" w:rsidRDefault="0022785A" w:rsidP="005F46C3">
      <w:pPr>
        <w:pStyle w:val="Textebrut"/>
      </w:pPr>
      <w:hyperlink r:id="rId101" w:history="1">
        <w:r w:rsidR="005F46C3" w:rsidRPr="00660D09">
          <w:rPr>
            <w:rStyle w:val="Lienhypertexte"/>
          </w:rPr>
          <w:t>https://www.travail-solidarite.gouv.fr/IMG/pdf/ra_ceps_2022.pdf</w:t>
        </w:r>
      </w:hyperlink>
    </w:p>
    <w:p w:rsidR="005F46C3" w:rsidRDefault="005F46C3" w:rsidP="005F46C3">
      <w:pPr>
        <w:pStyle w:val="Textebrut"/>
      </w:pPr>
    </w:p>
    <w:p w:rsidR="005209D5" w:rsidRDefault="005209D5" w:rsidP="005209D5">
      <w:pPr>
        <w:pStyle w:val="Textebrut"/>
      </w:pPr>
      <w:r>
        <w:t>Campagne de vaccination contre la grippe saisonnière 2023-2024 (ameli.fr, 22/01/2024).</w:t>
      </w:r>
    </w:p>
    <w:p w:rsidR="005209D5" w:rsidRDefault="005209D5" w:rsidP="005209D5">
      <w:pPr>
        <w:pStyle w:val="Textebrut"/>
      </w:pPr>
      <w:r>
        <w:t xml:space="preserve">La vaccination contre la grippe saisonnière se déroule depuis le 17 octobre 2023 et elle a été </w:t>
      </w:r>
      <w:r w:rsidRPr="005209D5">
        <w:rPr>
          <w:b/>
        </w:rPr>
        <w:t>prolongée jusqu'au 29 février 2024</w:t>
      </w:r>
      <w:r>
        <w:t>. La campagne est menée conjointement à la campagne de vaccination contre le Covid-19</w:t>
      </w:r>
    </w:p>
    <w:p w:rsidR="005F46C3" w:rsidRDefault="0022785A" w:rsidP="005209D5">
      <w:pPr>
        <w:pStyle w:val="Textebrut"/>
      </w:pPr>
      <w:hyperlink r:id="rId102" w:history="1">
        <w:r w:rsidR="005209D5" w:rsidRPr="00F41ECF">
          <w:rPr>
            <w:rStyle w:val="Lienhypertexte"/>
          </w:rPr>
          <w:t>https://www.ameli.fr/etablissement/sante-prevention/vaccination/vaccination-grippe-saisonniere</w:t>
        </w:r>
      </w:hyperlink>
    </w:p>
    <w:p w:rsidR="00ED17EA" w:rsidRDefault="00ED17EA" w:rsidP="00ED17EA">
      <w:pPr>
        <w:pStyle w:val="Textebrut"/>
      </w:pPr>
      <w:r>
        <w:t>Grippe : prolongation de la campagne de vaccination (CNOP, 25/01/2024).</w:t>
      </w:r>
    </w:p>
    <w:p w:rsidR="00ED17EA" w:rsidRDefault="00ED17EA" w:rsidP="00ED17EA">
      <w:pPr>
        <w:pStyle w:val="Textebrut"/>
      </w:pPr>
      <w:r>
        <w:t>Compte tenu de la situation épidémiologique, la campagne de vaccination contre la grippe saisonnière est prolongée jusqu’au 29 février 2024</w:t>
      </w:r>
    </w:p>
    <w:p w:rsidR="005209D5" w:rsidRDefault="0022785A" w:rsidP="00ED17EA">
      <w:pPr>
        <w:pStyle w:val="Textebrut"/>
      </w:pPr>
      <w:hyperlink r:id="rId103" w:history="1">
        <w:r w:rsidR="00ED17EA" w:rsidRPr="00C11AF8">
          <w:rPr>
            <w:rStyle w:val="Lienhypertexte"/>
          </w:rPr>
          <w:t>https://www.ordre.pharmacien.fr/les-communications/focus-sur/les-actualites/grippe-prolongation-de-la-campagne-de-vaccination</w:t>
        </w:r>
      </w:hyperlink>
    </w:p>
    <w:p w:rsidR="00ED17EA" w:rsidRDefault="00ED17EA" w:rsidP="00ED17EA">
      <w:pPr>
        <w:pStyle w:val="Textebrut"/>
      </w:pPr>
    </w:p>
    <w:p w:rsidR="00ED17EA" w:rsidRDefault="00ED17EA" w:rsidP="00ED17EA">
      <w:pPr>
        <w:pStyle w:val="Textebrut"/>
      </w:pPr>
      <w:r>
        <w:t>Infections respiratoires aiguës (grippe, bronchiolite, COVID-19). Bulletin du 24 janvier 2024 (</w:t>
      </w:r>
      <w:proofErr w:type="spellStart"/>
      <w:r>
        <w:t>SpF</w:t>
      </w:r>
      <w:proofErr w:type="spellEnd"/>
      <w:r>
        <w:t>, 24/01/2024).</w:t>
      </w:r>
    </w:p>
    <w:p w:rsidR="00ED17EA" w:rsidRDefault="00ED17EA" w:rsidP="00ED17EA">
      <w:pPr>
        <w:pStyle w:val="Textebrut"/>
      </w:pPr>
      <w:r>
        <w:t>Infections respiratoires aiguës (IRA) : Activité en augmentation en médecine de ville et globalement stable à l'hôpital.</w:t>
      </w:r>
    </w:p>
    <w:p w:rsidR="00ED17EA" w:rsidRDefault="00ED17EA" w:rsidP="00ED17EA">
      <w:pPr>
        <w:pStyle w:val="Textebrut"/>
      </w:pPr>
      <w:r>
        <w:t>Bronchiolite : En France hexagonale, poursuite de la diminution des indicateurs, excepté une stabilisation à un niveau modéré des actes médicaux SOS Médecins. Ensemble des régions de l'Hexagone hors épidémie. Trois régions d'outre-mer toujours en phase épidémique.</w:t>
      </w:r>
    </w:p>
    <w:p w:rsidR="00ED17EA" w:rsidRDefault="00ED17EA" w:rsidP="00ED17EA">
      <w:pPr>
        <w:pStyle w:val="Textebrut"/>
      </w:pPr>
      <w:r>
        <w:t>Grippe : Intensification de l'épidémie avec augmentation des indicateurs dans l’Hexagone. Toutes les régions hexagonales en épidémie suite au passage de la Bretagne et de la Normandie en phase épidémique cette semaine. En Outre-mer, passage en phase épidémique de la Martinique</w:t>
      </w:r>
    </w:p>
    <w:p w:rsidR="00ED17EA" w:rsidRDefault="0022785A" w:rsidP="00ED17EA">
      <w:pPr>
        <w:pStyle w:val="Textebrut"/>
      </w:pPr>
      <w:hyperlink r:id="rId104" w:history="1">
        <w:r w:rsidR="00ED17EA" w:rsidRPr="00C11AF8">
          <w:rPr>
            <w:rStyle w:val="Lienhypertexte"/>
          </w:rPr>
          <w:t>https://www.santepubliquefrance.fr/maladies-et-traumatismes/maladies-et-infections-respiratoires/grippe/documents/bulletin-national/infections-respiratoires-aigues-grippe-bronchiolite-covid-19-.-bulletin-du-24-janvier-2024</w:t>
        </w:r>
      </w:hyperlink>
    </w:p>
    <w:p w:rsidR="00ED17EA" w:rsidRDefault="00ED17EA" w:rsidP="00ED17EA">
      <w:pPr>
        <w:pStyle w:val="Textebrut"/>
      </w:pPr>
    </w:p>
    <w:p w:rsidR="005209D5" w:rsidRDefault="005209D5" w:rsidP="005209D5">
      <w:pPr>
        <w:pStyle w:val="Textebrut"/>
      </w:pPr>
      <w:r>
        <w:lastRenderedPageBreak/>
        <w:t>Rougeole : l’OMS appelle à intensifier la vaccination en Europe (Le Quotidien du pharmacien, 24/01/2024).</w:t>
      </w:r>
    </w:p>
    <w:p w:rsidR="005209D5" w:rsidRDefault="005209D5" w:rsidP="005209D5">
      <w:pPr>
        <w:pStyle w:val="Textebrut"/>
      </w:pPr>
      <w:r>
        <w:t xml:space="preserve">42 200 cas de rougeole, contre 941 un an auparavant, ont été signalés en 2023 dans la région Europe de l’Organisation mondiale de la santé. Une hausse qui pointe des lacunes importantes dans la vaccination des tout-petits depuis les années </w:t>
      </w:r>
      <w:proofErr w:type="spellStart"/>
      <w:r>
        <w:t>Covid</w:t>
      </w:r>
      <w:proofErr w:type="spellEnd"/>
    </w:p>
    <w:p w:rsidR="00A504DD" w:rsidRDefault="0022785A" w:rsidP="005209D5">
      <w:pPr>
        <w:pStyle w:val="Textebrut"/>
      </w:pPr>
      <w:hyperlink r:id="rId105" w:history="1">
        <w:r w:rsidR="005209D5" w:rsidRPr="00F41ECF">
          <w:rPr>
            <w:rStyle w:val="Lienhypertexte"/>
          </w:rPr>
          <w:t>https://www.lequotidiendupharmacien.fr/nouvelles-missions/rougeole-loms-appelle-intensifier-la-vaccination-en-europe</w:t>
        </w:r>
      </w:hyperlink>
    </w:p>
    <w:p w:rsidR="005209D5" w:rsidRDefault="005209D5" w:rsidP="005209D5">
      <w:pPr>
        <w:pStyle w:val="Textebrut"/>
      </w:pPr>
    </w:p>
    <w:p w:rsidR="00B425BC" w:rsidRDefault="00B425BC" w:rsidP="00B425BC">
      <w:pPr>
        <w:pStyle w:val="Textebrut"/>
      </w:pPr>
      <w:r>
        <w:t xml:space="preserve">L'UE finance des équipes de détection et de surveillance </w:t>
      </w:r>
      <w:proofErr w:type="spellStart"/>
      <w:r>
        <w:t>rescEU</w:t>
      </w:r>
      <w:proofErr w:type="spellEnd"/>
      <w:r>
        <w:t xml:space="preserve"> en vue de renforcer la préparation aux urgences d'ordre chimique, biologique, radiologique et nucléaire (Commission européenne, 25/01/2024).</w:t>
      </w:r>
    </w:p>
    <w:p w:rsidR="00B425BC" w:rsidRDefault="00B425BC" w:rsidP="00B425BC">
      <w:pPr>
        <w:pStyle w:val="Textebrut"/>
      </w:pPr>
      <w:r>
        <w:t>La Commission alloue près de 70 millions d'euros à la constitution de nouvelles équipes et au développement de nouveaux équipements afin d'élever le niveau de préparation et de réaction aux risques chimiques, biologiques, radiologiques et nucléaires</w:t>
      </w:r>
    </w:p>
    <w:p w:rsidR="005209D5" w:rsidRDefault="0022785A" w:rsidP="00B425BC">
      <w:pPr>
        <w:pStyle w:val="Textebrut"/>
      </w:pPr>
      <w:hyperlink r:id="rId106" w:history="1">
        <w:r w:rsidR="00B425BC" w:rsidRPr="00F41ECF">
          <w:rPr>
            <w:rStyle w:val="Lienhypertexte"/>
          </w:rPr>
          <w:t>https://france.representation.ec.europa.eu/informations/lue-finance-des-equipes-de-detection-et-de-surveillance-resceu-en-vue-de-renforcer-la-preparation-2024-01-25_fr</w:t>
        </w:r>
      </w:hyperlink>
    </w:p>
    <w:p w:rsidR="00B425BC" w:rsidRDefault="00B425BC" w:rsidP="00B425BC">
      <w:pPr>
        <w:pStyle w:val="Textebrut"/>
      </w:pPr>
    </w:p>
    <w:p w:rsidR="00B425BC" w:rsidRDefault="00B425BC" w:rsidP="00B425BC">
      <w:pPr>
        <w:pStyle w:val="Textebrut"/>
      </w:pPr>
      <w:r>
        <w:t>Lancement des bilans de prévention, nouveaux temps d’échange dédiés à la prévention en santé (ameli.fr, 25/01/2024)</w:t>
      </w:r>
    </w:p>
    <w:p w:rsidR="00B425BC" w:rsidRDefault="0022785A" w:rsidP="00B425BC">
      <w:pPr>
        <w:pStyle w:val="Textebrut"/>
      </w:pPr>
      <w:hyperlink r:id="rId107" w:history="1">
        <w:r w:rsidR="00B425BC" w:rsidRPr="00F41ECF">
          <w:rPr>
            <w:rStyle w:val="Lienhypertexte"/>
          </w:rPr>
          <w:t>https://www.ameli.fr/pharmacien/actualites/lancement-des-bilans-de-prevention-nouveaux-temps-d-echange-dedies-la-prevention-en-sante</w:t>
        </w:r>
      </w:hyperlink>
    </w:p>
    <w:p w:rsidR="00CA3734" w:rsidRDefault="00CA3734" w:rsidP="00CA3734">
      <w:pPr>
        <w:pStyle w:val="Textebrut"/>
      </w:pPr>
      <w:r>
        <w:t>Mon bilan prévention, un temps d’échange dédié à la prévention (ameli.fr, 25/01/2024).</w:t>
      </w:r>
    </w:p>
    <w:p w:rsidR="00CA3734" w:rsidRDefault="00CA3734" w:rsidP="00CA3734">
      <w:pPr>
        <w:pStyle w:val="Textebrut"/>
      </w:pPr>
      <w:r>
        <w:t xml:space="preserve">Mise à disposition des outils (livret de présentation, </w:t>
      </w:r>
      <w:proofErr w:type="spellStart"/>
      <w:r>
        <w:t>autoquestionnaires</w:t>
      </w:r>
      <w:proofErr w:type="spellEnd"/>
      <w:r>
        <w:t>, fiches d’aide au repérage des risques) de la réalisation du bilan de prévention.</w:t>
      </w:r>
    </w:p>
    <w:p w:rsidR="00B425BC" w:rsidRDefault="0022785A" w:rsidP="00CA3734">
      <w:pPr>
        <w:pStyle w:val="Textebrut"/>
      </w:pPr>
      <w:hyperlink r:id="rId108" w:history="1">
        <w:r w:rsidR="00CA3734" w:rsidRPr="00F41ECF">
          <w:rPr>
            <w:rStyle w:val="Lienhypertexte"/>
          </w:rPr>
          <w:t>https://www.ameli.fr/pharmacien/sante-prevention/bilan-prevention-ages-cles</w:t>
        </w:r>
      </w:hyperlink>
    </w:p>
    <w:p w:rsidR="00CA3734" w:rsidRDefault="00CA3734" w:rsidP="00CA3734">
      <w:pPr>
        <w:pStyle w:val="Textebrut"/>
      </w:pPr>
    </w:p>
    <w:p w:rsidR="00ED17EA" w:rsidRDefault="00ED17EA" w:rsidP="00ED17EA">
      <w:pPr>
        <w:pStyle w:val="Textebrut"/>
      </w:pPr>
      <w:r>
        <w:t>Cancer du col utérin : campagne de sensibilisation sur son dépistage (CNOP, 25/01/2024).</w:t>
      </w:r>
    </w:p>
    <w:p w:rsidR="00ED17EA" w:rsidRDefault="00ED17EA" w:rsidP="00ED17EA">
      <w:pPr>
        <w:pStyle w:val="Textebrut"/>
      </w:pPr>
      <w:proofErr w:type="spellStart"/>
      <w:r>
        <w:t>L’INCa</w:t>
      </w:r>
      <w:proofErr w:type="spellEnd"/>
      <w:r>
        <w:t xml:space="preserve"> mène une campagne d’information sur le dépistage organisé du cancer du col de l’utérus. Des outils sont mis à votre disposition pour sensibiliser les femmes concernées</w:t>
      </w:r>
    </w:p>
    <w:p w:rsidR="00CA3734" w:rsidRDefault="0022785A" w:rsidP="00ED17EA">
      <w:pPr>
        <w:pStyle w:val="Textebrut"/>
      </w:pPr>
      <w:hyperlink r:id="rId109" w:history="1">
        <w:r w:rsidR="00ED17EA" w:rsidRPr="00C11AF8">
          <w:rPr>
            <w:rStyle w:val="Lienhypertexte"/>
          </w:rPr>
          <w:t>https://www.ordre.pharmacien.fr/les-communications/focus-sur/les-actualites/cancer-du-col-uterin-campagne-de-sensibilisation-sur-son-depistage</w:t>
        </w:r>
      </w:hyperlink>
    </w:p>
    <w:p w:rsidR="00ED17EA" w:rsidRDefault="00ED17EA" w:rsidP="00ED17EA">
      <w:pPr>
        <w:pStyle w:val="Textebrut"/>
      </w:pPr>
      <w:r>
        <w:t>Prévention des cancers du col de l’utérus : dépistage et vaccination (Prescrire, 23/01/2023)</w:t>
      </w:r>
    </w:p>
    <w:p w:rsidR="00ED17EA" w:rsidRDefault="0022785A" w:rsidP="00ED17EA">
      <w:pPr>
        <w:pStyle w:val="Textebrut"/>
      </w:pPr>
      <w:hyperlink r:id="rId110" w:history="1">
        <w:r w:rsidR="00D84235" w:rsidRPr="00C11AF8">
          <w:rPr>
            <w:rStyle w:val="Lienhypertexte"/>
          </w:rPr>
          <w:t>https://peps.sante.gouv.fr/actu/2024/24_prescrire_prevention-cancer-col-uterus_23012024.pdf</w:t>
        </w:r>
      </w:hyperlink>
    </w:p>
    <w:p w:rsidR="00D84235" w:rsidRDefault="00D84235" w:rsidP="00ED17EA">
      <w:pPr>
        <w:pStyle w:val="Textebrut"/>
      </w:pPr>
    </w:p>
    <w:p w:rsidR="00ED17EA" w:rsidRDefault="00ED17EA" w:rsidP="00ED17EA">
      <w:pPr>
        <w:pStyle w:val="Textebrut"/>
      </w:pPr>
      <w:r>
        <w:t>Gastro-entérites aiguës. Bulletin du 23 janvier 2024 (</w:t>
      </w:r>
      <w:proofErr w:type="spellStart"/>
      <w:r>
        <w:t>SpF</w:t>
      </w:r>
      <w:proofErr w:type="spellEnd"/>
      <w:r>
        <w:t>, 25/01/2024).</w:t>
      </w:r>
    </w:p>
    <w:p w:rsidR="00ED17EA" w:rsidRDefault="00ED17EA" w:rsidP="00ED17EA">
      <w:pPr>
        <w:pStyle w:val="Textebrut"/>
      </w:pPr>
      <w:r>
        <w:t>Le taux d’incidence de diarrhée aiguë rapporté par le réseau Sentinelles est en augmentation mais reste à un faible niveau d’activité par rapport à ceux observés habituellement en cette période. La proportion de consultations pour GEA pour SOS Médecins est comparable à la saison précédente et se situe entre les minimums et maximums historiques. La proportion de passages aux urgences pour GEA chez les moins de 5 ans est en hausse depuis plusieurs semaines, encadrée par les minimums et maximums historiques</w:t>
      </w:r>
    </w:p>
    <w:p w:rsidR="00ED17EA" w:rsidRDefault="0022785A" w:rsidP="00ED17EA">
      <w:pPr>
        <w:pStyle w:val="Textebrut"/>
      </w:pPr>
      <w:hyperlink r:id="rId111" w:history="1">
        <w:r w:rsidR="00ED17EA" w:rsidRPr="00C11AF8">
          <w:rPr>
            <w:rStyle w:val="Lienhypertexte"/>
          </w:rPr>
          <w:t>https://www.santepubliquefrance.fr/maladies-et-traumatismes/maladies-infectieuses-d-origine-alimentaire/gastro-enterites-aigues/documents/bulletin-national/gastro-enterites-aigues.-bulletin-du-23-janvier-2024</w:t>
        </w:r>
      </w:hyperlink>
    </w:p>
    <w:p w:rsidR="00ED17EA" w:rsidRDefault="00ED17EA" w:rsidP="00ED17EA">
      <w:pPr>
        <w:pStyle w:val="Textebrut"/>
      </w:pPr>
    </w:p>
    <w:p w:rsidR="00FF171C" w:rsidRDefault="00FF171C" w:rsidP="00FF171C">
      <w:pPr>
        <w:pStyle w:val="Textebrut"/>
      </w:pPr>
      <w:r>
        <w:t>La modernisation de l’État : des méthodes renouvelées, une ambition limitée (Cour des comptes, 26/01/2024).</w:t>
      </w:r>
    </w:p>
    <w:p w:rsidR="00FF171C" w:rsidRDefault="00FF171C" w:rsidP="00FF171C">
      <w:pPr>
        <w:pStyle w:val="Textebrut"/>
      </w:pPr>
      <w:r>
        <w:t>La Cour a réalisé une enquête sur les démarches de modernisation engagées au cours des cinq dernières années, à la suite du plan de transformation « Action publique 2022 ». L’ambition initiale a laissé rapidement la place à des initiatives plus dispersées et l’objectif de recherche d’économies budgétaires a été relégué au second plan, sous l’effet cumulé des crises sociales (gilets jaunes), sanitaires (Covid-19) et énergétique (guerre en Ukraine)</w:t>
      </w:r>
    </w:p>
    <w:p w:rsidR="00FF171C" w:rsidRDefault="0022785A" w:rsidP="00FF171C">
      <w:pPr>
        <w:pStyle w:val="Textebrut"/>
      </w:pPr>
      <w:hyperlink r:id="rId112" w:history="1">
        <w:r w:rsidR="00FF171C" w:rsidRPr="00C11AF8">
          <w:rPr>
            <w:rStyle w:val="Lienhypertexte"/>
          </w:rPr>
          <w:t>https://www.ccomptes.fr/fr/publications/la-modernisation-de-letat-des-methodes-renouvelees-une-ambition-limitee</w:t>
        </w:r>
      </w:hyperlink>
    </w:p>
    <w:p w:rsidR="00FF171C" w:rsidRDefault="00FF171C" w:rsidP="00FF171C">
      <w:pPr>
        <w:pStyle w:val="Textebrut"/>
      </w:pPr>
      <w:r>
        <w:t>Certains points sont inquiétants :</w:t>
      </w:r>
    </w:p>
    <w:p w:rsidR="00ED17EA" w:rsidRDefault="00FF171C" w:rsidP="00FF171C">
      <w:pPr>
        <w:pStyle w:val="Textebrut"/>
      </w:pPr>
      <w:r>
        <w:t xml:space="preserve">« Face au rapide accroissement du coût de la dette et pour respecter les engagements européens de la France, il est désormais indispensable de remettre au service de la maîtrise des finances publiques le levier de la </w:t>
      </w:r>
      <w:r>
        <w:lastRenderedPageBreak/>
        <w:t>modernisation de l’État. À cet effet, le rapport de la Cour formule plusieurs propositions : recourir plus systématiquement à la contractualisation pour les grands projets de modernisation, en conditionnant les financements à l’atteinte d’objectifs précis; s’inspirer du système de « coupes automatiques de productivité » pratiqué dans plusieurs pays étrangers ; utiliser les outils de pilotage des politiques prioritaires du gouvernement (Pilote) pour s’assurer de la mise en œuvre effective des mesures d’économies issues des « revues de dépenses ». »</w:t>
      </w:r>
    </w:p>
    <w:p w:rsidR="00FF171C" w:rsidRDefault="00FF171C" w:rsidP="00FF171C">
      <w:pPr>
        <w:pStyle w:val="Textebrut"/>
      </w:pPr>
    </w:p>
    <w:p w:rsidR="00A45730" w:rsidRDefault="00A45730" w:rsidP="00A45730">
      <w:pPr>
        <w:pStyle w:val="Textebrut"/>
      </w:pPr>
      <w:r>
        <w:t>La licence pro préparateur en pharmacie dès la rentrée 2025 ! (Le Quotidien du pharmacien, 26/01/2024). Article réservé aux abonnés</w:t>
      </w:r>
    </w:p>
    <w:p w:rsidR="00A45730" w:rsidRDefault="00A45730" w:rsidP="00A45730">
      <w:pPr>
        <w:pStyle w:val="Textebrut"/>
      </w:pPr>
      <w:r>
        <w:t xml:space="preserve">Philippe </w:t>
      </w:r>
      <w:proofErr w:type="spellStart"/>
      <w:r>
        <w:t>Besset</w:t>
      </w:r>
      <w:proofErr w:type="spellEnd"/>
      <w:r>
        <w:t>, président de la Fédération des syndicats pharmaceutiques de France (FSPF), a annoncé que la première rentrée pour la licence professionnelle de préparateur/technicien en pharmacie d’officine serait accessible en 2025. Le contenu de ce cursus reste à valider</w:t>
      </w:r>
    </w:p>
    <w:p w:rsidR="00FF171C" w:rsidRDefault="0022785A" w:rsidP="00A45730">
      <w:pPr>
        <w:pStyle w:val="Textebrut"/>
      </w:pPr>
      <w:hyperlink r:id="rId113" w:history="1">
        <w:r w:rsidR="00A45730" w:rsidRPr="009A54DA">
          <w:rPr>
            <w:rStyle w:val="Lienhypertexte"/>
          </w:rPr>
          <w:t>https://www.lequotidiendupharmacien.fr/exercice-pro/etudes-formation-continue/la-licence-pro-preparateur-en-pharmacie-des-la-rentree-2025</w:t>
        </w:r>
      </w:hyperlink>
    </w:p>
    <w:p w:rsidR="00A45730" w:rsidRDefault="00A45730" w:rsidP="00A45730">
      <w:pPr>
        <w:pStyle w:val="Textebrut"/>
      </w:pPr>
    </w:p>
    <w:p w:rsidR="00A45730" w:rsidRDefault="00A45730" w:rsidP="00A45730">
      <w:pPr>
        <w:pStyle w:val="Textebrut"/>
      </w:pPr>
      <w:r>
        <w:t>Certification périodique des pharmaciens : c’est pour bientôt ! (Le Quotidien du pharmacien, 26/01/2024).</w:t>
      </w:r>
    </w:p>
    <w:p w:rsidR="00A45730" w:rsidRDefault="00A45730" w:rsidP="00A45730">
      <w:pPr>
        <w:pStyle w:val="Textebrut"/>
      </w:pPr>
      <w:r>
        <w:t>Les pharmaciens pourront désormais se conformer à l’obligation qui leur est faite de répondre tous les six ans aux exigences de la certification</w:t>
      </w:r>
    </w:p>
    <w:p w:rsidR="00A45730" w:rsidRDefault="0022785A" w:rsidP="00A45730">
      <w:pPr>
        <w:pStyle w:val="Textebrut"/>
      </w:pPr>
      <w:hyperlink r:id="rId114" w:history="1">
        <w:r w:rsidR="00A45730" w:rsidRPr="009A54DA">
          <w:rPr>
            <w:rStyle w:val="Lienhypertexte"/>
          </w:rPr>
          <w:t>https://www.lequotidiendupharmacien.fr/exercice-pro/etudes-formation-continue/certification-periodique-des-pharmaciens-cest-pour-bientot</w:t>
        </w:r>
      </w:hyperlink>
    </w:p>
    <w:p w:rsidR="00A45730" w:rsidRDefault="00A45730" w:rsidP="00A45730">
      <w:pPr>
        <w:pStyle w:val="Textebrut"/>
      </w:pPr>
    </w:p>
    <w:p w:rsidR="00A45730" w:rsidRDefault="00A45730" w:rsidP="00A45730">
      <w:pPr>
        <w:pStyle w:val="Textebrut"/>
      </w:pPr>
      <w:r>
        <w:t>Certains produits de contraste vont finalement rester dans le circuit de ville (Le Quotidien du pharmacien, 26/01/2024).</w:t>
      </w:r>
    </w:p>
    <w:p w:rsidR="00A45730" w:rsidRDefault="00A45730" w:rsidP="00A45730">
      <w:pPr>
        <w:pStyle w:val="Textebrut"/>
      </w:pPr>
      <w:r>
        <w:t>La forfaitisation de la prise en charge par l’assurance-maladie des produits de contraste utilisés dans le cadre des examens d’IRM et de scanners doit prendre effet le 1er mars. La direction de la Sécurité sociale (DSS) a toutefois informé les syndicats que deux types de produits de contraste resteraient finalement dans le circuit actuel de distribution</w:t>
      </w:r>
    </w:p>
    <w:p w:rsidR="00A45730" w:rsidRDefault="0022785A" w:rsidP="00A45730">
      <w:pPr>
        <w:pStyle w:val="Textebrut"/>
      </w:pPr>
      <w:hyperlink r:id="rId115" w:history="1">
        <w:r w:rsidR="00A45730" w:rsidRPr="009A54DA">
          <w:rPr>
            <w:rStyle w:val="Lienhypertexte"/>
          </w:rPr>
          <w:t>https://www.lequotidiendupharmacien.fr/exercice-pro/certains-produits-de-contraste-vont-finalement-rester-dans-le-circuit-de-ville</w:t>
        </w:r>
      </w:hyperlink>
    </w:p>
    <w:p w:rsidR="00950523" w:rsidRDefault="00950523" w:rsidP="00950523">
      <w:pPr>
        <w:pStyle w:val="Textebrut"/>
      </w:pPr>
      <w:r>
        <w:t>Reprise des produits de contraste : radiographie d’un grand flou (Le Moniteur des pharmacies, 26/01/2024)</w:t>
      </w:r>
    </w:p>
    <w:p w:rsidR="00A45730" w:rsidRDefault="0022785A" w:rsidP="00950523">
      <w:pPr>
        <w:pStyle w:val="Textebrut"/>
      </w:pPr>
      <w:hyperlink r:id="rId116" w:history="1">
        <w:r w:rsidR="00950523" w:rsidRPr="009A54DA">
          <w:rPr>
            <w:rStyle w:val="Lienhypertexte"/>
          </w:rPr>
          <w:t>https://www.lemoniteurdespharmacies.fr/actu/actualites/actus-socio-professionnelles/reprise-des-produits-de-contraste-radiographie-d-un-grand-flou.html</w:t>
        </w:r>
      </w:hyperlink>
    </w:p>
    <w:p w:rsidR="00950523" w:rsidRDefault="00950523" w:rsidP="00950523">
      <w:pPr>
        <w:pStyle w:val="Textebrut"/>
      </w:pPr>
    </w:p>
    <w:p w:rsidR="00950523" w:rsidRDefault="00950523" w:rsidP="00950523">
      <w:pPr>
        <w:pStyle w:val="Textebrut"/>
      </w:pPr>
      <w:r>
        <w:t>Ces « avantages en nature » qui mènent des pharmaciens devant la justice (Le Quotidien du pharmacien, 25/01/2024). Article réservé aux abonnés.</w:t>
      </w:r>
    </w:p>
    <w:p w:rsidR="00950523" w:rsidRDefault="00950523" w:rsidP="00950523">
      <w:pPr>
        <w:pStyle w:val="Textebrut"/>
      </w:pPr>
      <w:r>
        <w:t xml:space="preserve">La révélation, par le média d'investigation « </w:t>
      </w:r>
      <w:proofErr w:type="spellStart"/>
      <w:r>
        <w:t>Mediapart</w:t>
      </w:r>
      <w:proofErr w:type="spellEnd"/>
      <w:r>
        <w:t xml:space="preserve"> », des avantages en nature reçus par l'éphémère ministre de la Santé, Agnès Firmin Le Bodo, de la part du groupe </w:t>
      </w:r>
      <w:proofErr w:type="spellStart"/>
      <w:r>
        <w:t>Urgo</w:t>
      </w:r>
      <w:proofErr w:type="spellEnd"/>
      <w:r>
        <w:t xml:space="preserve"> a mis l'ensemble de la profession au cœur d'une polémique dont elle se serait bien passée. Selon une estimation, pas moins de 8 000 officinaux auraient bénéficié, entre 2015 et 2021, de ces biens accordés en échange d'un renoncement à des remises commerciales. Un premier pharmacien a été condamné par la justice et d'autres pourraient suivre</w:t>
      </w:r>
    </w:p>
    <w:p w:rsidR="00A45730" w:rsidRDefault="0022785A" w:rsidP="00950523">
      <w:pPr>
        <w:pStyle w:val="Textebrut"/>
      </w:pPr>
      <w:hyperlink r:id="rId117" w:history="1">
        <w:r w:rsidR="00950523" w:rsidRPr="009A54DA">
          <w:rPr>
            <w:rStyle w:val="Lienhypertexte"/>
          </w:rPr>
          <w:t>https://www.lequotidiendupharmacien.fr/exercice-pro/justice/ces-avantages-en-nature-qui-menent-des-pharmaciens-devant-la-justice</w:t>
        </w:r>
      </w:hyperlink>
    </w:p>
    <w:p w:rsidR="00950523" w:rsidRDefault="00950523" w:rsidP="00950523">
      <w:pPr>
        <w:pStyle w:val="Textebrut"/>
      </w:pPr>
    </w:p>
    <w:p w:rsidR="00950523" w:rsidRDefault="00950523" w:rsidP="00950523">
      <w:pPr>
        <w:pStyle w:val="Textebrut"/>
      </w:pPr>
      <w:r>
        <w:t>Recommandations SFPO sur le circuit hospitalier des Médicaments de Thérapies Innovantes (MTI) - V2 (SFPO, août 2023)</w:t>
      </w:r>
    </w:p>
    <w:p w:rsidR="00950523" w:rsidRDefault="00950523" w:rsidP="0061319B">
      <w:pPr>
        <w:pStyle w:val="Textebrut"/>
        <w:numPr>
          <w:ilvl w:val="0"/>
          <w:numId w:val="25"/>
        </w:numPr>
      </w:pPr>
      <w:r>
        <w:t>Les recommandations :</w:t>
      </w:r>
    </w:p>
    <w:p w:rsidR="00950523" w:rsidRDefault="0022785A" w:rsidP="0061319B">
      <w:pPr>
        <w:pStyle w:val="Textebrut"/>
        <w:ind w:left="720"/>
      </w:pPr>
      <w:hyperlink r:id="rId118" w:history="1">
        <w:r w:rsidR="0061319B" w:rsidRPr="009A54DA">
          <w:rPr>
            <w:rStyle w:val="Lienhypertexte"/>
          </w:rPr>
          <w:t>https://sfpo.com/wp-content/uploads/2023/08/Recommandations-MTI-V2-Aout-2023.pdf</w:t>
        </w:r>
      </w:hyperlink>
    </w:p>
    <w:p w:rsidR="00950523" w:rsidRDefault="00950523" w:rsidP="0061319B">
      <w:pPr>
        <w:pStyle w:val="Textebrut"/>
        <w:numPr>
          <w:ilvl w:val="0"/>
          <w:numId w:val="25"/>
        </w:numPr>
      </w:pPr>
      <w:r>
        <w:t>La check-list :</w:t>
      </w:r>
    </w:p>
    <w:p w:rsidR="00950523" w:rsidRDefault="0022785A" w:rsidP="0061319B">
      <w:pPr>
        <w:pStyle w:val="Textebrut"/>
        <w:ind w:left="720"/>
      </w:pPr>
      <w:hyperlink r:id="rId119" w:history="1">
        <w:r w:rsidR="0061319B" w:rsidRPr="009A54DA">
          <w:rPr>
            <w:rStyle w:val="Lienhypertexte"/>
          </w:rPr>
          <w:t>https://sfpo.com/wp-content/uploads/2023/08/CHECK-LIST-MTI-V2-Aout-2023.pdf</w:t>
        </w:r>
      </w:hyperlink>
    </w:p>
    <w:p w:rsidR="0061319B" w:rsidRDefault="0061319B" w:rsidP="00950523">
      <w:pPr>
        <w:pStyle w:val="Textebrut"/>
      </w:pPr>
    </w:p>
    <w:p w:rsidR="0061319B" w:rsidRDefault="0061319B" w:rsidP="0061319B">
      <w:pPr>
        <w:pStyle w:val="Textebrut"/>
      </w:pPr>
      <w:r>
        <w:t>Alerte de l’OMS sur la recrudescence de la rougeole en Europe, la France est-elle concernée ? (</w:t>
      </w:r>
      <w:proofErr w:type="spellStart"/>
      <w:r>
        <w:t>SpF</w:t>
      </w:r>
      <w:proofErr w:type="spellEnd"/>
      <w:r>
        <w:t>, 26/01/2024)</w:t>
      </w:r>
    </w:p>
    <w:p w:rsidR="0061319B" w:rsidRDefault="0061319B" w:rsidP="0061319B">
      <w:pPr>
        <w:pStyle w:val="Textebrut"/>
      </w:pPr>
      <w:r>
        <w:lastRenderedPageBreak/>
        <w:t>Suite à l’alerte de l’OMS concernant la recrudescence de cas de rougeole en 2023, notamment en Europe, Santé publique France fait le point sur la circulation du virus et rappelle l’importance de la vaccination</w:t>
      </w:r>
    </w:p>
    <w:p w:rsidR="00A45730" w:rsidRDefault="0022785A" w:rsidP="0061319B">
      <w:pPr>
        <w:pStyle w:val="Textebrut"/>
      </w:pPr>
      <w:hyperlink r:id="rId120" w:history="1">
        <w:r w:rsidR="0061319B" w:rsidRPr="009A54DA">
          <w:rPr>
            <w:rStyle w:val="Lienhypertexte"/>
          </w:rPr>
          <w:t>https://www.santepubliquefrance.fr/les-actualites/2024/alerte-de-l-oms-sur-la-recrudescence-de-la-rougeole-en-europe-la-france-est-elle-concernee</w:t>
        </w:r>
      </w:hyperlink>
    </w:p>
    <w:p w:rsidR="0061319B" w:rsidRDefault="0061319B" w:rsidP="0061319B">
      <w:pPr>
        <w:pStyle w:val="Textebrut"/>
      </w:pPr>
    </w:p>
    <w:p w:rsidR="009B52FD" w:rsidRDefault="009B52FD" w:rsidP="009B52FD">
      <w:pPr>
        <w:pStyle w:val="Textebrut"/>
      </w:pPr>
      <w:r>
        <w:t>Lancement par l’Union européenne du dispositif « Alliance portuaire européenne », pour mieux combattre le trafic de drogues et la criminalité organisée (MILDECA, 26/01/2024).</w:t>
      </w:r>
    </w:p>
    <w:p w:rsidR="009B52FD" w:rsidRDefault="009B52FD" w:rsidP="009B52FD">
      <w:pPr>
        <w:pStyle w:val="Textebrut"/>
      </w:pPr>
      <w:r>
        <w:t>La Présidence belge de l’UE, en coopération avec la Commission européenne, a lancé ce 24 janvier 2024 l</w:t>
      </w:r>
      <w:proofErr w:type="gramStart"/>
      <w:r>
        <w:t>’«</w:t>
      </w:r>
      <w:proofErr w:type="gramEnd"/>
      <w:r>
        <w:t xml:space="preserve"> Alliance portuaire européenne ». Conformément à la feuille de route de l'Union européenne (UE) pour la lutte contre le trafic de drogue et la criminalité organisée, ce dispositif vise à renforcer les capacités des plateformes logistiques portuaires face aux menaces posées par la criminalité organisée</w:t>
      </w:r>
    </w:p>
    <w:p w:rsidR="009B52FD" w:rsidRDefault="0022785A" w:rsidP="009B52FD">
      <w:pPr>
        <w:pStyle w:val="Textebrut"/>
      </w:pPr>
      <w:hyperlink r:id="rId121" w:history="1">
        <w:r w:rsidR="009B52FD" w:rsidRPr="009A54DA">
          <w:rPr>
            <w:rStyle w:val="Lienhypertexte"/>
          </w:rPr>
          <w:t>https://www.drogues.gouv.fr/lancement-par-lunion-europeenne-du-dispositif-alliance-portuaire-europeenne-pour-mieux-combattre-le</w:t>
        </w:r>
      </w:hyperlink>
    </w:p>
    <w:p w:rsidR="009B52FD" w:rsidRDefault="009B52FD" w:rsidP="009B52FD">
      <w:pPr>
        <w:pStyle w:val="Textebrut"/>
      </w:pPr>
    </w:p>
    <w:p w:rsidR="00F831E3" w:rsidRDefault="00F831E3" w:rsidP="00F831E3">
      <w:pPr>
        <w:pStyle w:val="Textebrut"/>
      </w:pPr>
      <w:r>
        <w:t>Journée mondiale contre les cancers : priorité aux dépistages organisés (ameli.fr, 26/01/2024).</w:t>
      </w:r>
    </w:p>
    <w:p w:rsidR="00F831E3" w:rsidRDefault="00F831E3" w:rsidP="00F831E3">
      <w:pPr>
        <w:pStyle w:val="Textebrut"/>
      </w:pPr>
      <w:r>
        <w:t>4 février 2024, Journée mondiale contre le cancer : l’Institut national du cancer et l’Assurance Maladie appellent les Françaises et les Français à se faire dépister</w:t>
      </w:r>
    </w:p>
    <w:p w:rsidR="00F831E3" w:rsidRDefault="0022785A" w:rsidP="00F831E3">
      <w:pPr>
        <w:pStyle w:val="Textebrut"/>
      </w:pPr>
      <w:hyperlink r:id="rId122" w:history="1">
        <w:r w:rsidR="00F831E3" w:rsidRPr="009A54DA">
          <w:rPr>
            <w:rStyle w:val="Lienhypertexte"/>
          </w:rPr>
          <w:t>https://assurance-maladie.ameli.fr/presse/2024-01-26-cp-inca-cnam-journee-mondiale-contre-les-cancers</w:t>
        </w:r>
      </w:hyperlink>
    </w:p>
    <w:p w:rsidR="00F831E3" w:rsidRDefault="00F831E3" w:rsidP="00F831E3">
      <w:pPr>
        <w:pStyle w:val="Textebrut"/>
      </w:pPr>
    </w:p>
    <w:p w:rsidR="00F831E3" w:rsidRDefault="00F831E3" w:rsidP="00F831E3">
      <w:pPr>
        <w:pStyle w:val="Textebrut"/>
      </w:pPr>
      <w:r>
        <w:t>Dépistage organisé du cancer colorectal : ce qui change en 2024 (ameli.fr, 29/01/2024)</w:t>
      </w:r>
    </w:p>
    <w:p w:rsidR="0061319B" w:rsidRDefault="0022785A" w:rsidP="00F831E3">
      <w:pPr>
        <w:pStyle w:val="Textebrut"/>
      </w:pPr>
      <w:hyperlink r:id="rId123" w:history="1">
        <w:r w:rsidR="00F831E3" w:rsidRPr="009A54DA">
          <w:rPr>
            <w:rStyle w:val="Lienhypertexte"/>
          </w:rPr>
          <w:t>https://www.ameli.fr/pharmacien/actualites/depistage-organise-du-cancer-colorectal-ce-qui-change-en-2024</w:t>
        </w:r>
      </w:hyperlink>
    </w:p>
    <w:p w:rsidR="00F831E3" w:rsidRDefault="00F831E3" w:rsidP="00F831E3">
      <w:pPr>
        <w:pStyle w:val="Textebrut"/>
      </w:pPr>
    </w:p>
    <w:p w:rsidR="00F831E3" w:rsidRDefault="00F831E3" w:rsidP="00F831E3">
      <w:pPr>
        <w:pStyle w:val="Textebrut"/>
      </w:pPr>
      <w:r>
        <w:t>Le dépistage organisé du cancer du col de l’utérus : ce qu’il faut savoir sur les nouveautés 2024 (ameli.fr, 29/01/2024)</w:t>
      </w:r>
    </w:p>
    <w:p w:rsidR="00F831E3" w:rsidRDefault="0022785A" w:rsidP="00F831E3">
      <w:pPr>
        <w:pStyle w:val="Textebrut"/>
      </w:pPr>
      <w:hyperlink r:id="rId124" w:history="1">
        <w:r w:rsidR="00F831E3" w:rsidRPr="009A54DA">
          <w:rPr>
            <w:rStyle w:val="Lienhypertexte"/>
          </w:rPr>
          <w:t>https://www.ameli.fr/laboratoire-d-analyses-medicales/actualites/le-depistage-organise-du-cancer-du-col-de-l-uterus-ce-qu-il-faut-savoir-sur-les-nouveautes-2024</w:t>
        </w:r>
      </w:hyperlink>
    </w:p>
    <w:p w:rsidR="00F831E3" w:rsidRDefault="00F831E3" w:rsidP="00F831E3">
      <w:pPr>
        <w:pStyle w:val="Textebrut"/>
      </w:pPr>
    </w:p>
    <w:p w:rsidR="0020268B" w:rsidRDefault="0020268B" w:rsidP="0020268B">
      <w:pPr>
        <w:pStyle w:val="Textebrut"/>
      </w:pPr>
      <w:r>
        <w:t>Les missions et services en pharmacie confirment leur progression (Le Quotidien du pharmacien, 29/01/2024). Article réservé aux abonnés.</w:t>
      </w:r>
    </w:p>
    <w:p w:rsidR="0020268B" w:rsidRDefault="0020268B" w:rsidP="0020268B">
      <w:pPr>
        <w:pStyle w:val="Textebrut"/>
      </w:pPr>
      <w:r>
        <w:t>Selon les statistiques communiquées par IQVIA, lors des « Rencontres de l’officine » ce week-end, l’officine s’impose désormais comme pivot de la vaccination et tend à s’ancrer dans les pratiques des Français pour certains dépistages</w:t>
      </w:r>
    </w:p>
    <w:p w:rsidR="00F831E3" w:rsidRDefault="0022785A" w:rsidP="0020268B">
      <w:pPr>
        <w:pStyle w:val="Textebrut"/>
      </w:pPr>
      <w:hyperlink r:id="rId125" w:history="1">
        <w:r w:rsidR="0020268B" w:rsidRPr="009A54DA">
          <w:rPr>
            <w:rStyle w:val="Lienhypertexte"/>
          </w:rPr>
          <w:t>https://www.lequotidiendupharmacien.fr/exercice-pro/les-missions-et-services-en-pharmacie-confirment-leur-progression</w:t>
        </w:r>
      </w:hyperlink>
    </w:p>
    <w:p w:rsidR="0020268B" w:rsidRDefault="0020268B" w:rsidP="0020268B">
      <w:pPr>
        <w:pStyle w:val="Textebrut"/>
      </w:pPr>
    </w:p>
    <w:p w:rsidR="0028006A" w:rsidRDefault="0028006A" w:rsidP="0028006A">
      <w:pPr>
        <w:pStyle w:val="Textebrut"/>
      </w:pPr>
      <w:r>
        <w:t>Détection de mutations par expansion de nucléotides volet 1 – Rapport d'évaluation (HAS, 26/01/2024).</w:t>
      </w:r>
    </w:p>
    <w:p w:rsidR="0028006A" w:rsidRDefault="0028006A" w:rsidP="0028006A">
      <w:pPr>
        <w:pStyle w:val="Textebrut"/>
      </w:pPr>
      <w:r>
        <w:t xml:space="preserve">Cette évaluation répond à une demande de l’Union nationale des caisses d’Assurance maladie qui souhaitait que </w:t>
      </w:r>
      <w:proofErr w:type="gramStart"/>
      <w:r>
        <w:t>la HAS</w:t>
      </w:r>
      <w:proofErr w:type="gramEnd"/>
      <w:r>
        <w:t xml:space="preserve"> se prononce sur l’opportunité du transfert éventuel de l’acte de détection de mutation par expansion de nucléotides de la liste complémentaire vers la nomenclature des actes de biologie médicale (NABM). Cet acte est réalisé principalement pour le diagnostic de maladies neurologiques rares, graves et invalidantes. </w:t>
      </w:r>
      <w:proofErr w:type="gramStart"/>
      <w:r>
        <w:t>La HAS</w:t>
      </w:r>
      <w:proofErr w:type="gramEnd"/>
      <w:r>
        <w:t xml:space="preserve"> évalue l’intérêt médical de cet acte dans dix-sept de ces maladies et dans différents contextes (post-natal, prénatal, préimplantatoire)</w:t>
      </w:r>
    </w:p>
    <w:p w:rsidR="0020268B" w:rsidRDefault="0022785A" w:rsidP="0028006A">
      <w:pPr>
        <w:pStyle w:val="Textebrut"/>
      </w:pPr>
      <w:hyperlink r:id="rId126" w:history="1">
        <w:r w:rsidR="0028006A" w:rsidRPr="009A54DA">
          <w:rPr>
            <w:rStyle w:val="Lienhypertexte"/>
          </w:rPr>
          <w:t>https://www.has-sante.fr/jcms/p_3491330/fr/detection-de-mutations-par-expansion-de-nucleotides-volet-1-rapport-d-evaluation</w:t>
        </w:r>
      </w:hyperlink>
    </w:p>
    <w:p w:rsidR="0028006A" w:rsidRDefault="0028006A" w:rsidP="0028006A">
      <w:pPr>
        <w:pStyle w:val="Textebrut"/>
      </w:pPr>
    </w:p>
    <w:p w:rsidR="0022785A" w:rsidRDefault="0022785A" w:rsidP="0022785A">
      <w:pPr>
        <w:pStyle w:val="Textebrut"/>
      </w:pPr>
      <w:r>
        <w:t>Proposition d’une extension de la Vaccination contre le Papillomavirus (HPV) pour les hommes et les femmes jusqu’à 26 ans : Un moyen d’accélérer l’élimination des cancers HPV induits (Académie nationale de médecine, 29/01/2024)</w:t>
      </w:r>
    </w:p>
    <w:p w:rsidR="0028006A" w:rsidRDefault="0022785A" w:rsidP="0022785A">
      <w:pPr>
        <w:pStyle w:val="Textebrut"/>
      </w:pPr>
      <w:hyperlink r:id="rId127" w:history="1">
        <w:r w:rsidRPr="00E146CA">
          <w:rPr>
            <w:rStyle w:val="Lienhypertexte"/>
          </w:rPr>
          <w:t>https://www.academie-medecine.fr/1000053001/</w:t>
        </w:r>
      </w:hyperlink>
    </w:p>
    <w:p w:rsidR="0022785A" w:rsidRDefault="0022785A" w:rsidP="0022785A">
      <w:pPr>
        <w:pStyle w:val="Textebrut"/>
      </w:pPr>
    </w:p>
    <w:p w:rsidR="0022785A" w:rsidRDefault="0022785A" w:rsidP="0022785A">
      <w:pPr>
        <w:pStyle w:val="Textebrut"/>
      </w:pPr>
      <w:r>
        <w:t>Réseaux sociaux, médias : "Mettons fin à la propagation impunie de fausses informations médicales !" (L’Express, 29/01/2024)</w:t>
      </w:r>
    </w:p>
    <w:p w:rsidR="0022785A" w:rsidRDefault="0022785A" w:rsidP="0022785A">
      <w:pPr>
        <w:pStyle w:val="Textebrut"/>
      </w:pPr>
      <w:r>
        <w:lastRenderedPageBreak/>
        <w:t>Affaire Booba. Face au laisser-aller des réseaux sociaux et de certains médias à grande audience, les sociétés savantes et syndicats représentatifs de dizaines de milliers de médecins et de chercheurs sonnent l’alarme dans une tribune publiée dans L'Express</w:t>
      </w:r>
    </w:p>
    <w:p w:rsidR="0022785A" w:rsidRDefault="0022785A" w:rsidP="0022785A">
      <w:pPr>
        <w:pStyle w:val="Textebrut"/>
      </w:pPr>
      <w:hyperlink r:id="rId128" w:history="1">
        <w:r w:rsidRPr="00E146CA">
          <w:rPr>
            <w:rStyle w:val="Lienhypertexte"/>
          </w:rPr>
          <w:t>https://www.lexpress.fr/sciences-sante/sante/reseaux-sociaux-medias-mettons-fin-a-la-propagation-impunie-de-fausses-informations-medicales-LDQ7GCFEBBEQNHDY44TC6P3MZA/</w:t>
        </w:r>
      </w:hyperlink>
    </w:p>
    <w:p w:rsidR="0022785A" w:rsidRDefault="0022785A" w:rsidP="0022785A">
      <w:pPr>
        <w:pStyle w:val="Textebrut"/>
      </w:pPr>
    </w:p>
    <w:p w:rsidR="004A7D3C" w:rsidRDefault="004A7D3C" w:rsidP="004A7D3C">
      <w:pPr>
        <w:pStyle w:val="Textebrut"/>
      </w:pPr>
      <w:r>
        <w:t>Santé Qualité de vie au Travail (QVT) : Les Essentiels (Observatoire des métiers dans les professions libérales, janvier 2024).</w:t>
      </w:r>
    </w:p>
    <w:p w:rsidR="004A7D3C" w:rsidRDefault="004A7D3C" w:rsidP="004A7D3C">
      <w:pPr>
        <w:pStyle w:val="Textebrut"/>
      </w:pPr>
      <w:r>
        <w:t>L’enquête sur la qualité de vie au travail (QVT) des salariés des professions libérales a permis, via une enquête en ligne, d’interroger, les salariés et leurs employeurs sur leur perception de celle-ci. Il s’agit de la 3e édition de cette enquête :</w:t>
      </w:r>
    </w:p>
    <w:p w:rsidR="004A7D3C" w:rsidRDefault="004A7D3C" w:rsidP="004A7D3C">
      <w:pPr>
        <w:pStyle w:val="Textebrut"/>
        <w:numPr>
          <w:ilvl w:val="0"/>
          <w:numId w:val="25"/>
        </w:numPr>
      </w:pPr>
      <w:r>
        <w:t>Essentiel QVT Cabinets médicaux</w:t>
      </w:r>
    </w:p>
    <w:p w:rsidR="004A7D3C" w:rsidRDefault="004A7D3C" w:rsidP="004A7D3C">
      <w:pPr>
        <w:pStyle w:val="Textebrut"/>
        <w:ind w:left="720"/>
      </w:pPr>
      <w:hyperlink r:id="rId129" w:history="1">
        <w:r w:rsidRPr="00E146CA">
          <w:rPr>
            <w:rStyle w:val="Lienhypertexte"/>
          </w:rPr>
          <w:t>https://www.ompl.fr/images/Publications/Etudestransv/EtudeQVT/ompl_essentiel_qvt_cabinets_medicaux_2024.pdf</w:t>
        </w:r>
      </w:hyperlink>
    </w:p>
    <w:p w:rsidR="004A7D3C" w:rsidRDefault="004A7D3C" w:rsidP="004A7D3C">
      <w:pPr>
        <w:pStyle w:val="Textebrut"/>
        <w:numPr>
          <w:ilvl w:val="0"/>
          <w:numId w:val="25"/>
        </w:numPr>
      </w:pPr>
      <w:r>
        <w:t>Essentiel QVT Pharmacie d'officine</w:t>
      </w:r>
    </w:p>
    <w:p w:rsidR="004A7D3C" w:rsidRDefault="004A7D3C" w:rsidP="004A7D3C">
      <w:pPr>
        <w:pStyle w:val="Textebrut"/>
        <w:ind w:left="720"/>
      </w:pPr>
      <w:hyperlink r:id="rId130" w:history="1">
        <w:r w:rsidRPr="00E146CA">
          <w:rPr>
            <w:rStyle w:val="Lienhypertexte"/>
          </w:rPr>
          <w:t>https://www.ompl.fr/images/Publications/Etudestransv/EtudeQVT/ompl_essentiel_qvt_pharmacie_dofficine_2024.pdf</w:t>
        </w:r>
      </w:hyperlink>
    </w:p>
    <w:p w:rsidR="004A7D3C" w:rsidRDefault="004A7D3C" w:rsidP="004A7D3C">
      <w:pPr>
        <w:pStyle w:val="Textebrut"/>
        <w:numPr>
          <w:ilvl w:val="0"/>
          <w:numId w:val="25"/>
        </w:numPr>
      </w:pPr>
      <w:r>
        <w:t>Essentiel QVT Laboratoires de biologie</w:t>
      </w:r>
    </w:p>
    <w:p w:rsidR="004A7D3C" w:rsidRDefault="004A7D3C" w:rsidP="004A7D3C">
      <w:pPr>
        <w:pStyle w:val="Textebrut"/>
        <w:ind w:left="720"/>
      </w:pPr>
      <w:hyperlink r:id="rId131" w:history="1">
        <w:r w:rsidRPr="00E146CA">
          <w:rPr>
            <w:rStyle w:val="Lienhypertexte"/>
          </w:rPr>
          <w:t>https://www.ompl.fr/images/Publications/Etudestransv/EtudeQVT/ompl_essentiel_qvt_laboratoires_de_biologie_2024.pdf</w:t>
        </w:r>
      </w:hyperlink>
    </w:p>
    <w:p w:rsidR="004A7D3C" w:rsidRDefault="004A7D3C" w:rsidP="004A7D3C">
      <w:pPr>
        <w:pStyle w:val="Textebrut"/>
        <w:numPr>
          <w:ilvl w:val="0"/>
          <w:numId w:val="25"/>
        </w:numPr>
      </w:pPr>
      <w:r>
        <w:t>Essentiel QVT Cabinets dentaires</w:t>
      </w:r>
    </w:p>
    <w:p w:rsidR="0022785A" w:rsidRDefault="004A7D3C" w:rsidP="004A7D3C">
      <w:pPr>
        <w:pStyle w:val="Textebrut"/>
        <w:ind w:left="720"/>
      </w:pPr>
      <w:hyperlink r:id="rId132" w:history="1">
        <w:r w:rsidRPr="00E146CA">
          <w:rPr>
            <w:rStyle w:val="Lienhypertexte"/>
          </w:rPr>
          <w:t>https://www.ompl.fr/images/Publications/Etudestransv/EtudeQVT/ompl_essentiel_qvt_cabinets_dentaires_2024.pdf</w:t>
        </w:r>
      </w:hyperlink>
    </w:p>
    <w:p w:rsidR="004A7D3C" w:rsidRDefault="004A7D3C" w:rsidP="004A7D3C">
      <w:pPr>
        <w:pStyle w:val="Textebrut"/>
      </w:pPr>
    </w:p>
    <w:p w:rsidR="004A7D3C" w:rsidRDefault="004A7D3C" w:rsidP="00B7291F">
      <w:pPr>
        <w:pStyle w:val="PEPS"/>
      </w:pPr>
    </w:p>
    <w:p w:rsidR="00B7291F" w:rsidRDefault="00B7291F" w:rsidP="00B7291F">
      <w:pPr>
        <w:pStyle w:val="PEPS"/>
      </w:pPr>
      <w:r>
        <w:t>Rubrique ruptures :</w:t>
      </w:r>
    </w:p>
    <w:p w:rsidR="00B7291F" w:rsidRDefault="00B7291F" w:rsidP="007044DE">
      <w:pPr>
        <w:pStyle w:val="Textebrut"/>
      </w:pPr>
    </w:p>
    <w:p w:rsidR="00CF1922" w:rsidRDefault="00CF1922" w:rsidP="00CF1922">
      <w:pPr>
        <w:pStyle w:val="Textebrut"/>
      </w:pPr>
      <w:r>
        <w:t>Plan hivernal : point de situation sur l’approvisionnement des médicaments majeurs de l’hiver (ANSM, 26/01/2024).</w:t>
      </w:r>
    </w:p>
    <w:p w:rsidR="00CF1922" w:rsidRDefault="00CF1922" w:rsidP="00CF1922">
      <w:pPr>
        <w:pStyle w:val="Textebrut"/>
      </w:pPr>
      <w:r>
        <w:t>Nous avons tenu le 25 janvier le 2e comité de suivi réunissant les représentants d’associations de patients, de professionnels de santé de ville et des hôpitaux, ainsi que les acteurs de la chaîne du médicament. A deux mois de la signature de la charte d’engagement, un état des lieux de la situation a été collégialement partagé, ainsi qu’une synthèse sur les mesures de gestion en place</w:t>
      </w:r>
    </w:p>
    <w:p w:rsidR="00CF1922" w:rsidRDefault="0022785A" w:rsidP="00CF1922">
      <w:pPr>
        <w:pStyle w:val="Textebrut"/>
      </w:pPr>
      <w:hyperlink r:id="rId133" w:history="1">
        <w:r w:rsidR="00CF1922" w:rsidRPr="009A54DA">
          <w:rPr>
            <w:rStyle w:val="Lienhypertexte"/>
          </w:rPr>
          <w:t>https://ansm.sante.fr/actualites/plan-hivernal-point-de-situation-sur-lapprovisionnement-des-medicaments-majeurs-de-lhiver</w:t>
        </w:r>
      </w:hyperlink>
    </w:p>
    <w:p w:rsidR="00CF1922" w:rsidRDefault="00CF1922" w:rsidP="00CF1922">
      <w:pPr>
        <w:pStyle w:val="Textebrut"/>
      </w:pPr>
    </w:p>
    <w:p w:rsidR="00CF1922" w:rsidRDefault="00CF1922" w:rsidP="00CF1922">
      <w:pPr>
        <w:pStyle w:val="Textebrut"/>
      </w:pPr>
      <w:r>
        <w:t>Plan hivernal (ANSM, actualisation du 26/01/2024)</w:t>
      </w:r>
    </w:p>
    <w:p w:rsidR="00CF1922" w:rsidRDefault="0022785A" w:rsidP="00CF1922">
      <w:pPr>
        <w:pStyle w:val="Textebrut"/>
      </w:pPr>
      <w:hyperlink r:id="rId134" w:history="1">
        <w:r w:rsidR="00CF1922" w:rsidRPr="009A54DA">
          <w:rPr>
            <w:rStyle w:val="Lienhypertexte"/>
          </w:rPr>
          <w:t>https://ansm.sante.fr/dossiers-thematiques/plan-hivernal</w:t>
        </w:r>
      </w:hyperlink>
    </w:p>
    <w:p w:rsidR="00CF1922" w:rsidRDefault="00CF1922" w:rsidP="00CF1922">
      <w:pPr>
        <w:pStyle w:val="Textebrut"/>
      </w:pPr>
    </w:p>
    <w:p w:rsidR="0020268B" w:rsidRDefault="0020268B" w:rsidP="0020268B">
      <w:pPr>
        <w:pStyle w:val="Textebrut"/>
      </w:pPr>
      <w:r>
        <w:t>2023 : année record pour les ruptures d’approvisionnement (Le Quotidien du pharmacien, 29/01/2024).</w:t>
      </w:r>
    </w:p>
    <w:p w:rsidR="0020268B" w:rsidRDefault="0020268B" w:rsidP="0020268B">
      <w:pPr>
        <w:pStyle w:val="Textebrut"/>
      </w:pPr>
      <w:r>
        <w:t>Le nombre de ruptures d’approvisionnement en médicaments a battu des records en 2023. Le phénomène ne cesse de s’aggraver et l’optimisme n’est pas de rigueur pour les années à venir</w:t>
      </w:r>
    </w:p>
    <w:p w:rsidR="0020268B" w:rsidRDefault="0022785A" w:rsidP="0020268B">
      <w:pPr>
        <w:pStyle w:val="Textebrut"/>
      </w:pPr>
      <w:hyperlink r:id="rId135" w:history="1">
        <w:r w:rsidR="0020268B" w:rsidRPr="009A54DA">
          <w:rPr>
            <w:rStyle w:val="Lienhypertexte"/>
          </w:rPr>
          <w:t>https://www.lequotidiendupharmacien.fr/exercice-pro/politique-de-sante/2023-annee-record-pour-les-ruptures-dapprovisionnement</w:t>
        </w:r>
      </w:hyperlink>
    </w:p>
    <w:p w:rsidR="0020268B" w:rsidRDefault="0020268B" w:rsidP="0020268B">
      <w:pPr>
        <w:pStyle w:val="Textebrut"/>
      </w:pPr>
    </w:p>
    <w:p w:rsidR="001F0FBB" w:rsidRDefault="001F0FBB" w:rsidP="001F0FBB">
      <w:pPr>
        <w:pStyle w:val="Textebrut"/>
      </w:pPr>
      <w:r>
        <w:t>Les industriels du médicament veulent relancer la machine (Le Quotidien du pharmacien, 30/01/2024).</w:t>
      </w:r>
    </w:p>
    <w:p w:rsidR="001F0FBB" w:rsidRDefault="001F0FBB" w:rsidP="001F0FBB">
      <w:pPr>
        <w:pStyle w:val="Textebrut"/>
      </w:pPr>
      <w:r>
        <w:t>Le LEEM (Les entreprises du médicament) a annoncé sa feuille de route pour remettre sur les rails la politique du médicament en France. Pour redorer l’image d’un secteur mis à mal par les pénuries de médicaments et auquel seulement 62 % des Français accordent leur confiance, les industriels doivent pouvoir compter sur les pouvoirs publics. Ce qui est loin d’être gagné, tant les chantiers entamés en 2023 sont aujourd’hui à l’arrêt</w:t>
      </w:r>
    </w:p>
    <w:p w:rsidR="001F0FBB" w:rsidRDefault="001F0FBB" w:rsidP="001F0FBB">
      <w:pPr>
        <w:pStyle w:val="Textebrut"/>
      </w:pPr>
      <w:hyperlink r:id="rId136" w:history="1">
        <w:r w:rsidRPr="00E146CA">
          <w:rPr>
            <w:rStyle w:val="Lienhypertexte"/>
          </w:rPr>
          <w:t>https://www.lequotidiendupharmacien.fr/exercice-pro/les-industriels-du-medicament-veulent-relancer-la-machine</w:t>
        </w:r>
      </w:hyperlink>
    </w:p>
    <w:p w:rsidR="001F0FBB" w:rsidRDefault="001F0FBB" w:rsidP="001F0FBB">
      <w:pPr>
        <w:pStyle w:val="Textebrut"/>
      </w:pPr>
    </w:p>
    <w:p w:rsidR="006E4FB7" w:rsidRDefault="006E4FB7" w:rsidP="0020268B">
      <w:pPr>
        <w:pStyle w:val="Textebrut"/>
      </w:pPr>
      <w:r>
        <w:t xml:space="preserve">Tensions d’approvisionnement en </w:t>
      </w:r>
      <w:proofErr w:type="spellStart"/>
      <w:r>
        <w:t>Corgard</w:t>
      </w:r>
      <w:proofErr w:type="spellEnd"/>
      <w:r>
        <w:t xml:space="preserve"> 80 mg (</w:t>
      </w:r>
      <w:proofErr w:type="spellStart"/>
      <w:r>
        <w:t>nadolol</w:t>
      </w:r>
      <w:proofErr w:type="spellEnd"/>
      <w:r>
        <w:t>) : fin du protocole de délivrance (ANSM, actualisation du 1</w:t>
      </w:r>
      <w:r w:rsidR="0064044D">
        <w:t>9</w:t>
      </w:r>
      <w:r>
        <w:t>/01/2024).</w:t>
      </w:r>
    </w:p>
    <w:p w:rsidR="006E4FB7" w:rsidRDefault="006E4FB7" w:rsidP="006E4FB7">
      <w:pPr>
        <w:pStyle w:val="Textebrut"/>
      </w:pPr>
      <w:r>
        <w:t xml:space="preserve">À compter du 18 janvier 2024, au vu des stocks actuels, la délivrance n’est plus limitée aux patients atteints de troubles du rythme d’origine génétique, chez lesquels ce médicament ne peut être ni substitué, ni arrêté sans risque vital. </w:t>
      </w:r>
      <w:proofErr w:type="spellStart"/>
      <w:r w:rsidR="0064044D" w:rsidRPr="0064044D">
        <w:t>Corgard</w:t>
      </w:r>
      <w:proofErr w:type="spellEnd"/>
      <w:r w:rsidR="0064044D" w:rsidRPr="0064044D">
        <w:t xml:space="preserve"> peut désormais aussi être prescrit et dispensé pour prévenir tous les troubles du rythme ventriculaire. Le maintien du traitement alternatif dans les autres indications reste recommandé tant que des tensions d’approvisionnement en </w:t>
      </w:r>
      <w:proofErr w:type="spellStart"/>
      <w:r w:rsidR="0064044D" w:rsidRPr="0064044D">
        <w:t>Corgard</w:t>
      </w:r>
      <w:proofErr w:type="spellEnd"/>
      <w:r w:rsidR="0064044D" w:rsidRPr="0064044D">
        <w:t xml:space="preserve"> persistent. Cette situation devrait perdurer jusqu’au mois de mars, période où le niveau des approvisionnements doit redevenir normal</w:t>
      </w:r>
    </w:p>
    <w:p w:rsidR="006E4FB7" w:rsidRDefault="0022785A" w:rsidP="006E4FB7">
      <w:pPr>
        <w:pStyle w:val="Textebrut"/>
      </w:pPr>
      <w:hyperlink r:id="rId137" w:history="1">
        <w:r w:rsidR="006E4FB7" w:rsidRPr="00E91873">
          <w:rPr>
            <w:rStyle w:val="Lienhypertexte"/>
          </w:rPr>
          <w:t>https://ansm.sante.fr/actualites/tensions-dapprovisionnement-en-corgard-80-mg-nadolol-ce-medicament-doit-etre-reserve-a-certains-patients-atteints-de-troubles-du-rythme-dorigine-genetique</w:t>
        </w:r>
      </w:hyperlink>
    </w:p>
    <w:p w:rsidR="00F678B8" w:rsidRDefault="00F678B8" w:rsidP="00F678B8">
      <w:pPr>
        <w:pStyle w:val="Textebrut"/>
      </w:pPr>
      <w:proofErr w:type="spellStart"/>
      <w:r>
        <w:t>Corgard</w:t>
      </w:r>
      <w:proofErr w:type="spellEnd"/>
      <w:r>
        <w:t xml:space="preserve"> 80 mg, comprimé sécable – [</w:t>
      </w:r>
      <w:proofErr w:type="spellStart"/>
      <w:r>
        <w:t>nadolol</w:t>
      </w:r>
      <w:proofErr w:type="spellEnd"/>
      <w:r>
        <w:t>] – Tension d’approvisionnement depuis le 22/08/2023 (ANSM, actualisation du 18/01/2024).</w:t>
      </w:r>
    </w:p>
    <w:p w:rsidR="00F678B8" w:rsidRDefault="00F678B8" w:rsidP="00F678B8">
      <w:pPr>
        <w:pStyle w:val="Textebrut"/>
      </w:pPr>
      <w:r>
        <w:t xml:space="preserve">Tension d’approvisionnement. Levée du contingentement qualitatif. Mise en place d’un contingentement quantitatif. Consultez le courrier de </w:t>
      </w:r>
      <w:proofErr w:type="spellStart"/>
      <w:r>
        <w:t>Cheplapharm</w:t>
      </w:r>
      <w:proofErr w:type="spellEnd"/>
      <w:r>
        <w:t xml:space="preserve"> France du 12 janvier 2024 (18/01/2024). Remise à disposition normale prévue en mars 2024</w:t>
      </w:r>
    </w:p>
    <w:p w:rsidR="006E4FB7" w:rsidRDefault="0022785A" w:rsidP="00F678B8">
      <w:pPr>
        <w:pStyle w:val="Textebrut"/>
      </w:pPr>
      <w:hyperlink r:id="rId138" w:history="1">
        <w:r w:rsidR="00F678B8" w:rsidRPr="00567243">
          <w:rPr>
            <w:rStyle w:val="Lienhypertexte"/>
          </w:rPr>
          <w:t>https://ansm.sante.fr/disponibilites-des-produits-de-sante/medicaments/corgard-80-mg-comprime-secable-nadolol</w:t>
        </w:r>
      </w:hyperlink>
    </w:p>
    <w:p w:rsidR="00F678B8" w:rsidRDefault="00F678B8" w:rsidP="00F678B8">
      <w:pPr>
        <w:pStyle w:val="Textebrut"/>
      </w:pPr>
    </w:p>
    <w:p w:rsidR="00B06507" w:rsidRDefault="00B06507" w:rsidP="00B06507">
      <w:pPr>
        <w:pStyle w:val="Textebrut"/>
      </w:pPr>
      <w:r>
        <w:t>Pénuries de médicaments. Changer de braquet et remonter la coordination au niveau du Premier ministre (Académie nationale de pharmacie, 19/01/2023).</w:t>
      </w:r>
    </w:p>
    <w:p w:rsidR="00B06507" w:rsidRDefault="00B06507" w:rsidP="00B06507">
      <w:pPr>
        <w:pStyle w:val="Textebrut"/>
      </w:pPr>
      <w:r>
        <w:t>À l’occasion de la nomination du nouveau gouvernement, l’Académie nationale de Pharmacie rappelle qu’elle travaille depuis plusieurs années sur le problème de la disponibilité des médicaments et des dispositifs médicaux. Son groupe de veille « Disponibilité des produits de santé et indépendance sanitaire » auditionne en permanence de nombreux acteurs pour appréhender les évolutions de la situation et les obstacles à surmonter pour faire des propositions et voir s’améliorer la situation des pénuries de médicaments, des dispositifs médicaux et des tensions d’approvisionnement</w:t>
      </w:r>
    </w:p>
    <w:p w:rsidR="00B06507" w:rsidRDefault="0022785A" w:rsidP="00B06507">
      <w:pPr>
        <w:pStyle w:val="Textebrut"/>
      </w:pPr>
      <w:hyperlink r:id="rId139" w:history="1">
        <w:r w:rsidR="00B06507" w:rsidRPr="00072300">
          <w:rPr>
            <w:rStyle w:val="Lienhypertexte"/>
          </w:rPr>
          <w:t>https://www.acadpharm.org/dos_public/COM._PENURIES_MED._ET_GOUVERNANCE_2024.01.19_VF_.PDF</w:t>
        </w:r>
      </w:hyperlink>
    </w:p>
    <w:p w:rsidR="00B06507" w:rsidRDefault="00B06507" w:rsidP="00B06507">
      <w:pPr>
        <w:pStyle w:val="Textebrut"/>
      </w:pPr>
    </w:p>
    <w:p w:rsidR="00A94BA6" w:rsidRDefault="00A94BA6" w:rsidP="00B06507">
      <w:pPr>
        <w:pStyle w:val="Textebrut"/>
      </w:pPr>
      <w:r>
        <w:t>La charte de bonnes pratiques contre les pénuries commence à porter ses fruits (Le Quotidien du pharmacien, 12/01/2024).</w:t>
      </w:r>
    </w:p>
    <w:p w:rsidR="00A94BA6" w:rsidRDefault="00A94BA6" w:rsidP="00A94BA6">
      <w:pPr>
        <w:pStyle w:val="Textebrut"/>
      </w:pPr>
      <w:r>
        <w:t>Si les tensions d’approvisionnement perdurent sur de nombreuses spécialités, quelques améliorations sont à noter ces dernières semaines, notamment sur l’amoxicilline. Comme ils s’y étaient engagés dans la charte signée fin novembre par l’ensemble des acteurs de la filière du médicament, les industriels semblent libérer davantage leurs stocks aujourd’hui</w:t>
      </w:r>
    </w:p>
    <w:p w:rsidR="00A94BA6" w:rsidRDefault="0022785A" w:rsidP="00A94BA6">
      <w:pPr>
        <w:pStyle w:val="Textebrut"/>
      </w:pPr>
      <w:hyperlink r:id="rId140" w:history="1">
        <w:r w:rsidR="00A94BA6" w:rsidRPr="004F6744">
          <w:rPr>
            <w:rStyle w:val="Lienhypertexte"/>
          </w:rPr>
          <w:t>https://www.lequotidiendupharmacien.fr/exercice-pro/la-charte-de-bonnes-pratiques-contre-les-penuries-commence-porter-ses-fruits</w:t>
        </w:r>
      </w:hyperlink>
    </w:p>
    <w:p w:rsidR="00A94BA6" w:rsidRDefault="00A94BA6" w:rsidP="00A94BA6">
      <w:pPr>
        <w:pStyle w:val="Textebrut"/>
      </w:pPr>
    </w:p>
    <w:p w:rsidR="00781380" w:rsidRDefault="00781380" w:rsidP="00781380">
      <w:pPr>
        <w:pStyle w:val="Textebrut"/>
      </w:pPr>
      <w:proofErr w:type="spellStart"/>
      <w:r>
        <w:t>Nulojix</w:t>
      </w:r>
      <w:proofErr w:type="spellEnd"/>
      <w:r>
        <w:t xml:space="preserve"> (</w:t>
      </w:r>
      <w:proofErr w:type="spellStart"/>
      <w:r>
        <w:t>bélatacept</w:t>
      </w:r>
      <w:proofErr w:type="spellEnd"/>
      <w:r>
        <w:t>) pour la greffe de rein : recommandations temporaires pour garantir la continuité des soins (ANSM, actualisation du 11/01/2024).</w:t>
      </w:r>
    </w:p>
    <w:p w:rsidR="00781380" w:rsidRDefault="00781380" w:rsidP="00781380">
      <w:pPr>
        <w:pStyle w:val="Textebrut"/>
      </w:pPr>
      <w:r>
        <w:t xml:space="preserve">Les restrictions d'usage de </w:t>
      </w:r>
      <w:proofErr w:type="spellStart"/>
      <w:r>
        <w:t>Nulojix</w:t>
      </w:r>
      <w:proofErr w:type="spellEnd"/>
      <w:r>
        <w:t xml:space="preserve"> sont levées depuis septembre 2023. Compte tenu des capacités de production du laboratoire et des stocks actuels, le dispositif laissé en place pour suivre l'évolution des prescriptions suite à cette levée peut être allégé</w:t>
      </w:r>
    </w:p>
    <w:p w:rsidR="00781380" w:rsidRDefault="0022785A" w:rsidP="00781380">
      <w:pPr>
        <w:pStyle w:val="Textebrut"/>
      </w:pPr>
      <w:hyperlink r:id="rId141" w:history="1">
        <w:r w:rsidR="00781380" w:rsidRPr="00B21BFD">
          <w:rPr>
            <w:rStyle w:val="Lienhypertexte"/>
          </w:rPr>
          <w:t>https://ansm.sante.fr/actualites/nulojix-belatacept-pour-la-greffe-de-rein-recommandations-temporaires-pour-garantir-la-continuite-des-soins</w:t>
        </w:r>
      </w:hyperlink>
    </w:p>
    <w:p w:rsidR="00781380" w:rsidRDefault="00781380" w:rsidP="00781380">
      <w:pPr>
        <w:pStyle w:val="Textebrut"/>
      </w:pPr>
    </w:p>
    <w:p w:rsidR="00781380" w:rsidRDefault="00781380" w:rsidP="00781380">
      <w:pPr>
        <w:pStyle w:val="Textebrut"/>
      </w:pPr>
      <w:proofErr w:type="spellStart"/>
      <w:r>
        <w:t>Nulojix</w:t>
      </w:r>
      <w:proofErr w:type="spellEnd"/>
      <w:r>
        <w:t xml:space="preserve"> 250 mg, poudre pour solution à diluer pour perfusion – [</w:t>
      </w:r>
      <w:proofErr w:type="spellStart"/>
      <w:r>
        <w:t>bélatacept</w:t>
      </w:r>
      <w:proofErr w:type="spellEnd"/>
      <w:r>
        <w:t>] – Remise à disposition à partir du 25/09/2023 (ANSM, actualisation du 11/01/2024).</w:t>
      </w:r>
    </w:p>
    <w:p w:rsidR="00781380" w:rsidRDefault="00781380" w:rsidP="00781380">
      <w:pPr>
        <w:pStyle w:val="Textebrut"/>
      </w:pPr>
      <w:r>
        <w:t xml:space="preserve">Remise à disposition depuis le 25 septembre 2023, puis arrêt de la plateforme pour les déclarations d’initiation au 5 janvier 2024. Maintien du registre de suivi des patients à titre informatif pour identifier des éventuels doublons </w:t>
      </w:r>
      <w:r>
        <w:lastRenderedPageBreak/>
        <w:t>(transfert de patient vers un autre établissement) et permettre de suivre l’évolution des besoins. Approvisionnement normal ne nécessitant plus de modalités particulières pour les initiations et les commandes. Consultez le courrier du laboratoire en date du 5 janvier 2024 (11/01/2024)</w:t>
      </w:r>
    </w:p>
    <w:p w:rsidR="00781380" w:rsidRDefault="0022785A" w:rsidP="00781380">
      <w:pPr>
        <w:pStyle w:val="Textebrut"/>
      </w:pPr>
      <w:hyperlink r:id="rId142" w:history="1">
        <w:r w:rsidR="00781380" w:rsidRPr="00B21BFD">
          <w:rPr>
            <w:rStyle w:val="Lienhypertexte"/>
          </w:rPr>
          <w:t>https://ansm.sante.fr/disponibilites-des-produits-de-sante/medicaments/nulojix-250-mg-poudre-pour-solution-a-diluer-pour-perfusion-belatacept</w:t>
        </w:r>
      </w:hyperlink>
    </w:p>
    <w:p w:rsidR="00781380" w:rsidRDefault="00781380" w:rsidP="00781380">
      <w:pPr>
        <w:pStyle w:val="Textebrut"/>
      </w:pPr>
    </w:p>
    <w:p w:rsidR="00126647" w:rsidRDefault="0085489F" w:rsidP="00781380">
      <w:pPr>
        <w:pStyle w:val="Textebrut"/>
      </w:pPr>
      <w:proofErr w:type="spellStart"/>
      <w:r w:rsidRPr="0085489F">
        <w:t>Rabéprazole</w:t>
      </w:r>
      <w:proofErr w:type="spellEnd"/>
      <w:r w:rsidRPr="0085489F">
        <w:t xml:space="preserve"> 10mg et 20mg comprimé gastro-résistant – [</w:t>
      </w:r>
      <w:proofErr w:type="spellStart"/>
      <w:r w:rsidRPr="0085489F">
        <w:t>rabéprazole</w:t>
      </w:r>
      <w:proofErr w:type="spellEnd"/>
      <w:r w:rsidRPr="0085489F">
        <w:t xml:space="preserve"> sodique]</w:t>
      </w:r>
      <w:r>
        <w:t xml:space="preserve"> – Tension d’approvisionnement depuis le 30/08/2022 (ANSM, 28/12/2023).</w:t>
      </w:r>
    </w:p>
    <w:p w:rsidR="0085489F" w:rsidRDefault="0085489F" w:rsidP="0085489F">
      <w:pPr>
        <w:pStyle w:val="Textebrut"/>
      </w:pPr>
      <w:proofErr w:type="spellStart"/>
      <w:r>
        <w:t>Rabéprazole</w:t>
      </w:r>
      <w:proofErr w:type="spellEnd"/>
      <w:r>
        <w:t xml:space="preserve"> 10mg et 20mg comprimé gastro-résistant : tensions d'approvisionnement. Contingentement quantitatif</w:t>
      </w:r>
    </w:p>
    <w:p w:rsidR="0085489F" w:rsidRDefault="0022785A" w:rsidP="0085489F">
      <w:pPr>
        <w:pStyle w:val="Textebrut"/>
      </w:pPr>
      <w:hyperlink r:id="rId143" w:history="1">
        <w:r w:rsidR="0085489F" w:rsidRPr="00C81588">
          <w:rPr>
            <w:rStyle w:val="Lienhypertexte"/>
          </w:rPr>
          <w:t>https://ansm.sante.fr/disponibilites-des-produits-de-sante/medicaments/rabeprazole-10mg-et-20mg-comprime-gastro-resistant-rabeprazole-sodique</w:t>
        </w:r>
      </w:hyperlink>
    </w:p>
    <w:p w:rsidR="0085489F" w:rsidRDefault="0085489F" w:rsidP="0085489F">
      <w:pPr>
        <w:pStyle w:val="Textebrut"/>
      </w:pPr>
    </w:p>
    <w:p w:rsidR="0085489F" w:rsidRDefault="00864C07" w:rsidP="0085489F">
      <w:pPr>
        <w:pStyle w:val="Textebrut"/>
      </w:pPr>
      <w:proofErr w:type="spellStart"/>
      <w:r w:rsidRPr="00864C07">
        <w:t>Flagyl</w:t>
      </w:r>
      <w:proofErr w:type="spellEnd"/>
      <w:r w:rsidRPr="00864C07">
        <w:t xml:space="preserve"> 125 mg/5 ml, suspension buvable – [métronidazole (benzoate de)] - Remise à disposition à partir du 29/12/2023 (ANSM, 29/12/2023)</w:t>
      </w:r>
    </w:p>
    <w:p w:rsidR="00864C07" w:rsidRDefault="0022785A" w:rsidP="0085489F">
      <w:pPr>
        <w:pStyle w:val="Textebrut"/>
      </w:pPr>
      <w:hyperlink r:id="rId144" w:history="1">
        <w:r w:rsidR="00864C07" w:rsidRPr="00C81588">
          <w:rPr>
            <w:rStyle w:val="Lienhypertexte"/>
          </w:rPr>
          <w:t>https://ansm.sante.fr/disponibilites-des-produits-de-sante/medicaments/flagyl-125-mg-5-ml-suspension-buvable-metronidazole-benzoate-de</w:t>
        </w:r>
      </w:hyperlink>
    </w:p>
    <w:p w:rsidR="00864C07" w:rsidRDefault="00864C07" w:rsidP="0085489F">
      <w:pPr>
        <w:pStyle w:val="Textebrut"/>
      </w:pPr>
    </w:p>
    <w:p w:rsidR="00864C07" w:rsidRDefault="00864C07" w:rsidP="0085489F">
      <w:pPr>
        <w:pStyle w:val="Textebrut"/>
      </w:pPr>
      <w:proofErr w:type="spellStart"/>
      <w:r w:rsidRPr="00864C07">
        <w:t>Surmontil</w:t>
      </w:r>
      <w:proofErr w:type="spellEnd"/>
      <w:r w:rsidRPr="00864C07">
        <w:t xml:space="preserve"> 4 pour cent, solution buvable, flacon – [</w:t>
      </w:r>
      <w:proofErr w:type="spellStart"/>
      <w:r w:rsidRPr="00864C07">
        <w:t>trimipramine</w:t>
      </w:r>
      <w:proofErr w:type="spellEnd"/>
      <w:r w:rsidRPr="00864C07">
        <w:t xml:space="preserve"> (</w:t>
      </w:r>
      <w:proofErr w:type="spellStart"/>
      <w:r w:rsidRPr="00864C07">
        <w:t>mésilate</w:t>
      </w:r>
      <w:proofErr w:type="spellEnd"/>
      <w:r w:rsidRPr="00864C07">
        <w:t xml:space="preserve"> de)]</w:t>
      </w:r>
      <w:r>
        <w:t xml:space="preserve"> – Tension d’approvisionnement du 05/06/2023 au 29/03/2024 (ANSM, actualisation du 29/12/2023).</w:t>
      </w:r>
    </w:p>
    <w:p w:rsidR="00864C07" w:rsidRDefault="00864C07" w:rsidP="00864C07">
      <w:pPr>
        <w:pStyle w:val="Textebrut"/>
      </w:pPr>
      <w:r>
        <w:t xml:space="preserve">Arrêt des initiations de traitement (en ville et à l'hôpital). Date de remise à disposition prévue : mars 2024. Courrier du laboratoire </w:t>
      </w:r>
      <w:proofErr w:type="spellStart"/>
      <w:r>
        <w:t>Neuraxpharm</w:t>
      </w:r>
      <w:proofErr w:type="spellEnd"/>
      <w:r>
        <w:t xml:space="preserve"> en date du 15/12/2023.</w:t>
      </w:r>
    </w:p>
    <w:p w:rsidR="00864C07" w:rsidRDefault="0022785A" w:rsidP="00864C07">
      <w:pPr>
        <w:pStyle w:val="Textebrut"/>
      </w:pPr>
      <w:hyperlink r:id="rId145" w:history="1">
        <w:r w:rsidR="00864C07" w:rsidRPr="00C81588">
          <w:rPr>
            <w:rStyle w:val="Lienhypertexte"/>
          </w:rPr>
          <w:t>https://ansm.sante.fr/disponibilites-des-produits-de-sante/medicaments/surmontil-4-pour-cent-solution-buvable-flacon-trimipramine-mesilate-de</w:t>
        </w:r>
      </w:hyperlink>
    </w:p>
    <w:p w:rsidR="00864C07" w:rsidRDefault="00864C07" w:rsidP="00864C07">
      <w:pPr>
        <w:pStyle w:val="Textebrut"/>
      </w:pPr>
    </w:p>
    <w:p w:rsidR="00864C07" w:rsidRDefault="00864C07" w:rsidP="00864C07">
      <w:pPr>
        <w:pStyle w:val="Textebrut"/>
      </w:pPr>
      <w:proofErr w:type="spellStart"/>
      <w:r w:rsidRPr="00864C07">
        <w:t>Rulid</w:t>
      </w:r>
      <w:proofErr w:type="spellEnd"/>
      <w:r w:rsidRPr="00864C07">
        <w:t xml:space="preserve"> 50 mg, comprimé sécable pour suspension buvable – [</w:t>
      </w:r>
      <w:proofErr w:type="spellStart"/>
      <w:r w:rsidRPr="00864C07">
        <w:t>roxithromycine</w:t>
      </w:r>
      <w:proofErr w:type="spellEnd"/>
      <w:r w:rsidRPr="00864C07">
        <w:t>]</w:t>
      </w:r>
      <w:r>
        <w:t xml:space="preserve"> – Tension d’approvisionnement depuis le 21/12/2023 (ANSM, actualisation du 29/12/2023).</w:t>
      </w:r>
    </w:p>
    <w:p w:rsidR="00864C07" w:rsidRDefault="00864C07" w:rsidP="00864C07">
      <w:pPr>
        <w:pStyle w:val="Textebrut"/>
      </w:pPr>
      <w:r w:rsidRPr="00864C07">
        <w:t>Date de remise à disposition indéterminée</w:t>
      </w:r>
    </w:p>
    <w:p w:rsidR="00864C07" w:rsidRDefault="0022785A" w:rsidP="00864C07">
      <w:pPr>
        <w:pStyle w:val="Textebrut"/>
      </w:pPr>
      <w:hyperlink r:id="rId146" w:history="1">
        <w:r w:rsidR="00864C07" w:rsidRPr="00C81588">
          <w:rPr>
            <w:rStyle w:val="Lienhypertexte"/>
          </w:rPr>
          <w:t>https://ansm.sante.fr/disponibilites-des-produits-de-sante/medicaments/rulid-50-mg-comprime-secable-pour-suspension-buvable-roxithromycine</w:t>
        </w:r>
      </w:hyperlink>
    </w:p>
    <w:p w:rsidR="00864C07" w:rsidRDefault="00864C07" w:rsidP="00864C07">
      <w:pPr>
        <w:pStyle w:val="Textebrut"/>
      </w:pPr>
    </w:p>
    <w:p w:rsidR="00864C07" w:rsidRDefault="00864C07" w:rsidP="00864C07">
      <w:pPr>
        <w:pStyle w:val="Textebrut"/>
      </w:pPr>
      <w:proofErr w:type="spellStart"/>
      <w:r w:rsidRPr="00864C07">
        <w:t>Oracilline</w:t>
      </w:r>
      <w:proofErr w:type="spellEnd"/>
      <w:r w:rsidRPr="00864C07">
        <w:t xml:space="preserve"> 1 000 000 UI, comprimé sécable – [</w:t>
      </w:r>
      <w:proofErr w:type="spellStart"/>
      <w:r w:rsidRPr="00864C07">
        <w:t>phénoxyméthylpénicilline</w:t>
      </w:r>
      <w:proofErr w:type="spellEnd"/>
      <w:r w:rsidRPr="00864C07">
        <w:t>]</w:t>
      </w:r>
      <w:r>
        <w:t xml:space="preserve"> – Remise à disposition à partir du 02/01/2024 (ANSM, 02/01/2024)</w:t>
      </w:r>
    </w:p>
    <w:p w:rsidR="00864C07" w:rsidRDefault="0022785A" w:rsidP="00864C07">
      <w:pPr>
        <w:pStyle w:val="Textebrut"/>
      </w:pPr>
      <w:hyperlink r:id="rId147" w:history="1">
        <w:r w:rsidR="00864C07" w:rsidRPr="00C81588">
          <w:rPr>
            <w:rStyle w:val="Lienhypertexte"/>
          </w:rPr>
          <w:t>https://ansm.sante.fr/disponibilites-des-produits-de-sante/medicaments/oracilline-1-000-000-ui-comprime-secable-phenoxymethylpenicilline</w:t>
        </w:r>
      </w:hyperlink>
    </w:p>
    <w:p w:rsidR="00864C07" w:rsidRDefault="00864C07" w:rsidP="00864C07">
      <w:pPr>
        <w:pStyle w:val="Textebrut"/>
      </w:pPr>
    </w:p>
    <w:p w:rsidR="004B614D" w:rsidRDefault="004B614D" w:rsidP="00864C07">
      <w:pPr>
        <w:pStyle w:val="Textebrut"/>
      </w:pPr>
      <w:proofErr w:type="spellStart"/>
      <w:r w:rsidRPr="004B614D">
        <w:t>Largactil</w:t>
      </w:r>
      <w:proofErr w:type="spellEnd"/>
      <w:r w:rsidRPr="004B614D">
        <w:t xml:space="preserve"> 25 mg/5 ml, solution injectable en ampoule – [chlorpromazine]</w:t>
      </w:r>
      <w:r>
        <w:t xml:space="preserve"> – Tension d’approvisionnement à partir du 12/12/2023 (ANSM, 02/01/2024).</w:t>
      </w:r>
    </w:p>
    <w:p w:rsidR="004B614D" w:rsidRDefault="004B614D" w:rsidP="004B614D">
      <w:pPr>
        <w:pStyle w:val="Textebrut"/>
      </w:pPr>
      <w:r>
        <w:t xml:space="preserve">Tension d’approvisionnement de la spécialité </w:t>
      </w:r>
      <w:proofErr w:type="spellStart"/>
      <w:r>
        <w:t>Largactil</w:t>
      </w:r>
      <w:proofErr w:type="spellEnd"/>
      <w:r>
        <w:t xml:space="preserve"> 25 mg/5 ml, solution injectable en ampoule. Distribution contingentée en ville. Arrêt des initiations de traitement. Lettre d'information du laboratoire </w:t>
      </w:r>
      <w:proofErr w:type="spellStart"/>
      <w:r>
        <w:t>Neuraxpharm</w:t>
      </w:r>
      <w:proofErr w:type="spellEnd"/>
      <w:r>
        <w:t xml:space="preserve"> en date du 22/12/2023 à destination des professionnels de santé (02/01/2024). Remise à disposition normale en mai 2024</w:t>
      </w:r>
    </w:p>
    <w:p w:rsidR="004B614D" w:rsidRDefault="0022785A" w:rsidP="004B614D">
      <w:pPr>
        <w:pStyle w:val="Textebrut"/>
      </w:pPr>
      <w:hyperlink r:id="rId148" w:history="1">
        <w:r w:rsidR="004B614D" w:rsidRPr="00C81588">
          <w:rPr>
            <w:rStyle w:val="Lienhypertexte"/>
          </w:rPr>
          <w:t>https://ansm.sante.fr/disponibilites-des-produits-de-sante/medicaments/largactil-25-mg-5-ml-solution-injectable-en-ampoule-chlorpromazine</w:t>
        </w:r>
      </w:hyperlink>
    </w:p>
    <w:p w:rsidR="004B614D" w:rsidRDefault="004B614D" w:rsidP="004B614D">
      <w:pPr>
        <w:pStyle w:val="Textebrut"/>
      </w:pPr>
    </w:p>
    <w:p w:rsidR="00BE6403" w:rsidRDefault="00BE6403" w:rsidP="004B614D">
      <w:pPr>
        <w:pStyle w:val="Textebrut"/>
      </w:pPr>
      <w:proofErr w:type="spellStart"/>
      <w:r w:rsidRPr="00BE6403">
        <w:t>Rimifon</w:t>
      </w:r>
      <w:proofErr w:type="spellEnd"/>
      <w:r w:rsidRPr="00BE6403">
        <w:t xml:space="preserve"> 50 mg, comprimé – [isoniazide]</w:t>
      </w:r>
      <w:r>
        <w:t xml:space="preserve"> – Remise à disposition à partir du 02/01/2024 (ANSM, 03/01/2024)</w:t>
      </w:r>
    </w:p>
    <w:p w:rsidR="00BE6403" w:rsidRDefault="0022785A" w:rsidP="004B614D">
      <w:pPr>
        <w:pStyle w:val="Textebrut"/>
      </w:pPr>
      <w:hyperlink r:id="rId149" w:history="1">
        <w:r w:rsidR="00BE6403" w:rsidRPr="004C51D1">
          <w:rPr>
            <w:rStyle w:val="Lienhypertexte"/>
          </w:rPr>
          <w:t>https://ansm.sante.fr/disponibilites-des-produits-de-sante/medicaments/rimifon-50-mg-comprime-isoniazide</w:t>
        </w:r>
      </w:hyperlink>
    </w:p>
    <w:p w:rsidR="00BE6403" w:rsidRDefault="00BE6403" w:rsidP="004B614D">
      <w:pPr>
        <w:pStyle w:val="Textebrut"/>
      </w:pPr>
    </w:p>
    <w:p w:rsidR="00F8195D" w:rsidRDefault="00F8195D" w:rsidP="00F8195D">
      <w:pPr>
        <w:pStyle w:val="Textebrut"/>
      </w:pPr>
      <w:r>
        <w:t xml:space="preserve">Méthotrexate </w:t>
      </w:r>
      <w:proofErr w:type="spellStart"/>
      <w:r>
        <w:t>Viatris</w:t>
      </w:r>
      <w:proofErr w:type="spellEnd"/>
      <w:r>
        <w:t xml:space="preserve"> 100 mg/ml, solution injectable (flacons de 10 ml et 50 ml) – [méthotrexate] – Rupture de stock depuis le 24/06/2022 (ANSM, actualisation du 04/01/2024).</w:t>
      </w:r>
    </w:p>
    <w:p w:rsidR="00F8195D" w:rsidRDefault="00F8195D" w:rsidP="00F8195D">
      <w:pPr>
        <w:pStyle w:val="Textebrut"/>
      </w:pPr>
      <w:r>
        <w:t xml:space="preserve">Rupture de stock des spécialités Méthotrexate </w:t>
      </w:r>
      <w:proofErr w:type="spellStart"/>
      <w:r>
        <w:t>Viatris</w:t>
      </w:r>
      <w:proofErr w:type="spellEnd"/>
      <w:r>
        <w:t xml:space="preserve">, solution injectable : 100 mg/ml, flacon de 50 ml, 100 mg/ml, flacon de 10 ml. Remise à disposition indéterminée. Méthotrexate </w:t>
      </w:r>
      <w:proofErr w:type="spellStart"/>
      <w:r>
        <w:t>Viatris</w:t>
      </w:r>
      <w:proofErr w:type="spellEnd"/>
      <w:r>
        <w:t xml:space="preserve"> 2,5 mg/ml, solution injectable </w:t>
      </w:r>
      <w:r>
        <w:lastRenderedPageBreak/>
        <w:t xml:space="preserve">flacon de 2 ml est à nouveau disponible depuis début janvier 2024. Méthotrexate </w:t>
      </w:r>
      <w:proofErr w:type="spellStart"/>
      <w:r>
        <w:t>Viatris</w:t>
      </w:r>
      <w:proofErr w:type="spellEnd"/>
      <w:r>
        <w:t xml:space="preserve"> 50 mg/2 ml, solution injectable flacon de 2 ml est à nouveau disponible depuis début janvier 2024. La spécialité Méthotrexate </w:t>
      </w:r>
      <w:proofErr w:type="spellStart"/>
      <w:r>
        <w:t>Viatris</w:t>
      </w:r>
      <w:proofErr w:type="spellEnd"/>
      <w:r>
        <w:t xml:space="preserve"> 25 mg/ml, solution injectable (flacon de 20 ml) est disponible</w:t>
      </w:r>
    </w:p>
    <w:p w:rsidR="00F8195D" w:rsidRDefault="0022785A" w:rsidP="00F8195D">
      <w:pPr>
        <w:pStyle w:val="Textebrut"/>
      </w:pPr>
      <w:hyperlink r:id="rId150" w:history="1">
        <w:r w:rsidR="00F8195D" w:rsidRPr="004C51D1">
          <w:rPr>
            <w:rStyle w:val="Lienhypertexte"/>
          </w:rPr>
          <w:t>https://ansm.sante.fr/disponibilites-des-produits-de-sante/medicaments/methotrexate-viatris-100-mg-ml-solution-injectable-flacons-de-10-ml-et-50-ml-methotrexate</w:t>
        </w:r>
      </w:hyperlink>
    </w:p>
    <w:p w:rsidR="00F8195D" w:rsidRDefault="00F8195D" w:rsidP="00F8195D">
      <w:pPr>
        <w:pStyle w:val="Textebrut"/>
      </w:pPr>
    </w:p>
    <w:p w:rsidR="00F8195D" w:rsidRDefault="00F8195D" w:rsidP="00F8195D">
      <w:pPr>
        <w:pStyle w:val="Textebrut"/>
      </w:pPr>
      <w:proofErr w:type="spellStart"/>
      <w:r>
        <w:t>Folinate</w:t>
      </w:r>
      <w:proofErr w:type="spellEnd"/>
      <w:r>
        <w:t xml:space="preserve"> de calcium </w:t>
      </w:r>
      <w:proofErr w:type="spellStart"/>
      <w:r>
        <w:t>Ebewe</w:t>
      </w:r>
      <w:proofErr w:type="spellEnd"/>
      <w:r>
        <w:t xml:space="preserve"> 10 mg/ml, solution injectable/pour perfusion – [</w:t>
      </w:r>
      <w:proofErr w:type="spellStart"/>
      <w:r>
        <w:t>folinate</w:t>
      </w:r>
      <w:proofErr w:type="spellEnd"/>
      <w:r>
        <w:t xml:space="preserve"> de calcium] – Rupture de stock depuis le 03/08/2023 (ANSM, actualisation du 04/01/2024).</w:t>
      </w:r>
    </w:p>
    <w:p w:rsidR="00F8195D" w:rsidRDefault="00F8195D" w:rsidP="00F8195D">
      <w:pPr>
        <w:pStyle w:val="Textebrut"/>
      </w:pPr>
      <w:r>
        <w:t xml:space="preserve">Rupture de stock à l'hôpital. Mise à disposition exceptionnelle et transitoire d’unités de la spécialité </w:t>
      </w:r>
      <w:proofErr w:type="spellStart"/>
      <w:r>
        <w:t>Calciumfolinat</w:t>
      </w:r>
      <w:proofErr w:type="spellEnd"/>
      <w:r>
        <w:t xml:space="preserve"> </w:t>
      </w:r>
      <w:proofErr w:type="spellStart"/>
      <w:r>
        <w:t>Ebewe</w:t>
      </w:r>
      <w:proofErr w:type="spellEnd"/>
      <w:r>
        <w:t xml:space="preserve"> 350mg, Solution for injection or infusion. IV, IM use fabriquée en Allemagne et initialement destinée à la Thaïlande, à partir du 03/01/2024. Lettre d’information du laboratoire Sandoz en date de novembre 2023 à l’attention des professionnels de santé (04/01/2024). Remise à disposition normale indéterminée</w:t>
      </w:r>
    </w:p>
    <w:p w:rsidR="00F8195D" w:rsidRDefault="0022785A" w:rsidP="00F8195D">
      <w:pPr>
        <w:pStyle w:val="Textebrut"/>
      </w:pPr>
      <w:hyperlink r:id="rId151" w:history="1">
        <w:r w:rsidR="00F8195D" w:rsidRPr="004C51D1">
          <w:rPr>
            <w:rStyle w:val="Lienhypertexte"/>
          </w:rPr>
          <w:t>https://ansm.sante.fr/disponibilites-des-produits-de-sante/medicaments/folinate-de-calcium-ebewe-10-mg-ml-solution-injectable-pour-perfusion-folinate-de-calcium</w:t>
        </w:r>
      </w:hyperlink>
    </w:p>
    <w:p w:rsidR="00F8195D" w:rsidRDefault="00F8195D" w:rsidP="00F8195D">
      <w:pPr>
        <w:pStyle w:val="Textebrut"/>
      </w:pPr>
    </w:p>
    <w:p w:rsidR="005345E7" w:rsidRDefault="005345E7" w:rsidP="005345E7">
      <w:pPr>
        <w:pStyle w:val="Textebrut"/>
      </w:pPr>
      <w:proofErr w:type="spellStart"/>
      <w:r>
        <w:t>Creon</w:t>
      </w:r>
      <w:proofErr w:type="spellEnd"/>
      <w:r>
        <w:t xml:space="preserve"> 35 000 U, gélule </w:t>
      </w:r>
      <w:proofErr w:type="spellStart"/>
      <w:r>
        <w:t>gastrorésistante</w:t>
      </w:r>
      <w:proofErr w:type="spellEnd"/>
      <w:r>
        <w:t xml:space="preserve"> – [pancréatine] – Remise à disposition à partir du 05/01/2024 (ANSM, 05/01/2024)</w:t>
      </w:r>
    </w:p>
    <w:p w:rsidR="005345E7" w:rsidRDefault="0022785A" w:rsidP="005345E7">
      <w:pPr>
        <w:pStyle w:val="Textebrut"/>
      </w:pPr>
      <w:hyperlink r:id="rId152" w:history="1">
        <w:r w:rsidR="005345E7" w:rsidRPr="007124FA">
          <w:rPr>
            <w:rStyle w:val="Lienhypertexte"/>
          </w:rPr>
          <w:t>https://ansm.sante.fr/disponibilites-des-produits-de-sante/medicaments/creon-35-000-u-gelule-gastroresistante-pancreatine</w:t>
        </w:r>
      </w:hyperlink>
    </w:p>
    <w:p w:rsidR="005345E7" w:rsidRDefault="005345E7" w:rsidP="005345E7">
      <w:pPr>
        <w:pStyle w:val="Textebrut"/>
      </w:pPr>
    </w:p>
    <w:p w:rsidR="005345E7" w:rsidRDefault="005345E7" w:rsidP="005345E7">
      <w:pPr>
        <w:pStyle w:val="Textebrut"/>
      </w:pPr>
      <w:proofErr w:type="spellStart"/>
      <w:r>
        <w:t>Arixtra</w:t>
      </w:r>
      <w:proofErr w:type="spellEnd"/>
      <w:r>
        <w:t xml:space="preserve"> 2,5 mg/0,5 ml, solution injectable en seringue pré-remplie, boîte 2 et 7 seringues – [</w:t>
      </w:r>
      <w:proofErr w:type="spellStart"/>
      <w:r>
        <w:t>fondaparinux</w:t>
      </w:r>
      <w:proofErr w:type="spellEnd"/>
      <w:r>
        <w:t>] – Remise à disposition à partir du 05/01/2024 (ANSM, 05/01/2024)</w:t>
      </w:r>
    </w:p>
    <w:p w:rsidR="005345E7" w:rsidRDefault="0022785A" w:rsidP="005345E7">
      <w:pPr>
        <w:pStyle w:val="Textebrut"/>
      </w:pPr>
      <w:hyperlink r:id="rId153" w:history="1">
        <w:r w:rsidR="005345E7" w:rsidRPr="007124FA">
          <w:rPr>
            <w:rStyle w:val="Lienhypertexte"/>
          </w:rPr>
          <w:t>https://ansm.sante.fr/disponibilites-des-produits-de-sante/medicaments/arixtra-2-5-mg-0-5-ml-solution-injectable-en-seringue-pre-remplie-boite-2-et-7-seringues-fondaparinux</w:t>
        </w:r>
      </w:hyperlink>
    </w:p>
    <w:p w:rsidR="005345E7" w:rsidRDefault="005345E7" w:rsidP="005345E7">
      <w:pPr>
        <w:pStyle w:val="Textebrut"/>
      </w:pPr>
    </w:p>
    <w:p w:rsidR="00142405" w:rsidRDefault="00142405" w:rsidP="00142405">
      <w:pPr>
        <w:pStyle w:val="Textebrut"/>
      </w:pPr>
      <w:proofErr w:type="spellStart"/>
      <w:r>
        <w:t>Temgesic</w:t>
      </w:r>
      <w:proofErr w:type="spellEnd"/>
      <w:r>
        <w:t xml:space="preserve"> 0,2 mg, comprimé sublingual – [</w:t>
      </w:r>
      <w:proofErr w:type="spellStart"/>
      <w:r>
        <w:t>buprénorphine</w:t>
      </w:r>
      <w:proofErr w:type="spellEnd"/>
      <w:r>
        <w:t xml:space="preserve"> (chlorhydrate de)] – Remise à disposition à partir du 08/01/2024 (ANSM, 08/01/2024)</w:t>
      </w:r>
    </w:p>
    <w:p w:rsidR="00142405" w:rsidRDefault="0022785A" w:rsidP="00142405">
      <w:pPr>
        <w:pStyle w:val="Textebrut"/>
      </w:pPr>
      <w:hyperlink r:id="rId154" w:history="1">
        <w:r w:rsidR="00142405" w:rsidRPr="00047D98">
          <w:rPr>
            <w:rStyle w:val="Lienhypertexte"/>
          </w:rPr>
          <w:t>https://ansm.sante.fr/disponibilites-des-produits-de-sante/medicaments/temgesic-0-2-mg-comprime-sublingual-buprenorphine-chlorhydrate-de</w:t>
        </w:r>
      </w:hyperlink>
    </w:p>
    <w:p w:rsidR="00142405" w:rsidRDefault="00142405" w:rsidP="00142405">
      <w:pPr>
        <w:pStyle w:val="Textebrut"/>
      </w:pPr>
    </w:p>
    <w:p w:rsidR="00142405" w:rsidRDefault="00142405" w:rsidP="00142405">
      <w:pPr>
        <w:pStyle w:val="Textebrut"/>
      </w:pPr>
      <w:proofErr w:type="spellStart"/>
      <w:r>
        <w:t>Encepur</w:t>
      </w:r>
      <w:proofErr w:type="spellEnd"/>
      <w:r>
        <w:t xml:space="preserve"> 1,5 microgrammes/0,5 ml, suspension injectable en seringue </w:t>
      </w:r>
      <w:proofErr w:type="spellStart"/>
      <w:r>
        <w:t>préremplie</w:t>
      </w:r>
      <w:proofErr w:type="spellEnd"/>
      <w:r>
        <w:t>. Vaccin de l'encéphalite à tiques (inactivé, adsorbé) – [virus de l'encéphalite à tiques souche K23] – Rupture de stock depuis le 12/06/2023 (ANSM, actualisation du 08/01/2024).</w:t>
      </w:r>
    </w:p>
    <w:p w:rsidR="00142405" w:rsidRDefault="00142405" w:rsidP="00142405">
      <w:pPr>
        <w:pStyle w:val="Textebrut"/>
      </w:pPr>
      <w:r>
        <w:t>Situation en ville : Rupture. Situation à l'hôpital : Rupture. Date de remise à disposition prévue fin février 2024</w:t>
      </w:r>
    </w:p>
    <w:p w:rsidR="00142405" w:rsidRDefault="0022785A" w:rsidP="00142405">
      <w:pPr>
        <w:pStyle w:val="Textebrut"/>
      </w:pPr>
      <w:hyperlink r:id="rId155" w:history="1">
        <w:r w:rsidR="00142405" w:rsidRPr="00047D98">
          <w:rPr>
            <w:rStyle w:val="Lienhypertexte"/>
          </w:rPr>
          <w:t>https://ansm.sante.fr/disponibilites-des-produits-de-sante/vaccins/encepur-1-5-microgrammes-0-5-ml-suspension-injectable-en-seringue-preremplie-vaccin-de-lencephalite-a-tiques-inactive-adsorbe-virus-de-lencephalite-a-tiques-souche-k23</w:t>
        </w:r>
      </w:hyperlink>
    </w:p>
    <w:p w:rsidR="00142405" w:rsidRDefault="00142405" w:rsidP="00142405">
      <w:pPr>
        <w:pStyle w:val="Textebrut"/>
      </w:pPr>
    </w:p>
    <w:p w:rsidR="00820A42" w:rsidRDefault="00820A42" w:rsidP="00820A42">
      <w:pPr>
        <w:pStyle w:val="Textebrut"/>
      </w:pPr>
      <w:proofErr w:type="spellStart"/>
      <w:r>
        <w:t>Havrix</w:t>
      </w:r>
      <w:proofErr w:type="spellEnd"/>
      <w:r>
        <w:t xml:space="preserve"> nourrissons et enfants 720 U/0,5 ml, suspension injectable en seringue </w:t>
      </w:r>
      <w:proofErr w:type="spellStart"/>
      <w:r>
        <w:t>préremplie</w:t>
      </w:r>
      <w:proofErr w:type="spellEnd"/>
      <w:r>
        <w:t>. Vaccin de l'hépatite A (inactivé adsorbé) – [virus de l'hépatite A souche HM175 (inactivé, adsorbé)] – Remise à disposition à partir du 05/01/2024 (ANSM, 09/01/2024)</w:t>
      </w:r>
    </w:p>
    <w:p w:rsidR="00820A42" w:rsidRDefault="0022785A" w:rsidP="00820A42">
      <w:pPr>
        <w:pStyle w:val="Textebrut"/>
      </w:pPr>
      <w:hyperlink r:id="rId156" w:history="1">
        <w:r w:rsidR="00820A42" w:rsidRPr="002D00CB">
          <w:rPr>
            <w:rStyle w:val="Lienhypertexte"/>
          </w:rPr>
          <w:t>https://ansm.sante.fr/disponibilites-des-produits-de-sante/vaccins/havrix-nourrissons-et-enfants-720-u-0-5-ml-suspension-injectable-en-seringue-preremplie-vaccin-de-lhepatite-a-inactive-adsorbe-virus-de-lhepatite-a-souche-hm175-inactive-adsorbe</w:t>
        </w:r>
      </w:hyperlink>
    </w:p>
    <w:p w:rsidR="00820A42" w:rsidRDefault="00820A42" w:rsidP="00820A42">
      <w:pPr>
        <w:pStyle w:val="Textebrut"/>
      </w:pPr>
    </w:p>
    <w:p w:rsidR="00820A42" w:rsidRDefault="00820A42" w:rsidP="00820A42">
      <w:pPr>
        <w:pStyle w:val="Textebrut"/>
      </w:pPr>
      <w:proofErr w:type="spellStart"/>
      <w:r>
        <w:t>Prenoxad</w:t>
      </w:r>
      <w:proofErr w:type="spellEnd"/>
      <w:r>
        <w:t xml:space="preserve"> 0,91 mg/ml, solution injectable en seringue </w:t>
      </w:r>
      <w:proofErr w:type="spellStart"/>
      <w:r>
        <w:t>préremplie</w:t>
      </w:r>
      <w:proofErr w:type="spellEnd"/>
      <w:r>
        <w:t xml:space="preserve"> – [</w:t>
      </w:r>
      <w:proofErr w:type="spellStart"/>
      <w:r>
        <w:t>naloxone</w:t>
      </w:r>
      <w:proofErr w:type="spellEnd"/>
      <w:r>
        <w:t xml:space="preserve"> (chlorhydrate de) </w:t>
      </w:r>
      <w:proofErr w:type="spellStart"/>
      <w:r>
        <w:t>dihydraté</w:t>
      </w:r>
      <w:proofErr w:type="spellEnd"/>
      <w:r>
        <w:t>] – Rupture de stock depuis le 21/12/2023 (ANSM, actualisation du 09/01/2024).</w:t>
      </w:r>
    </w:p>
    <w:p w:rsidR="00820A42" w:rsidRDefault="00820A42" w:rsidP="00820A42">
      <w:pPr>
        <w:pStyle w:val="Textebrut"/>
      </w:pPr>
      <w:r>
        <w:t xml:space="preserve">Situation en ville : Rupture. Situation à l'hôpital : Rupture. Lettre d’information du laboratoire </w:t>
      </w:r>
      <w:proofErr w:type="spellStart"/>
      <w:r>
        <w:t>Ethypharm</w:t>
      </w:r>
      <w:proofErr w:type="spellEnd"/>
      <w:r>
        <w:t xml:space="preserve"> en date du 08/01/2024 (09/01/2024). Disponibilité d'un stock de dépannage limité du laboratoire à destination des CSAPA, CAARUD et service d'addictologie hospitalier. Des alternatives à base de </w:t>
      </w:r>
      <w:proofErr w:type="spellStart"/>
      <w:r>
        <w:t>naloxone</w:t>
      </w:r>
      <w:proofErr w:type="spellEnd"/>
      <w:r>
        <w:t xml:space="preserve"> restent disponibles. Date de remise à disposition prévue : Début mars 2024</w:t>
      </w:r>
    </w:p>
    <w:p w:rsidR="00820A42" w:rsidRDefault="0022785A" w:rsidP="00820A42">
      <w:pPr>
        <w:pStyle w:val="Textebrut"/>
      </w:pPr>
      <w:hyperlink r:id="rId157" w:history="1">
        <w:r w:rsidR="00820A42" w:rsidRPr="002D00CB">
          <w:rPr>
            <w:rStyle w:val="Lienhypertexte"/>
          </w:rPr>
          <w:t>https://ansm.sante.fr/disponibilites-des-produits-de-sante/medicaments/prenoxad-0-91-mg-ml-solution-injectable-en-seringue-preremplie-naloxone-chlorhydrate-de-dihydrate</w:t>
        </w:r>
      </w:hyperlink>
    </w:p>
    <w:p w:rsidR="00820A42" w:rsidRDefault="00820A42" w:rsidP="00820A42">
      <w:pPr>
        <w:pStyle w:val="Textebrut"/>
      </w:pPr>
    </w:p>
    <w:p w:rsidR="00846A5D" w:rsidRDefault="00846A5D" w:rsidP="00846A5D">
      <w:pPr>
        <w:pStyle w:val="Textebrut"/>
      </w:pPr>
      <w:r>
        <w:t>Xylocaïne 5 mg/ml, 10 mg/ml et 20 mg/ml sans conservateur, solution injectable – [chlorhydrate de lidocaïne] – Remise à disposition à partir du 10/01/2024 (ANSM, 10/01/2024)</w:t>
      </w:r>
    </w:p>
    <w:p w:rsidR="00846A5D" w:rsidRDefault="0022785A" w:rsidP="00846A5D">
      <w:pPr>
        <w:pStyle w:val="Textebrut"/>
      </w:pPr>
      <w:hyperlink r:id="rId158" w:history="1">
        <w:r w:rsidR="00846A5D" w:rsidRPr="005A3CC6">
          <w:rPr>
            <w:rStyle w:val="Lienhypertexte"/>
          </w:rPr>
          <w:t>https://ansm.sante.fr/disponibilites-des-produits-de-sante/medicaments/xylocaine-5-mg-ml-sans-conservateur-solution-injectable-chlorhydrate-de-lidocaine</w:t>
        </w:r>
      </w:hyperlink>
    </w:p>
    <w:p w:rsidR="00846A5D" w:rsidRDefault="0022785A" w:rsidP="00846A5D">
      <w:pPr>
        <w:pStyle w:val="Textebrut"/>
      </w:pPr>
      <w:hyperlink r:id="rId159" w:history="1">
        <w:r w:rsidR="00846A5D" w:rsidRPr="005A3CC6">
          <w:rPr>
            <w:rStyle w:val="Lienhypertexte"/>
          </w:rPr>
          <w:t>https://ansm.sante.fr/disponibilites-des-produits-de-sante/medicaments/xylocaine-10-mg-ml-sans-conservateur-solution-injectable-chlorhydrate-de-lidocaine</w:t>
        </w:r>
      </w:hyperlink>
    </w:p>
    <w:p w:rsidR="00846A5D" w:rsidRDefault="0022785A" w:rsidP="00846A5D">
      <w:pPr>
        <w:pStyle w:val="Textebrut"/>
      </w:pPr>
      <w:hyperlink r:id="rId160" w:history="1">
        <w:r w:rsidR="00846A5D" w:rsidRPr="005A3CC6">
          <w:rPr>
            <w:rStyle w:val="Lienhypertexte"/>
          </w:rPr>
          <w:t>https://ansm.sante.fr/disponibilites-des-produits-de-sante/medicaments/xylocaine-20-mg-ml-sans-conservateur-solution-injectable-chlorhydrate-de-lidocaine</w:t>
        </w:r>
      </w:hyperlink>
    </w:p>
    <w:p w:rsidR="00846A5D" w:rsidRDefault="00846A5D" w:rsidP="00846A5D">
      <w:pPr>
        <w:pStyle w:val="Textebrut"/>
      </w:pPr>
    </w:p>
    <w:p w:rsidR="00CC226D" w:rsidRDefault="00CC226D" w:rsidP="00CC226D">
      <w:pPr>
        <w:pStyle w:val="Textebrut"/>
      </w:pPr>
      <w:proofErr w:type="spellStart"/>
      <w:r>
        <w:t>Creon</w:t>
      </w:r>
      <w:proofErr w:type="spellEnd"/>
      <w:r>
        <w:t xml:space="preserve"> 10 000 U, gélule </w:t>
      </w:r>
      <w:proofErr w:type="spellStart"/>
      <w:r>
        <w:t>gastrorésistante</w:t>
      </w:r>
      <w:proofErr w:type="spellEnd"/>
      <w:r>
        <w:t xml:space="preserve"> – [pancréatine] – Tension d’approvisionnement depuis le 05/10/2023 (ANSM, actualisation du 11/01/2024).</w:t>
      </w:r>
    </w:p>
    <w:p w:rsidR="00CC226D" w:rsidRDefault="00CC226D" w:rsidP="00CC226D">
      <w:pPr>
        <w:pStyle w:val="Textebrut"/>
      </w:pPr>
      <w:r>
        <w:t>Tension d’approvisionnement concernant les présentations en flacon (PEHD) de 60 gélules et 120 gélules. Distribution contingentée en ville</w:t>
      </w:r>
    </w:p>
    <w:p w:rsidR="00CC226D" w:rsidRDefault="0022785A" w:rsidP="00CC226D">
      <w:pPr>
        <w:pStyle w:val="Textebrut"/>
      </w:pPr>
      <w:hyperlink r:id="rId161" w:history="1">
        <w:r w:rsidR="00CC226D" w:rsidRPr="00A519B2">
          <w:rPr>
            <w:rStyle w:val="Lienhypertexte"/>
          </w:rPr>
          <w:t>https://ansm.sante.fr/disponibilites-des-produits-de-sante/medicaments/creon-10-000-u-gelule-gastroresistante-pancreatine</w:t>
        </w:r>
      </w:hyperlink>
    </w:p>
    <w:p w:rsidR="00CC226D" w:rsidRDefault="00CC226D" w:rsidP="00CC226D">
      <w:pPr>
        <w:pStyle w:val="Textebrut"/>
      </w:pPr>
    </w:p>
    <w:p w:rsidR="00CC226D" w:rsidRDefault="00CC226D" w:rsidP="00CC226D">
      <w:pPr>
        <w:pStyle w:val="Textebrut"/>
      </w:pPr>
      <w:proofErr w:type="spellStart"/>
      <w:r>
        <w:t>Creon</w:t>
      </w:r>
      <w:proofErr w:type="spellEnd"/>
      <w:r>
        <w:t xml:space="preserve"> 25 000 U, gélule </w:t>
      </w:r>
      <w:proofErr w:type="spellStart"/>
      <w:r>
        <w:t>gastrorésistante</w:t>
      </w:r>
      <w:proofErr w:type="spellEnd"/>
      <w:r>
        <w:t xml:space="preserve"> – [pancréatine] – Tension d’approvisionnement depuis le 01/09/2023 (ANSM, actualisation du 11/01/2024).</w:t>
      </w:r>
    </w:p>
    <w:p w:rsidR="00CC226D" w:rsidRDefault="00CC226D" w:rsidP="00CC226D">
      <w:pPr>
        <w:pStyle w:val="Textebrut"/>
      </w:pPr>
      <w:r>
        <w:t>Tension d’approvisionnement concernant la présentation en boîte de 60 gélules (plaquettes thermoformées) : distribution contingentée à l’hôpital et report possible sur la présentation en flacon de 60 gélules. Distribution contingentée en ville de la présentation en flacon de 60 gélules</w:t>
      </w:r>
    </w:p>
    <w:p w:rsidR="00CC226D" w:rsidRDefault="0022785A" w:rsidP="00CC226D">
      <w:pPr>
        <w:pStyle w:val="Textebrut"/>
      </w:pPr>
      <w:hyperlink r:id="rId162" w:history="1">
        <w:r w:rsidR="00CC226D" w:rsidRPr="00A519B2">
          <w:rPr>
            <w:rStyle w:val="Lienhypertexte"/>
          </w:rPr>
          <w:t>https://ansm.sante.fr/disponibilites-des-produits-de-sante/medicaments/creon-25-000-u-gelule-gastroresistante-pancreatine</w:t>
        </w:r>
      </w:hyperlink>
    </w:p>
    <w:p w:rsidR="00CC226D" w:rsidRDefault="00CC226D" w:rsidP="00CC226D">
      <w:pPr>
        <w:pStyle w:val="Textebrut"/>
      </w:pPr>
    </w:p>
    <w:p w:rsidR="002F3AA7" w:rsidRDefault="002F3AA7" w:rsidP="002F3AA7">
      <w:pPr>
        <w:pStyle w:val="Textebrut"/>
      </w:pPr>
      <w:proofErr w:type="spellStart"/>
      <w:r>
        <w:t>Ticovac</w:t>
      </w:r>
      <w:proofErr w:type="spellEnd"/>
      <w:r>
        <w:t xml:space="preserve"> 0,25 ml enfants, suspension injectable en seringue </w:t>
      </w:r>
      <w:proofErr w:type="spellStart"/>
      <w:r>
        <w:t>préremplie</w:t>
      </w:r>
      <w:proofErr w:type="spellEnd"/>
      <w:r>
        <w:t xml:space="preserve">. Vaccin de l'encéphalite à tiques (virus entier inactivé) – [virus de l'encéphalite à tique souche </w:t>
      </w:r>
      <w:proofErr w:type="spellStart"/>
      <w:r>
        <w:t>Neudoerfl</w:t>
      </w:r>
      <w:proofErr w:type="spellEnd"/>
      <w:r>
        <w:t xml:space="preserve"> </w:t>
      </w:r>
      <w:proofErr w:type="gramStart"/>
      <w:r>
        <w:t>inactivé ]</w:t>
      </w:r>
      <w:proofErr w:type="gramEnd"/>
      <w:r>
        <w:t xml:space="preserve"> – Tension d’approvisionnement depuis le 09/08/2023 (ANSM, actualisation du 12/01/2024).</w:t>
      </w:r>
    </w:p>
    <w:p w:rsidR="002F3AA7" w:rsidRDefault="002F3AA7" w:rsidP="002F3AA7">
      <w:pPr>
        <w:pStyle w:val="Textebrut"/>
      </w:pPr>
      <w:r>
        <w:t xml:space="preserve">Situation en ville : non impactée. Situation à l'hôpital : non impactée. Mise à disposition exceptionnelle et transitoire d’unités de la spécialité </w:t>
      </w:r>
      <w:proofErr w:type="spellStart"/>
      <w:r>
        <w:t>TicoVac</w:t>
      </w:r>
      <w:proofErr w:type="spellEnd"/>
      <w:r>
        <w:t xml:space="preserve"> Junior </w:t>
      </w:r>
      <w:proofErr w:type="spellStart"/>
      <w:r>
        <w:t>injektioneste</w:t>
      </w:r>
      <w:proofErr w:type="spellEnd"/>
      <w:r>
        <w:t xml:space="preserve">, </w:t>
      </w:r>
      <w:proofErr w:type="spellStart"/>
      <w:r>
        <w:t>suspensio</w:t>
      </w:r>
      <w:proofErr w:type="spellEnd"/>
      <w:r>
        <w:t xml:space="preserve"> </w:t>
      </w:r>
      <w:proofErr w:type="spellStart"/>
      <w:r>
        <w:t>esitäytetyssä</w:t>
      </w:r>
      <w:proofErr w:type="spellEnd"/>
      <w:r>
        <w:t xml:space="preserve"> </w:t>
      </w:r>
      <w:proofErr w:type="spellStart"/>
      <w:r>
        <w:t>ruiskussa</w:t>
      </w:r>
      <w:proofErr w:type="spellEnd"/>
      <w:r>
        <w:t xml:space="preserve"> initialement destinées au marché finlandais (uniquement pour le marché hospitalier) à compter du 23 octobre 2023. Lettre d’information du laboratoire aux pharmaciens hospitaliers, collectivités et centres de vaccination en date du 15 septembre 2023 (23/10/2023)</w:t>
      </w:r>
    </w:p>
    <w:p w:rsidR="002F3AA7" w:rsidRDefault="002F3AA7" w:rsidP="002F3AA7">
      <w:pPr>
        <w:pStyle w:val="Textebrut"/>
      </w:pPr>
      <w:r>
        <w:t xml:space="preserve">En raison de la tension d'approvisionnement générale pour les vaccins contre le virus de l'encéphalite à tiques, la remise à disposition de </w:t>
      </w:r>
      <w:proofErr w:type="spellStart"/>
      <w:r>
        <w:t>Ticovac</w:t>
      </w:r>
      <w:proofErr w:type="spellEnd"/>
      <w:r>
        <w:t xml:space="preserve"> 0,25 ml enfant est progressive et sous surveillance. Date de remise à disposition prévue fin janvier 2024</w:t>
      </w:r>
    </w:p>
    <w:p w:rsidR="002F3AA7" w:rsidRDefault="0022785A" w:rsidP="002F3AA7">
      <w:pPr>
        <w:pStyle w:val="Textebrut"/>
      </w:pPr>
      <w:hyperlink r:id="rId163" w:history="1">
        <w:r w:rsidR="002F3AA7" w:rsidRPr="004F6744">
          <w:rPr>
            <w:rStyle w:val="Lienhypertexte"/>
          </w:rPr>
          <w:t>https://ansm.sante.fr/disponibilites-des-produits-de-sante/vaccins/ticovac-0-25-ml-enfants-suspension-injectable-en-seringue-preremplie-vaccin-de-lencephalite-a-tiques-virus-entier-inactive-virus-de-lencephalite-a-tique-souche-neudoerfl-inactive</w:t>
        </w:r>
      </w:hyperlink>
    </w:p>
    <w:p w:rsidR="002F3AA7" w:rsidRDefault="002F3AA7" w:rsidP="002F3AA7">
      <w:pPr>
        <w:pStyle w:val="Textebrut"/>
      </w:pPr>
    </w:p>
    <w:p w:rsidR="006028A0" w:rsidRDefault="006028A0" w:rsidP="006028A0">
      <w:pPr>
        <w:pStyle w:val="Textebrut"/>
      </w:pPr>
      <w:proofErr w:type="spellStart"/>
      <w:r>
        <w:t>ViperFav</w:t>
      </w:r>
      <w:proofErr w:type="spellEnd"/>
      <w:r>
        <w:t>, solution à diluer pour perfusion – [fragments F(ab')2 d'immunoglobuline équine antivenimeuse de vipère européenne] – Tension d’approvisionnement depuis le 20/03/2023 (ANSM, actualisation du 15/01/2024).</w:t>
      </w:r>
    </w:p>
    <w:p w:rsidR="006028A0" w:rsidRDefault="006028A0" w:rsidP="006028A0">
      <w:pPr>
        <w:pStyle w:val="Textebrut"/>
      </w:pPr>
      <w:r>
        <w:t xml:space="preserve">Distribution contingentée (contingentement géographique) à l'hôpital. Mise à disposition exceptionnelle et transitoire des centres hospitaliers situés dans les régions autres que celles citées dans la fiche d’information, d’unités de la spécialité </w:t>
      </w:r>
      <w:proofErr w:type="spellStart"/>
      <w:r>
        <w:t>ViperaTAb</w:t>
      </w:r>
      <w:proofErr w:type="spellEnd"/>
      <w:r>
        <w:t xml:space="preserve"> </w:t>
      </w:r>
      <w:proofErr w:type="spellStart"/>
      <w:r>
        <w:t>Affinity</w:t>
      </w:r>
      <w:proofErr w:type="spellEnd"/>
      <w:r>
        <w:t xml:space="preserve"> </w:t>
      </w:r>
      <w:proofErr w:type="spellStart"/>
      <w:r>
        <w:t>Purified</w:t>
      </w:r>
      <w:proofErr w:type="spellEnd"/>
      <w:r>
        <w:t xml:space="preserve"> </w:t>
      </w:r>
      <w:proofErr w:type="spellStart"/>
      <w:r>
        <w:t>European</w:t>
      </w:r>
      <w:proofErr w:type="spellEnd"/>
      <w:r>
        <w:t xml:space="preserve"> </w:t>
      </w:r>
      <w:proofErr w:type="spellStart"/>
      <w:r>
        <w:t>Viper</w:t>
      </w:r>
      <w:proofErr w:type="spellEnd"/>
      <w:r>
        <w:t xml:space="preserve"> </w:t>
      </w:r>
      <w:proofErr w:type="spellStart"/>
      <w:r>
        <w:t>Antivenom</w:t>
      </w:r>
      <w:proofErr w:type="spellEnd"/>
      <w:r>
        <w:t xml:space="preserve"> initialement destinées au marché export. Lettre d’information du laboratoire </w:t>
      </w:r>
      <w:proofErr w:type="spellStart"/>
      <w:r>
        <w:t>Inresa</w:t>
      </w:r>
      <w:proofErr w:type="spellEnd"/>
      <w:r>
        <w:t xml:space="preserve"> en date du 08/08/2023 à l’attention des professionnels de santé (08/08/2023)</w:t>
      </w:r>
    </w:p>
    <w:p w:rsidR="006028A0" w:rsidRDefault="006028A0" w:rsidP="006028A0">
      <w:pPr>
        <w:pStyle w:val="Textebrut"/>
      </w:pPr>
      <w:r>
        <w:t xml:space="preserve">Extension de péremption de la durée de conservation du lot T4A111V, U4A001V et U4A0011V. Lettre d’information du laboratoire </w:t>
      </w:r>
      <w:proofErr w:type="spellStart"/>
      <w:r>
        <w:t>Inresa</w:t>
      </w:r>
      <w:proofErr w:type="spellEnd"/>
      <w:r>
        <w:t xml:space="preserve"> en date du 12/01/2024 à l’attention des professionnels de santé (15/01/2024). Remise à disposition normale prévue pour le deuxième trimestre 2024</w:t>
      </w:r>
    </w:p>
    <w:p w:rsidR="006028A0" w:rsidRDefault="0022785A" w:rsidP="006028A0">
      <w:pPr>
        <w:pStyle w:val="Textebrut"/>
      </w:pPr>
      <w:hyperlink r:id="rId164" w:history="1">
        <w:r w:rsidR="006028A0" w:rsidRPr="004F6744">
          <w:rPr>
            <w:rStyle w:val="Lienhypertexte"/>
          </w:rPr>
          <w:t>https://ansm.sante.fr/disponibilites-des-produits-de-sante/medicaments/viperfav-solution-a-diluer-pour-perfusion-fragments-f-ab-2-dimmunoglobuline-equine-antivenimeuse-de-vipere-europeenne</w:t>
        </w:r>
      </w:hyperlink>
    </w:p>
    <w:p w:rsidR="006028A0" w:rsidRDefault="006028A0" w:rsidP="006028A0">
      <w:pPr>
        <w:pStyle w:val="Textebrut"/>
      </w:pPr>
    </w:p>
    <w:p w:rsidR="009E053E" w:rsidRDefault="009E053E" w:rsidP="009E053E">
      <w:pPr>
        <w:pStyle w:val="Textebrut"/>
      </w:pPr>
      <w:r>
        <w:t>Point de situation des approvisionnements des médicaments dérivés du sang (ANSM, actualisation du 15/01/2024)</w:t>
      </w:r>
    </w:p>
    <w:p w:rsidR="009E053E" w:rsidRDefault="0022785A" w:rsidP="009E053E">
      <w:pPr>
        <w:pStyle w:val="Textebrut"/>
      </w:pPr>
      <w:hyperlink r:id="rId165" w:history="1">
        <w:r w:rsidR="009E053E" w:rsidRPr="00E0313D">
          <w:rPr>
            <w:rStyle w:val="Lienhypertexte"/>
          </w:rPr>
          <w:t>https://ansm.sante.fr/actualites/point-de-situation-des-approvisionnements-des-medicaments-derives-du-sang</w:t>
        </w:r>
      </w:hyperlink>
    </w:p>
    <w:p w:rsidR="009E053E" w:rsidRDefault="009E053E" w:rsidP="009E053E">
      <w:pPr>
        <w:pStyle w:val="Textebrut"/>
      </w:pPr>
    </w:p>
    <w:p w:rsidR="009E053E" w:rsidRDefault="009E053E" w:rsidP="009E053E">
      <w:pPr>
        <w:pStyle w:val="Textebrut"/>
      </w:pPr>
      <w:proofErr w:type="spellStart"/>
      <w:r>
        <w:t>Oracilline</w:t>
      </w:r>
      <w:proofErr w:type="spellEnd"/>
      <w:r>
        <w:t xml:space="preserve"> 250 000 UI/5 ml, suspension buvable – [</w:t>
      </w:r>
      <w:proofErr w:type="spellStart"/>
      <w:r>
        <w:t>phénoxyméthylpénicilline</w:t>
      </w:r>
      <w:proofErr w:type="spellEnd"/>
      <w:r>
        <w:t>] – Tension d’approvisionnement depuis le 22/11/2023 (ANSM, actualisation du 15/01/2024).</w:t>
      </w:r>
    </w:p>
    <w:p w:rsidR="009E053E" w:rsidRDefault="009E053E" w:rsidP="009E053E">
      <w:pPr>
        <w:pStyle w:val="Textebrut"/>
      </w:pPr>
      <w:r>
        <w:t xml:space="preserve">Tension d’approvisionnement en </w:t>
      </w:r>
      <w:proofErr w:type="spellStart"/>
      <w:r>
        <w:t>Oracilline</w:t>
      </w:r>
      <w:proofErr w:type="spellEnd"/>
      <w:r>
        <w:t xml:space="preserve"> 250 000 UI/5 ml, suspension buvable. Distribution contingentée du stock disponible réservée prioritairement aux marchés hospitaliers et aux DROM COM. Distribution contingentée en ville. La spécialité </w:t>
      </w:r>
      <w:proofErr w:type="spellStart"/>
      <w:r>
        <w:t>Oracilline</w:t>
      </w:r>
      <w:proofErr w:type="spellEnd"/>
      <w:r>
        <w:t xml:space="preserve"> 500 000 UI/5 ml est disponible. Lettre d’information du laboratoire </w:t>
      </w:r>
      <w:proofErr w:type="spellStart"/>
      <w:r>
        <w:t>Teofarma</w:t>
      </w:r>
      <w:proofErr w:type="spellEnd"/>
      <w:r>
        <w:t xml:space="preserve"> en date du 18/12/2023 à l’attention des professionnels de santé (19/12/2023). Remise à disposition normale prévue début janvier 2024 pour </w:t>
      </w:r>
      <w:proofErr w:type="spellStart"/>
      <w:r>
        <w:t>Oracilline</w:t>
      </w:r>
      <w:proofErr w:type="spellEnd"/>
      <w:r>
        <w:t xml:space="preserve"> 1 000 000 UI/10 ml, suspension buvable. Remise à disposition normale prévue en février 2024 pour </w:t>
      </w:r>
      <w:proofErr w:type="spellStart"/>
      <w:r>
        <w:t>Oracilline</w:t>
      </w:r>
      <w:proofErr w:type="spellEnd"/>
      <w:r>
        <w:t xml:space="preserve"> 250 000 UI/5 ml, suspension buvable</w:t>
      </w:r>
    </w:p>
    <w:p w:rsidR="009E053E" w:rsidRDefault="0022785A" w:rsidP="009E053E">
      <w:pPr>
        <w:pStyle w:val="Textebrut"/>
      </w:pPr>
      <w:hyperlink r:id="rId166" w:history="1">
        <w:r w:rsidR="009E053E" w:rsidRPr="00E0313D">
          <w:rPr>
            <w:rStyle w:val="Lienhypertexte"/>
          </w:rPr>
          <w:t>https://ansm.sante.fr/disponibilites-des-produits-de-sante/medicaments/oracilline-250-000-ui-5-ml-suspension-buvable-phenoxymethylpenicilline</w:t>
        </w:r>
      </w:hyperlink>
    </w:p>
    <w:p w:rsidR="009E053E" w:rsidRDefault="009E053E" w:rsidP="009E053E">
      <w:pPr>
        <w:pStyle w:val="Textebrut"/>
      </w:pPr>
    </w:p>
    <w:p w:rsidR="00032B13" w:rsidRDefault="00032B13" w:rsidP="00032B13">
      <w:pPr>
        <w:pStyle w:val="Textebrut"/>
      </w:pPr>
      <w:r>
        <w:t>Bétadine dermique 10%, solution pour application locale – [</w:t>
      </w:r>
      <w:proofErr w:type="spellStart"/>
      <w:r>
        <w:t>Povidone</w:t>
      </w:r>
      <w:proofErr w:type="spellEnd"/>
      <w:r>
        <w:t xml:space="preserve"> iodée] – Remise à disposition à partir du 01/10/2023 (ANSM, 16/01/2024)</w:t>
      </w:r>
    </w:p>
    <w:p w:rsidR="00032B13" w:rsidRDefault="0022785A" w:rsidP="00032B13">
      <w:pPr>
        <w:pStyle w:val="Textebrut"/>
      </w:pPr>
      <w:hyperlink r:id="rId167" w:history="1">
        <w:r w:rsidR="00032B13" w:rsidRPr="0046443B">
          <w:rPr>
            <w:rStyle w:val="Lienhypertexte"/>
          </w:rPr>
          <w:t>https://ansm.sante.fr/disponibilites-des-produits-de-sante/medicaments/betadine-dermique-10-solution-pour-application-locale-povidone-iodee</w:t>
        </w:r>
      </w:hyperlink>
    </w:p>
    <w:p w:rsidR="00032B13" w:rsidRDefault="00032B13" w:rsidP="00032B13">
      <w:pPr>
        <w:pStyle w:val="Textebrut"/>
      </w:pPr>
    </w:p>
    <w:p w:rsidR="00032B13" w:rsidRDefault="00032B13" w:rsidP="00032B13">
      <w:pPr>
        <w:pStyle w:val="Textebrut"/>
      </w:pPr>
      <w:proofErr w:type="spellStart"/>
      <w:r>
        <w:t>Monoprost</w:t>
      </w:r>
      <w:proofErr w:type="spellEnd"/>
      <w:r>
        <w:t xml:space="preserve"> 50 microgrammes/ml, collyre en solution en récipient unidose – [</w:t>
      </w:r>
      <w:proofErr w:type="spellStart"/>
      <w:r>
        <w:t>Latanoprost</w:t>
      </w:r>
      <w:proofErr w:type="spellEnd"/>
      <w:r>
        <w:t>] – Tension d’approvisionnement depuis le 07/02/2023 (ANSM, actualisation du 16/01/2024).</w:t>
      </w:r>
    </w:p>
    <w:p w:rsidR="00032B13" w:rsidRDefault="00032B13" w:rsidP="00032B13">
      <w:pPr>
        <w:pStyle w:val="Textebrut"/>
      </w:pPr>
      <w:r>
        <w:t>Distribution contingentée en ville. Distribution normale à l'hôpital. Remise à disposition normale prévue fin avril 2024</w:t>
      </w:r>
    </w:p>
    <w:p w:rsidR="00032B13" w:rsidRDefault="0022785A" w:rsidP="00032B13">
      <w:pPr>
        <w:pStyle w:val="Textebrut"/>
      </w:pPr>
      <w:hyperlink r:id="rId168" w:history="1">
        <w:r w:rsidR="00032B13" w:rsidRPr="0046443B">
          <w:rPr>
            <w:rStyle w:val="Lienhypertexte"/>
          </w:rPr>
          <w:t>https://ansm.sante.fr/disponibilites-des-produits-de-sante/medicaments/monoprost-50-microgrammes-ml-collyre-en-solution-en-recipient-unidose-latanoprost</w:t>
        </w:r>
      </w:hyperlink>
    </w:p>
    <w:p w:rsidR="00032B13" w:rsidRDefault="00032B13" w:rsidP="00032B13">
      <w:pPr>
        <w:pStyle w:val="Textebrut"/>
      </w:pPr>
    </w:p>
    <w:p w:rsidR="00032B13" w:rsidRDefault="00032B13" w:rsidP="00032B13">
      <w:pPr>
        <w:pStyle w:val="Textebrut"/>
      </w:pPr>
      <w:r>
        <w:t>Amoxicilline-</w:t>
      </w:r>
      <w:proofErr w:type="spellStart"/>
      <w:r>
        <w:t>Clamoxyl</w:t>
      </w:r>
      <w:proofErr w:type="spellEnd"/>
      <w:r>
        <w:t xml:space="preserve"> toutes formes orales, tous dosages – [Amoxicilline] – Tension d’approvisionnement depuis le 10/10/2022 (ANSM, actualisation du 16/01/2024).</w:t>
      </w:r>
    </w:p>
    <w:p w:rsidR="00032B13" w:rsidRDefault="00032B13" w:rsidP="00032B13">
      <w:pPr>
        <w:pStyle w:val="Textebrut"/>
      </w:pPr>
      <w:r>
        <w:t xml:space="preserve">Maintien d’une distribution contingentée par chaque laboratoire selon ses stocks disponibles. Mise à disposition à titre exceptionnel et transitoire pour le marché de ville d’unités d’une spécialité similaire Amoxicilline </w:t>
      </w:r>
      <w:proofErr w:type="spellStart"/>
      <w:r>
        <w:t>Microlabs</w:t>
      </w:r>
      <w:proofErr w:type="spellEnd"/>
      <w:r>
        <w:t xml:space="preserve"> 500 mg/5 ml, poudre pour suspension buvable, initialement destinées au marché allemand à compter du 15 janvier 2024 : Lettre d’information du laboratoire </w:t>
      </w:r>
      <w:proofErr w:type="spellStart"/>
      <w:r>
        <w:t>Viatris</w:t>
      </w:r>
      <w:proofErr w:type="spellEnd"/>
      <w:r>
        <w:t xml:space="preserve"> à l’attention des pharmaciens d’officine (16/01/2024) ; lettre d’information du laboratoire </w:t>
      </w:r>
      <w:proofErr w:type="spellStart"/>
      <w:r>
        <w:t>Viatris</w:t>
      </w:r>
      <w:proofErr w:type="spellEnd"/>
      <w:r>
        <w:t xml:space="preserve"> à l’attention des patients (16/01/2024). Consultez les recommandations pour contribuer à garantir la couverture des besoins des patients. L’ANSM accompagne la mise à disposition de préparations magistrales pour contribuer à garantir la couverture des besoins en pédiatrie. Consultez les données d’approvisionnement</w:t>
      </w:r>
    </w:p>
    <w:p w:rsidR="00032B13" w:rsidRDefault="0022785A" w:rsidP="00032B13">
      <w:pPr>
        <w:pStyle w:val="Textebrut"/>
      </w:pPr>
      <w:hyperlink r:id="rId169" w:history="1">
        <w:r w:rsidR="00032B13" w:rsidRPr="0046443B">
          <w:rPr>
            <w:rStyle w:val="Lienhypertexte"/>
          </w:rPr>
          <w:t>https://ansm.sante.fr/disponibilites-des-produits-de-sante/medicaments/amoxicilline-clamoxyl-toutes-formes-orales-tous-dosages-amoxicilline</w:t>
        </w:r>
      </w:hyperlink>
    </w:p>
    <w:p w:rsidR="00032B13" w:rsidRDefault="00032B13" w:rsidP="00032B13">
      <w:pPr>
        <w:pStyle w:val="Textebrut"/>
      </w:pPr>
    </w:p>
    <w:p w:rsidR="00AB1812" w:rsidRDefault="00AB1812" w:rsidP="00AB1812">
      <w:pPr>
        <w:pStyle w:val="Textebrut"/>
      </w:pPr>
      <w:proofErr w:type="spellStart"/>
      <w:r>
        <w:t>Nozinan</w:t>
      </w:r>
      <w:proofErr w:type="spellEnd"/>
      <w:r>
        <w:t xml:space="preserve"> 100 mg, comprimé pelliculé sécable – [</w:t>
      </w:r>
      <w:proofErr w:type="spellStart"/>
      <w:r>
        <w:t>lévomépromazine</w:t>
      </w:r>
      <w:proofErr w:type="spellEnd"/>
      <w:r>
        <w:t xml:space="preserve"> (</w:t>
      </w:r>
      <w:proofErr w:type="spellStart"/>
      <w:r>
        <w:t>maléate</w:t>
      </w:r>
      <w:proofErr w:type="spellEnd"/>
      <w:r>
        <w:t xml:space="preserve"> de)] – Tension d’approvisionnement depuis le 05/06/2023 (ANSM, actualisation du 17/01/2024).</w:t>
      </w:r>
    </w:p>
    <w:p w:rsidR="00AB1812" w:rsidRDefault="00AB1812" w:rsidP="00AB1812">
      <w:pPr>
        <w:pStyle w:val="Textebrut"/>
      </w:pPr>
      <w:r>
        <w:t xml:space="preserve">Tension d’approvisionnement. Dérogation à l’apposition d’un code </w:t>
      </w:r>
      <w:proofErr w:type="spellStart"/>
      <w:r>
        <w:t>datamatrix</w:t>
      </w:r>
      <w:proofErr w:type="spellEnd"/>
      <w:r>
        <w:t xml:space="preserve"> pour le lot N° 3U002 (date de péremption 31/08/2026). Consultez le courrier du laboratoire </w:t>
      </w:r>
      <w:proofErr w:type="spellStart"/>
      <w:r>
        <w:t>Neuraxpharm</w:t>
      </w:r>
      <w:proofErr w:type="spellEnd"/>
      <w:r>
        <w:t xml:space="preserve"> France SAS du 16/01/2024 (17/01/2024). Remise à disposition indéterminée</w:t>
      </w:r>
    </w:p>
    <w:p w:rsidR="00AB1812" w:rsidRDefault="0022785A" w:rsidP="00AB1812">
      <w:pPr>
        <w:pStyle w:val="Textebrut"/>
      </w:pPr>
      <w:hyperlink r:id="rId170" w:history="1">
        <w:r w:rsidR="00AB1812" w:rsidRPr="00CA244F">
          <w:rPr>
            <w:rStyle w:val="Lienhypertexte"/>
          </w:rPr>
          <w:t>https://ansm.sante.fr/disponibilites-des-produits-de-sante/medicaments/nozinan-100-mg-comprime-pellicule-secable-levomepromazine-maleate-de</w:t>
        </w:r>
      </w:hyperlink>
    </w:p>
    <w:p w:rsidR="00AB1812" w:rsidRDefault="00AB1812" w:rsidP="00AB1812">
      <w:pPr>
        <w:pStyle w:val="Textebrut"/>
      </w:pPr>
    </w:p>
    <w:p w:rsidR="004B52DD" w:rsidRDefault="004B52DD" w:rsidP="004B52DD">
      <w:pPr>
        <w:pStyle w:val="Textebrut"/>
      </w:pPr>
      <w:proofErr w:type="spellStart"/>
      <w:r>
        <w:lastRenderedPageBreak/>
        <w:t>Iomeron</w:t>
      </w:r>
      <w:proofErr w:type="spellEnd"/>
      <w:r>
        <w:t xml:space="preserve"> 400 (400 mg Iode/</w:t>
      </w:r>
      <w:proofErr w:type="spellStart"/>
      <w:r>
        <w:t>mL</w:t>
      </w:r>
      <w:proofErr w:type="spellEnd"/>
      <w:r>
        <w:t xml:space="preserve">), solution injectable - Flacon de 50 </w:t>
      </w:r>
      <w:proofErr w:type="spellStart"/>
      <w:r>
        <w:t>mL</w:t>
      </w:r>
      <w:proofErr w:type="spellEnd"/>
      <w:r>
        <w:t xml:space="preserve"> et 150 </w:t>
      </w:r>
      <w:proofErr w:type="spellStart"/>
      <w:r>
        <w:t>mL</w:t>
      </w:r>
      <w:proofErr w:type="spellEnd"/>
      <w:r>
        <w:t xml:space="preserve"> – [</w:t>
      </w:r>
      <w:proofErr w:type="spellStart"/>
      <w:r>
        <w:t>ioméprol</w:t>
      </w:r>
      <w:proofErr w:type="spellEnd"/>
      <w:r>
        <w:t>] – Tension d’approvisionnement depuis le 31/08/2023 (ANSM, actualisation du 18/01/2024).</w:t>
      </w:r>
    </w:p>
    <w:p w:rsidR="004B52DD" w:rsidRDefault="004B52DD" w:rsidP="004B52DD">
      <w:pPr>
        <w:pStyle w:val="Textebrut"/>
      </w:pPr>
      <w:r>
        <w:t>Remise à disposition prévue en février 2024</w:t>
      </w:r>
    </w:p>
    <w:p w:rsidR="004B52DD" w:rsidRDefault="0022785A" w:rsidP="004B52DD">
      <w:pPr>
        <w:pStyle w:val="Textebrut"/>
      </w:pPr>
      <w:hyperlink r:id="rId171" w:history="1">
        <w:r w:rsidR="004B52DD" w:rsidRPr="00E91873">
          <w:rPr>
            <w:rStyle w:val="Lienhypertexte"/>
          </w:rPr>
          <w:t>https://ansm.sante.fr/disponibilites-des-produits-de-sante/medicaments/iomeron-400-400-mg-iode-ml-solution-injectable-flacon-de-50-ml-et-150-ml-iomeprol</w:t>
        </w:r>
      </w:hyperlink>
    </w:p>
    <w:p w:rsidR="004B52DD" w:rsidRDefault="004B52DD" w:rsidP="004B52DD">
      <w:pPr>
        <w:pStyle w:val="Textebrut"/>
      </w:pPr>
    </w:p>
    <w:p w:rsidR="004B52DD" w:rsidRDefault="004B52DD" w:rsidP="004B52DD">
      <w:pPr>
        <w:pStyle w:val="Textebrut"/>
      </w:pPr>
      <w:proofErr w:type="spellStart"/>
      <w:r>
        <w:t>Flixotide</w:t>
      </w:r>
      <w:proofErr w:type="spellEnd"/>
      <w:r>
        <w:t xml:space="preserve"> 125 microgrammes/dose, suspension pour inhalation en flacon pressurisé – [</w:t>
      </w:r>
      <w:proofErr w:type="spellStart"/>
      <w:r>
        <w:t>fluticasone</w:t>
      </w:r>
      <w:proofErr w:type="spellEnd"/>
      <w:r>
        <w:t xml:space="preserve"> (</w:t>
      </w:r>
      <w:proofErr w:type="spellStart"/>
      <w:r>
        <w:t>propionate</w:t>
      </w:r>
      <w:proofErr w:type="spellEnd"/>
      <w:r>
        <w:t xml:space="preserve"> de)] – Remise à disposition depuis le 29/12/2023 (ANSM, 18/01/2024)</w:t>
      </w:r>
    </w:p>
    <w:p w:rsidR="004B52DD" w:rsidRDefault="0022785A" w:rsidP="004B52DD">
      <w:pPr>
        <w:pStyle w:val="Textebrut"/>
      </w:pPr>
      <w:hyperlink r:id="rId172" w:history="1">
        <w:r w:rsidR="004B52DD" w:rsidRPr="00E91873">
          <w:rPr>
            <w:rStyle w:val="Lienhypertexte"/>
          </w:rPr>
          <w:t>https://ansm.sante.fr/disponibilites-des-produits-de-sante/medicaments/flixotide-125-microgrammes-dose-suspension-pour-inhalation-en-flacon-pressurise-fluticasone-propionate-de</w:t>
        </w:r>
      </w:hyperlink>
    </w:p>
    <w:p w:rsidR="004B52DD" w:rsidRDefault="004B52DD" w:rsidP="004B52DD">
      <w:pPr>
        <w:pStyle w:val="Textebrut"/>
      </w:pPr>
    </w:p>
    <w:p w:rsidR="00F678B8" w:rsidRDefault="00F678B8" w:rsidP="00F678B8">
      <w:pPr>
        <w:pStyle w:val="Textebrut"/>
      </w:pPr>
      <w:proofErr w:type="spellStart"/>
      <w:r>
        <w:t>Dipentum</w:t>
      </w:r>
      <w:proofErr w:type="spellEnd"/>
      <w:r>
        <w:t xml:space="preserve"> 250 mg comprimé et </w:t>
      </w:r>
      <w:proofErr w:type="spellStart"/>
      <w:r>
        <w:t>Dipentum</w:t>
      </w:r>
      <w:proofErr w:type="spellEnd"/>
      <w:r>
        <w:t xml:space="preserve"> 500 mg comprimé – [</w:t>
      </w:r>
      <w:proofErr w:type="spellStart"/>
      <w:r>
        <w:t>olsalazine</w:t>
      </w:r>
      <w:proofErr w:type="spellEnd"/>
      <w:r>
        <w:t xml:space="preserve"> sodique] – Tension d’approvisionnement depuis le 10/08/2021 (ANSM, actualisation du 18/01/2024).</w:t>
      </w:r>
    </w:p>
    <w:p w:rsidR="00F678B8" w:rsidRDefault="00F678B8" w:rsidP="00F678B8">
      <w:pPr>
        <w:pStyle w:val="Textebrut"/>
      </w:pPr>
      <w:r>
        <w:t>Remise à disposition normale indéterminée</w:t>
      </w:r>
    </w:p>
    <w:p w:rsidR="00F678B8" w:rsidRDefault="0022785A" w:rsidP="00F678B8">
      <w:pPr>
        <w:pStyle w:val="Textebrut"/>
      </w:pPr>
      <w:hyperlink r:id="rId173" w:history="1">
        <w:r w:rsidR="00F678B8" w:rsidRPr="00567243">
          <w:rPr>
            <w:rStyle w:val="Lienhypertexte"/>
          </w:rPr>
          <w:t>https://ansm.sante.fr/disponibilites-des-produits-de-sante/medicaments/dipentum-250-mg-comprime-et-dipentum-500-mg-comprime-olsalazine-sodique</w:t>
        </w:r>
      </w:hyperlink>
    </w:p>
    <w:p w:rsidR="00F678B8" w:rsidRDefault="00F678B8" w:rsidP="00F678B8">
      <w:pPr>
        <w:pStyle w:val="Textebrut"/>
      </w:pPr>
    </w:p>
    <w:p w:rsidR="00042844" w:rsidRDefault="00042844" w:rsidP="00042844">
      <w:pPr>
        <w:pStyle w:val="Textebrut"/>
      </w:pPr>
      <w:proofErr w:type="spellStart"/>
      <w:r>
        <w:t>Avaxim</w:t>
      </w:r>
      <w:proofErr w:type="spellEnd"/>
      <w:r>
        <w:t xml:space="preserve"> 160 U, suspension injectable en seringue </w:t>
      </w:r>
      <w:proofErr w:type="spellStart"/>
      <w:r>
        <w:t>préremplie</w:t>
      </w:r>
      <w:proofErr w:type="spellEnd"/>
      <w:r>
        <w:t>. Vaccin de l'hépatite A (inactivé, adsorbé) – [virus de l'hépatite A souche GBM inactivé adsorbé ((mammifère/humain/cellules MRC5))] – Rupture de stock depuis le 12/01/2024 (ANSM, actualisation du 18/01/2024).</w:t>
      </w:r>
    </w:p>
    <w:p w:rsidR="00042844" w:rsidRDefault="00042844" w:rsidP="00042844">
      <w:pPr>
        <w:pStyle w:val="Textebrut"/>
      </w:pPr>
      <w:r>
        <w:t>Situation en ville : Rupture. Situation à l'hôpital : non impactée. Date de remise à disposition prévue : fin février 2024</w:t>
      </w:r>
    </w:p>
    <w:p w:rsidR="00F678B8" w:rsidRDefault="0022785A" w:rsidP="00042844">
      <w:pPr>
        <w:pStyle w:val="Textebrut"/>
      </w:pPr>
      <w:hyperlink r:id="rId174" w:history="1">
        <w:r w:rsidR="00042844" w:rsidRPr="00567243">
          <w:rPr>
            <w:rStyle w:val="Lienhypertexte"/>
          </w:rPr>
          <w:t>https://ansm.sante.fr/disponibilites-des-produits-de-sante/vaccins/avaxim-160-u-suspension-injectable-en-seringue-preremplie-vaccin-de-lhepatite-a-inactive-adsorbe-virus-de-lhepatite-a-souche-gbm-inactive-adsorbe-mammifere-humain-cellules-mrc5</w:t>
        </w:r>
      </w:hyperlink>
    </w:p>
    <w:p w:rsidR="00042844" w:rsidRDefault="00042844" w:rsidP="00042844">
      <w:pPr>
        <w:pStyle w:val="Textebrut"/>
      </w:pPr>
    </w:p>
    <w:p w:rsidR="00586CF0" w:rsidRDefault="00586CF0" w:rsidP="00586CF0">
      <w:pPr>
        <w:pStyle w:val="Textebrut"/>
      </w:pPr>
      <w:proofErr w:type="spellStart"/>
      <w:r>
        <w:t>Revaxis</w:t>
      </w:r>
      <w:proofErr w:type="spellEnd"/>
      <w:r>
        <w:t>, suspension inje</w:t>
      </w:r>
      <w:r w:rsidR="00580D6F">
        <w:t xml:space="preserve">ctable en seringue </w:t>
      </w:r>
      <w:proofErr w:type="spellStart"/>
      <w:r w:rsidR="00580D6F">
        <w:t>préremplie</w:t>
      </w:r>
      <w:proofErr w:type="spellEnd"/>
      <w:r w:rsidR="00580D6F">
        <w:t>. V</w:t>
      </w:r>
      <w:r>
        <w:t xml:space="preserve">accin diphtérique, tétanique et poliomyélitique (inactivé), (adsorbé) à teneur réduite en antigènes – [anatoxine diphtérique, anatoxine tétanique, virus </w:t>
      </w:r>
      <w:proofErr w:type="spellStart"/>
      <w:r>
        <w:t>poliomyelitique</w:t>
      </w:r>
      <w:proofErr w:type="spellEnd"/>
      <w:r>
        <w:t xml:space="preserve"> inactivé] – Tension d’approvisionnement depuis le 24/03/2023 (ANSM, actualisation du 19/01/2024).</w:t>
      </w:r>
    </w:p>
    <w:p w:rsidR="00586CF0" w:rsidRDefault="00586CF0" w:rsidP="00586CF0">
      <w:pPr>
        <w:pStyle w:val="Textebrut"/>
      </w:pPr>
      <w:r>
        <w:t>Tension d'approvisionnement en ville. Contingentement quantitatif mis en place pour le circuit ville. Les DROM et les hôpitaux ne sont pas concernés par ce contingentement. Remise à disposition normale fin février 2024</w:t>
      </w:r>
    </w:p>
    <w:p w:rsidR="00586CF0" w:rsidRDefault="0022785A" w:rsidP="00586CF0">
      <w:pPr>
        <w:pStyle w:val="Textebrut"/>
      </w:pPr>
      <w:hyperlink r:id="rId175" w:history="1">
        <w:r w:rsidR="00586CF0" w:rsidRPr="00042AB4">
          <w:rPr>
            <w:rStyle w:val="Lienhypertexte"/>
          </w:rPr>
          <w:t>https://ansm.sante.fr/disponibilites-des-produits-de-sante/vaccins/revaxis-suspension-injectable-en-seringue-preremplie-vaccin-diphterique-tetanique-et-poliomyelitique-inactive-adsorbe-a-teneur-reduite-en-antigenes-anatoxine-diphterique-anatoxine-tetanique-virus-poliomyelitique-inactive</w:t>
        </w:r>
      </w:hyperlink>
    </w:p>
    <w:p w:rsidR="00586CF0" w:rsidRDefault="00586CF0" w:rsidP="00586CF0">
      <w:pPr>
        <w:pStyle w:val="Textebrut"/>
      </w:pPr>
    </w:p>
    <w:p w:rsidR="00586CF0" w:rsidRDefault="00586CF0" w:rsidP="00586CF0">
      <w:pPr>
        <w:pStyle w:val="Textebrut"/>
      </w:pPr>
      <w:proofErr w:type="spellStart"/>
      <w:r>
        <w:t>Quasym</w:t>
      </w:r>
      <w:proofErr w:type="spellEnd"/>
      <w:r>
        <w:t xml:space="preserve"> L.P., gélule à libération modifiée – [</w:t>
      </w:r>
      <w:proofErr w:type="spellStart"/>
      <w:r>
        <w:t>méthylphénidate</w:t>
      </w:r>
      <w:proofErr w:type="spellEnd"/>
      <w:r>
        <w:t>] – Rupture de stock depuis le 12/12/2023 (ANSM, 19/01/2024).</w:t>
      </w:r>
    </w:p>
    <w:p w:rsidR="00586CF0" w:rsidRDefault="00586CF0" w:rsidP="00586CF0">
      <w:pPr>
        <w:pStyle w:val="Textebrut"/>
      </w:pPr>
      <w:r>
        <w:t xml:space="preserve">Rupture de stock des spécialités </w:t>
      </w:r>
      <w:proofErr w:type="spellStart"/>
      <w:r>
        <w:t>Quasym</w:t>
      </w:r>
      <w:proofErr w:type="spellEnd"/>
      <w:r>
        <w:t xml:space="preserve"> L.P., gélule à libération modifiée. Dépannages d'urgence en ville par le laboratoire Takeda pour la spécialité </w:t>
      </w:r>
      <w:proofErr w:type="spellStart"/>
      <w:r>
        <w:t>Quasym</w:t>
      </w:r>
      <w:proofErr w:type="spellEnd"/>
      <w:r>
        <w:t xml:space="preserve"> LP 20 mg. Arrêt des initiations de traitement. Lettre d'information du laboratoire Takeda en date du 17/01/2024 à l'attention des professionnels de santé (19/01/2024). Remise à disposition normale indéterminée</w:t>
      </w:r>
    </w:p>
    <w:p w:rsidR="00586CF0" w:rsidRDefault="0022785A" w:rsidP="00586CF0">
      <w:pPr>
        <w:pStyle w:val="Textebrut"/>
      </w:pPr>
      <w:hyperlink r:id="rId176" w:history="1">
        <w:r w:rsidR="00586CF0" w:rsidRPr="00042AB4">
          <w:rPr>
            <w:rStyle w:val="Lienhypertexte"/>
          </w:rPr>
          <w:t>https://ansm.sante.fr/disponibilites-des-produits-de-sante/medicaments/quasym-l-p-gelule-a-liberation-modifiee-methylphenidate</w:t>
        </w:r>
      </w:hyperlink>
    </w:p>
    <w:p w:rsidR="00586CF0" w:rsidRDefault="00586CF0" w:rsidP="00586CF0">
      <w:pPr>
        <w:pStyle w:val="Textebrut"/>
      </w:pPr>
    </w:p>
    <w:p w:rsidR="00586CF0" w:rsidRDefault="00586CF0" w:rsidP="00586CF0">
      <w:pPr>
        <w:pStyle w:val="Textebrut"/>
      </w:pPr>
      <w:r>
        <w:t>Concerta LP, comprimé à libération prolongée – [</w:t>
      </w:r>
      <w:proofErr w:type="spellStart"/>
      <w:r>
        <w:t>méthylphénidate</w:t>
      </w:r>
      <w:proofErr w:type="spellEnd"/>
      <w:r>
        <w:t xml:space="preserve"> (chlorhydrate de)] – Tension d’approvisionnement depuis le 09/06/2023 (ANSM, actualisation du 19/01/2024).</w:t>
      </w:r>
    </w:p>
    <w:p w:rsidR="00586CF0" w:rsidRDefault="00586CF0" w:rsidP="00586CF0">
      <w:pPr>
        <w:pStyle w:val="Textebrut"/>
      </w:pPr>
      <w:r>
        <w:t xml:space="preserve">Rupture de stock de la spécialité Concerta LP 18 mg, comprimé à libération prolongée. Distribution contingentée en ville des spécialités : Concerta LP 36 mg, comprimé à libération prolongée ; Concerta LP 54 mg, comprimé à libération prolongée. Courrier d’information du laboratoire Janssen </w:t>
      </w:r>
      <w:proofErr w:type="spellStart"/>
      <w:r>
        <w:t>Cilag</w:t>
      </w:r>
      <w:proofErr w:type="spellEnd"/>
      <w:r>
        <w:t xml:space="preserve"> à destination des professionnels de santé en date du 18/01/2024 (19/01/2024). Remise à disposition normale indéterminée</w:t>
      </w:r>
    </w:p>
    <w:p w:rsidR="00586CF0" w:rsidRDefault="0022785A" w:rsidP="00586CF0">
      <w:pPr>
        <w:pStyle w:val="Textebrut"/>
      </w:pPr>
      <w:hyperlink r:id="rId177" w:history="1">
        <w:r w:rsidR="00586CF0" w:rsidRPr="00042AB4">
          <w:rPr>
            <w:rStyle w:val="Lienhypertexte"/>
          </w:rPr>
          <w:t>https://ansm.sante.fr/disponibilites-des-produits-de-sante/medicaments/concerta-lp-comprime-a-liberation-prolongee-methylphenidate-chlorhydrate-de</w:t>
        </w:r>
      </w:hyperlink>
    </w:p>
    <w:p w:rsidR="00586CF0" w:rsidRDefault="00586CF0" w:rsidP="00586CF0">
      <w:pPr>
        <w:pStyle w:val="Textebrut"/>
      </w:pPr>
    </w:p>
    <w:p w:rsidR="00586CF0" w:rsidRDefault="00586CF0" w:rsidP="00586CF0">
      <w:pPr>
        <w:pStyle w:val="Textebrut"/>
      </w:pPr>
      <w:r>
        <w:t>Parlodel 2,5 mg, comprimé sécable – [bromocriptine (</w:t>
      </w:r>
      <w:proofErr w:type="spellStart"/>
      <w:r>
        <w:t>mésilate</w:t>
      </w:r>
      <w:proofErr w:type="spellEnd"/>
      <w:r>
        <w:t xml:space="preserve"> de)] – Rupture de stock depuis le 27/10/2023 (ANSM, actualisation du 19/01/2024).</w:t>
      </w:r>
    </w:p>
    <w:p w:rsidR="00586CF0" w:rsidRDefault="00586CF0" w:rsidP="00586CF0">
      <w:pPr>
        <w:pStyle w:val="Textebrut"/>
      </w:pPr>
      <w:r>
        <w:t>Situation en ville : Rupture. Disponibilité d'un stock limité de dépannage d'urgence en ville. Date de remise à disposition prévue : fin janvier 2024</w:t>
      </w:r>
    </w:p>
    <w:p w:rsidR="00586CF0" w:rsidRDefault="0022785A" w:rsidP="00586CF0">
      <w:pPr>
        <w:pStyle w:val="Textebrut"/>
      </w:pPr>
      <w:hyperlink r:id="rId178" w:history="1">
        <w:r w:rsidR="00586CF0" w:rsidRPr="00042AB4">
          <w:rPr>
            <w:rStyle w:val="Lienhypertexte"/>
          </w:rPr>
          <w:t>https://ansm.sante.fr/disponibilites-des-produits-de-sante/medicaments/parlodel-2-5-mg-comprime-secable-bromocriptine-mesilate-de</w:t>
        </w:r>
      </w:hyperlink>
    </w:p>
    <w:p w:rsidR="00586CF0" w:rsidRDefault="00586CF0" w:rsidP="00586CF0">
      <w:pPr>
        <w:pStyle w:val="Textebrut"/>
      </w:pPr>
    </w:p>
    <w:p w:rsidR="00586CF0" w:rsidRDefault="00586CF0" w:rsidP="00586CF0">
      <w:pPr>
        <w:pStyle w:val="Textebrut"/>
      </w:pPr>
      <w:proofErr w:type="spellStart"/>
      <w:r>
        <w:t>Abiratérone</w:t>
      </w:r>
      <w:proofErr w:type="spellEnd"/>
      <w:r>
        <w:t xml:space="preserve"> Arrow 500 mg, comprimé pelliculé – [</w:t>
      </w:r>
      <w:proofErr w:type="spellStart"/>
      <w:r>
        <w:t>abiratérone</w:t>
      </w:r>
      <w:proofErr w:type="spellEnd"/>
      <w:r>
        <w:t>] – Tension d’approvisionnement depuis le 09/02/2023 (ANSM, actualisation du 19/01/2024).</w:t>
      </w:r>
    </w:p>
    <w:p w:rsidR="00586CF0" w:rsidRDefault="00586CF0" w:rsidP="00586CF0">
      <w:pPr>
        <w:pStyle w:val="Textebrut"/>
      </w:pPr>
      <w:r>
        <w:t>Distribution contingentée en ville. Remise à disposition premier trimestre 2024</w:t>
      </w:r>
    </w:p>
    <w:p w:rsidR="00586CF0" w:rsidRDefault="0022785A" w:rsidP="00586CF0">
      <w:pPr>
        <w:pStyle w:val="Textebrut"/>
      </w:pPr>
      <w:hyperlink r:id="rId179" w:history="1">
        <w:r w:rsidR="00586CF0" w:rsidRPr="00042AB4">
          <w:rPr>
            <w:rStyle w:val="Lienhypertexte"/>
          </w:rPr>
          <w:t>https://ansm.sante.fr/disponibilites-des-produits-de-sante/medicaments/abiraterone-arrow-500-mg-comprime-pellicule-abiraterone</w:t>
        </w:r>
      </w:hyperlink>
    </w:p>
    <w:p w:rsidR="00586CF0" w:rsidRDefault="00586CF0" w:rsidP="00586CF0">
      <w:pPr>
        <w:pStyle w:val="Textebrut"/>
      </w:pPr>
    </w:p>
    <w:p w:rsidR="00586CF0" w:rsidRDefault="00586CF0" w:rsidP="00586CF0">
      <w:pPr>
        <w:pStyle w:val="Textebrut"/>
      </w:pPr>
      <w:r>
        <w:t>Métronidazole 250 mg et 500 mg, comprimé pelliculé – [métronidazole] – Tension d’approvisionnement depuis le 12/08/2023 (ANSM, actualisation du 19/01/2024).</w:t>
      </w:r>
    </w:p>
    <w:p w:rsidR="00586CF0" w:rsidRDefault="00586CF0" w:rsidP="00586CF0">
      <w:pPr>
        <w:pStyle w:val="Textebrut"/>
      </w:pPr>
      <w:r>
        <w:t>Situation en ville : Tension. Contingentement quantitatif en ville. L’Hôpital et les DROM ne sont pas impactés par ce contingentement. Remise à disposition normale prévue courant mai 2024</w:t>
      </w:r>
    </w:p>
    <w:p w:rsidR="00586CF0" w:rsidRDefault="0022785A" w:rsidP="00586CF0">
      <w:pPr>
        <w:pStyle w:val="Textebrut"/>
      </w:pPr>
      <w:hyperlink r:id="rId180" w:history="1">
        <w:r w:rsidR="00586CF0" w:rsidRPr="00042AB4">
          <w:rPr>
            <w:rStyle w:val="Lienhypertexte"/>
          </w:rPr>
          <w:t>https://ansm.sante.fr/disponibilites-des-produits-de-sante/medicaments/metronidazole-250-mg-et-500-mg-comprime-pellicule-metronidazole</w:t>
        </w:r>
      </w:hyperlink>
    </w:p>
    <w:p w:rsidR="00586CF0" w:rsidRDefault="00586CF0" w:rsidP="00586CF0">
      <w:pPr>
        <w:pStyle w:val="Textebrut"/>
      </w:pPr>
    </w:p>
    <w:p w:rsidR="00874AA2" w:rsidRDefault="00874AA2" w:rsidP="00874AA2">
      <w:pPr>
        <w:pStyle w:val="Textebrut"/>
      </w:pPr>
      <w:proofErr w:type="spellStart"/>
      <w:r>
        <w:t>Iomeron</w:t>
      </w:r>
      <w:proofErr w:type="spellEnd"/>
      <w:r>
        <w:t xml:space="preserve"> 400 (400 mg Iode/</w:t>
      </w:r>
      <w:proofErr w:type="spellStart"/>
      <w:r>
        <w:t>mL</w:t>
      </w:r>
      <w:proofErr w:type="spellEnd"/>
      <w:r>
        <w:t xml:space="preserve">), solution injectable - Flacon de 150 </w:t>
      </w:r>
      <w:proofErr w:type="spellStart"/>
      <w:r>
        <w:t>mL</w:t>
      </w:r>
      <w:proofErr w:type="spellEnd"/>
      <w:r>
        <w:t xml:space="preserve"> – [</w:t>
      </w:r>
      <w:proofErr w:type="spellStart"/>
      <w:r>
        <w:t>ioméprol</w:t>
      </w:r>
      <w:proofErr w:type="spellEnd"/>
      <w:r>
        <w:t>] – Tension d’approvisionnement depuis le 31/08/2023 (ANSM, actualisation du 24/01/2024).</w:t>
      </w:r>
    </w:p>
    <w:p w:rsidR="00874AA2" w:rsidRDefault="00874AA2" w:rsidP="00874AA2">
      <w:pPr>
        <w:pStyle w:val="Textebrut"/>
      </w:pPr>
      <w:r>
        <w:t>Remise à disposition prévue en février 2024</w:t>
      </w:r>
    </w:p>
    <w:p w:rsidR="00586CF0" w:rsidRDefault="0022785A" w:rsidP="00874AA2">
      <w:pPr>
        <w:pStyle w:val="Textebrut"/>
      </w:pPr>
      <w:hyperlink r:id="rId181" w:history="1">
        <w:r w:rsidR="00874AA2" w:rsidRPr="00F41ECF">
          <w:rPr>
            <w:rStyle w:val="Lienhypertexte"/>
          </w:rPr>
          <w:t>https://ansm.sante.fr/disponibilites-des-produits-de-sante/medicaments/iomeron-400-400-mg-iode-ml-solution-injectable-flacon-de-150-ml-iomeprol</w:t>
        </w:r>
      </w:hyperlink>
    </w:p>
    <w:p w:rsidR="00874AA2" w:rsidRDefault="00874AA2" w:rsidP="00874AA2">
      <w:pPr>
        <w:pStyle w:val="Textebrut"/>
      </w:pPr>
    </w:p>
    <w:p w:rsidR="00874AA2" w:rsidRDefault="00874AA2" w:rsidP="00874AA2">
      <w:pPr>
        <w:pStyle w:val="Textebrut"/>
      </w:pPr>
      <w:proofErr w:type="spellStart"/>
      <w:r>
        <w:t>Iomeron</w:t>
      </w:r>
      <w:proofErr w:type="spellEnd"/>
      <w:r>
        <w:t xml:space="preserve"> 400 (400 mg Iode/</w:t>
      </w:r>
      <w:proofErr w:type="spellStart"/>
      <w:r>
        <w:t>mL</w:t>
      </w:r>
      <w:proofErr w:type="spellEnd"/>
      <w:r>
        <w:t xml:space="preserve">), solution injectable - Flacon de 50 </w:t>
      </w:r>
      <w:proofErr w:type="spellStart"/>
      <w:r>
        <w:t>mL</w:t>
      </w:r>
      <w:proofErr w:type="spellEnd"/>
      <w:r>
        <w:t xml:space="preserve"> – [</w:t>
      </w:r>
      <w:proofErr w:type="spellStart"/>
      <w:r>
        <w:t>ioméprol</w:t>
      </w:r>
      <w:proofErr w:type="spellEnd"/>
      <w:r>
        <w:t>] – Remise à disposition à partir du 24/01/2024 (ANSM, 24/01/2024)</w:t>
      </w:r>
    </w:p>
    <w:p w:rsidR="00874AA2" w:rsidRDefault="0022785A" w:rsidP="00874AA2">
      <w:pPr>
        <w:pStyle w:val="Textebrut"/>
      </w:pPr>
      <w:hyperlink r:id="rId182" w:history="1">
        <w:r w:rsidR="00874AA2" w:rsidRPr="00F41ECF">
          <w:rPr>
            <w:rStyle w:val="Lienhypertexte"/>
          </w:rPr>
          <w:t>https://ansm.sante.fr/disponibilites-des-produits-de-sante/medicaments/iomeron-400-400-mg-iode-ml-solution-injectable-flacon-de-50-ml-iomeprol</w:t>
        </w:r>
      </w:hyperlink>
    </w:p>
    <w:p w:rsidR="00874AA2" w:rsidRDefault="00874AA2" w:rsidP="00874AA2">
      <w:pPr>
        <w:pStyle w:val="Textebrut"/>
      </w:pPr>
    </w:p>
    <w:p w:rsidR="00874AA2" w:rsidRDefault="00874AA2" w:rsidP="00874AA2">
      <w:pPr>
        <w:pStyle w:val="Textebrut"/>
      </w:pPr>
      <w:proofErr w:type="spellStart"/>
      <w:r>
        <w:t>Ursolvan</w:t>
      </w:r>
      <w:proofErr w:type="spellEnd"/>
      <w:r>
        <w:t xml:space="preserve"> 200 mg, gélule – [acide </w:t>
      </w:r>
      <w:proofErr w:type="spellStart"/>
      <w:r>
        <w:t>ursodéoxycholique</w:t>
      </w:r>
      <w:proofErr w:type="spellEnd"/>
      <w:r>
        <w:t>] – Tension d’approvisionnement depuis le 08/06/2023 (ANSM, actualisation du 24/01/2024).</w:t>
      </w:r>
    </w:p>
    <w:p w:rsidR="00874AA2" w:rsidRDefault="00874AA2" w:rsidP="00874AA2">
      <w:pPr>
        <w:pStyle w:val="Textebrut"/>
      </w:pPr>
      <w:r>
        <w:t>Contingentement quantitatif en ville. Remise à disposition normale début février 2024</w:t>
      </w:r>
    </w:p>
    <w:p w:rsidR="00874AA2" w:rsidRDefault="0022785A" w:rsidP="00874AA2">
      <w:pPr>
        <w:pStyle w:val="Textebrut"/>
      </w:pPr>
      <w:hyperlink r:id="rId183" w:history="1">
        <w:r w:rsidR="00874AA2" w:rsidRPr="00F41ECF">
          <w:rPr>
            <w:rStyle w:val="Lienhypertexte"/>
          </w:rPr>
          <w:t>https://ansm.sante.fr/disponibilites-des-produits-de-sante/medicaments/ursolvan-200-mg-gelule-acide-ursodeoxycholique</w:t>
        </w:r>
      </w:hyperlink>
    </w:p>
    <w:p w:rsidR="00874AA2" w:rsidRDefault="00874AA2" w:rsidP="00874AA2">
      <w:pPr>
        <w:pStyle w:val="Textebrut"/>
      </w:pPr>
    </w:p>
    <w:p w:rsidR="00874AA2" w:rsidRDefault="00874AA2" w:rsidP="00874AA2">
      <w:pPr>
        <w:pStyle w:val="Textebrut"/>
      </w:pPr>
      <w:r>
        <w:t>Immunoglobuline humaine normale IV et SC (à base de) – [Immunoglobuline humaine normale (</w:t>
      </w:r>
      <w:proofErr w:type="spellStart"/>
      <w:r>
        <w:t>IgG</w:t>
      </w:r>
      <w:proofErr w:type="spellEnd"/>
      <w:r>
        <w:t>)] – Tension d’approvisionnement depuis le 01/04/2021 (ANSM, actualisation du 24/01/2024).</w:t>
      </w:r>
    </w:p>
    <w:p w:rsidR="00874AA2" w:rsidRDefault="00874AA2" w:rsidP="00874AA2">
      <w:pPr>
        <w:pStyle w:val="Textebrut"/>
      </w:pPr>
      <w:r>
        <w:t>Immunoglobuline IV :</w:t>
      </w:r>
    </w:p>
    <w:p w:rsidR="00874AA2" w:rsidRDefault="00874AA2" w:rsidP="00874AA2">
      <w:pPr>
        <w:pStyle w:val="Textebrut"/>
      </w:pPr>
      <w:r>
        <w:t xml:space="preserve">Tension d’approvisionnement. Distribution contingentée à hauteur des besoins habituels (base septembre 2023). Les spécialités de </w:t>
      </w:r>
      <w:proofErr w:type="spellStart"/>
      <w:r>
        <w:t>Grifols</w:t>
      </w:r>
      <w:proofErr w:type="spellEnd"/>
      <w:r>
        <w:t xml:space="preserve"> peuvent compenser l’augmentation des besoins additionnels observés depuis septembre 2023. Remise à disposition indéterminée.</w:t>
      </w:r>
    </w:p>
    <w:p w:rsidR="00874AA2" w:rsidRDefault="00874AA2" w:rsidP="00874AA2">
      <w:pPr>
        <w:pStyle w:val="Textebrut"/>
      </w:pPr>
      <w:r>
        <w:t xml:space="preserve">Mise à disposition exceptionnelle et transitoire de la spécialité similaire </w:t>
      </w:r>
      <w:proofErr w:type="spellStart"/>
      <w:r>
        <w:t>Ig</w:t>
      </w:r>
      <w:proofErr w:type="spellEnd"/>
      <w:r>
        <w:t xml:space="preserve"> </w:t>
      </w:r>
      <w:proofErr w:type="spellStart"/>
      <w:r>
        <w:t>Vena</w:t>
      </w:r>
      <w:proofErr w:type="spellEnd"/>
      <w:r>
        <w:t xml:space="preserve"> 50mg/ml, solution pour perfusion IV initialement destinée au marché suisse et grec : Lettre d’information du laboratoire </w:t>
      </w:r>
      <w:proofErr w:type="spellStart"/>
      <w:r>
        <w:t>Cevidra</w:t>
      </w:r>
      <w:proofErr w:type="spellEnd"/>
      <w:r>
        <w:t xml:space="preserve"> en date du 01/02/2021 à l’attention des professionnels de santé ; Lettre d’information du laboratoire </w:t>
      </w:r>
      <w:proofErr w:type="spellStart"/>
      <w:r>
        <w:t>Cevidra</w:t>
      </w:r>
      <w:proofErr w:type="spellEnd"/>
      <w:r>
        <w:t xml:space="preserve"> en date du 21/05/2021 à l’attention des professionnels de santé.</w:t>
      </w:r>
    </w:p>
    <w:p w:rsidR="00874AA2" w:rsidRDefault="00874AA2" w:rsidP="00874AA2">
      <w:pPr>
        <w:pStyle w:val="Textebrut"/>
      </w:pPr>
      <w:r>
        <w:t xml:space="preserve">Mise à disposition exceptionnelle et transitoire de la spécialité similaire </w:t>
      </w:r>
      <w:proofErr w:type="spellStart"/>
      <w:r>
        <w:t>Intratect</w:t>
      </w:r>
      <w:proofErr w:type="spellEnd"/>
      <w:r>
        <w:t xml:space="preserve"> 50mg/ml et 100mg/ml, solution pour perfusion IV initialement destinée au marché allemand : Lettre d’information du laboratoire </w:t>
      </w:r>
      <w:proofErr w:type="spellStart"/>
      <w:r>
        <w:t>Biotest</w:t>
      </w:r>
      <w:proofErr w:type="spellEnd"/>
      <w:r>
        <w:t xml:space="preserve"> concernant la spécialité </w:t>
      </w:r>
      <w:proofErr w:type="spellStart"/>
      <w:r>
        <w:t>Intratect</w:t>
      </w:r>
      <w:proofErr w:type="spellEnd"/>
      <w:r>
        <w:t xml:space="preserve"> 50mg/ml solution pour perfusion IV en date du 01/04/2021 à l’attention des </w:t>
      </w:r>
      <w:r>
        <w:lastRenderedPageBreak/>
        <w:t xml:space="preserve">professionnels de santé ; Lettre d’information du laboratoire </w:t>
      </w:r>
      <w:proofErr w:type="spellStart"/>
      <w:r>
        <w:t>Biotest</w:t>
      </w:r>
      <w:proofErr w:type="spellEnd"/>
      <w:r>
        <w:t xml:space="preserve"> concernant la spécialité </w:t>
      </w:r>
      <w:proofErr w:type="spellStart"/>
      <w:r>
        <w:t>Intratect</w:t>
      </w:r>
      <w:proofErr w:type="spellEnd"/>
      <w:r>
        <w:t xml:space="preserve"> 100mg/ml, solution pour perfusion IV en date du 01/04/2021 à l’attention des professionnels de santé.</w:t>
      </w:r>
    </w:p>
    <w:p w:rsidR="00874AA2" w:rsidRDefault="00874AA2" w:rsidP="00874AA2">
      <w:pPr>
        <w:pStyle w:val="Textebrut"/>
      </w:pPr>
      <w:r>
        <w:t>Immunoglobulines SC :</w:t>
      </w:r>
    </w:p>
    <w:p w:rsidR="00874AA2" w:rsidRDefault="00874AA2" w:rsidP="00874AA2">
      <w:pPr>
        <w:pStyle w:val="Textebrut"/>
      </w:pPr>
      <w:r>
        <w:t xml:space="preserve">Tension d’approvisionnement. Distribution contingentée à hauteur des besoins habituels. Les spécialités de </w:t>
      </w:r>
      <w:proofErr w:type="spellStart"/>
      <w:r>
        <w:t>Grifols</w:t>
      </w:r>
      <w:proofErr w:type="spellEnd"/>
      <w:r>
        <w:t xml:space="preserve"> peuvent partiellement compenser l’augmentation des besoins additionnels constatées depuis septembre 2023 (compensation d’un 1/5 de l’augmentation environ). Remise à disposition indéterminée</w:t>
      </w:r>
    </w:p>
    <w:p w:rsidR="00874AA2" w:rsidRDefault="0022785A" w:rsidP="00874AA2">
      <w:pPr>
        <w:pStyle w:val="Textebrut"/>
      </w:pPr>
      <w:hyperlink r:id="rId184" w:history="1">
        <w:r w:rsidR="00874AA2" w:rsidRPr="00F41ECF">
          <w:rPr>
            <w:rStyle w:val="Lienhypertexte"/>
          </w:rPr>
          <w:t>https://ansm.sante.fr/disponibilites-des-produits-de-sante/medicaments/immunoglobuline-humaine-normale-iv-et-sc-a-base-de-immunoglobuline-humaine-normale-igg</w:t>
        </w:r>
      </w:hyperlink>
    </w:p>
    <w:p w:rsidR="00874AA2" w:rsidRDefault="00874AA2" w:rsidP="00874AA2">
      <w:pPr>
        <w:pStyle w:val="Textebrut"/>
      </w:pPr>
    </w:p>
    <w:p w:rsidR="00CF1922" w:rsidRDefault="00CF1922" w:rsidP="00CF1922">
      <w:pPr>
        <w:pStyle w:val="Textebrut"/>
      </w:pPr>
      <w:proofErr w:type="spellStart"/>
      <w:r>
        <w:t>Encepur</w:t>
      </w:r>
      <w:proofErr w:type="spellEnd"/>
      <w:r>
        <w:t xml:space="preserve"> 1,5 microgrammes/0,5 ml, suspension injectable en seringue </w:t>
      </w:r>
      <w:proofErr w:type="spellStart"/>
      <w:r>
        <w:t>préremplie</w:t>
      </w:r>
      <w:proofErr w:type="spellEnd"/>
      <w:r>
        <w:t>. Vaccin de l'encéphalite à tiques (inactivé, adsorbé) – [virus de l'encéphalite à tiques souche K23] – Rupture de stock depuis le 12/06/2023 (ANSM, actualisation du 26/01/2024).</w:t>
      </w:r>
    </w:p>
    <w:p w:rsidR="00CF1922" w:rsidRDefault="00CF1922" w:rsidP="00CF1922">
      <w:pPr>
        <w:pStyle w:val="Textebrut"/>
      </w:pPr>
      <w:r>
        <w:t>Situation en ville : rupture. Situation à l'hôpital : rupture. Date de remise à disposition prévue fin mars 2024</w:t>
      </w:r>
    </w:p>
    <w:p w:rsidR="00CF1922" w:rsidRDefault="0022785A" w:rsidP="00CF1922">
      <w:pPr>
        <w:pStyle w:val="Textebrut"/>
      </w:pPr>
      <w:hyperlink r:id="rId185" w:history="1">
        <w:r w:rsidR="00CF1922" w:rsidRPr="009A54DA">
          <w:rPr>
            <w:rStyle w:val="Lienhypertexte"/>
          </w:rPr>
          <w:t>https://ansm.sante.fr/disponibilites-des-produits-de-sante/vaccins/encepur-1-5-microgrammes-0-5-ml-suspension-injectable-en-seringue-preremplie-vaccin-de-lencephalite-a-tiques-inactive-adsorbe-virus-de-lencephalite-a-tiques-souche-k23</w:t>
        </w:r>
      </w:hyperlink>
    </w:p>
    <w:p w:rsidR="00CF1922" w:rsidRDefault="00CF1922" w:rsidP="00CF1922">
      <w:pPr>
        <w:pStyle w:val="Textebrut"/>
      </w:pPr>
    </w:p>
    <w:p w:rsidR="00CF1922" w:rsidRDefault="00CF1922" w:rsidP="00CF1922">
      <w:pPr>
        <w:pStyle w:val="Textebrut"/>
      </w:pPr>
      <w:proofErr w:type="spellStart"/>
      <w:r>
        <w:t>Desferal</w:t>
      </w:r>
      <w:proofErr w:type="spellEnd"/>
      <w:r>
        <w:t xml:space="preserve"> 500 mg, poudre et solvant pour solution injectable – [</w:t>
      </w:r>
      <w:proofErr w:type="spellStart"/>
      <w:r>
        <w:t>déféroxamine</w:t>
      </w:r>
      <w:proofErr w:type="spellEnd"/>
      <w:r>
        <w:t xml:space="preserve"> (</w:t>
      </w:r>
      <w:proofErr w:type="spellStart"/>
      <w:r>
        <w:t>mésilate</w:t>
      </w:r>
      <w:proofErr w:type="spellEnd"/>
      <w:r>
        <w:t xml:space="preserve"> de)] – Tension d’approvisionnement depuis le 04/07/2023 (ANSM, actualisation du 26/01/2024).</w:t>
      </w:r>
    </w:p>
    <w:p w:rsidR="00CF1922" w:rsidRDefault="00CF1922" w:rsidP="00CF1922">
      <w:pPr>
        <w:pStyle w:val="Textebrut"/>
      </w:pPr>
      <w:r>
        <w:t>Tension d'approvisionnement en ville et à l'hôpital. Mise en place d’un contingentement qualitatif en ville. Distribution normale à l’hôpital. Lettre du laboratoire Novartis en date du 26/01/2024 relatif à ce contingentement et portant les modalités de délivrance (26/01/2024). Remise à disposition normale prévue mars 2024</w:t>
      </w:r>
    </w:p>
    <w:p w:rsidR="00CF1922" w:rsidRDefault="0022785A" w:rsidP="00CF1922">
      <w:pPr>
        <w:pStyle w:val="Textebrut"/>
      </w:pPr>
      <w:hyperlink r:id="rId186" w:history="1">
        <w:r w:rsidR="00CF1922" w:rsidRPr="009A54DA">
          <w:rPr>
            <w:rStyle w:val="Lienhypertexte"/>
          </w:rPr>
          <w:t>https://ansm.sante.fr/disponibilites-des-produits-de-sante/medicaments/desferal-500-mg-poudre-et-solvant-pour-solution-injectable-deferoxamine-mesilate-de</w:t>
        </w:r>
      </w:hyperlink>
    </w:p>
    <w:p w:rsidR="00CF1922" w:rsidRDefault="00CF1922" w:rsidP="00CF1922">
      <w:pPr>
        <w:pStyle w:val="Textebrut"/>
      </w:pPr>
    </w:p>
    <w:p w:rsidR="00FD200D" w:rsidRDefault="00FD200D" w:rsidP="00FD200D">
      <w:pPr>
        <w:pStyle w:val="Textebrut"/>
      </w:pPr>
      <w:proofErr w:type="spellStart"/>
      <w:r>
        <w:t>Virophta</w:t>
      </w:r>
      <w:proofErr w:type="spellEnd"/>
      <w:r>
        <w:t>, préparation pour collyre (lyophilisat et solvant) – [</w:t>
      </w:r>
      <w:proofErr w:type="spellStart"/>
      <w:r>
        <w:t>trifluridine</w:t>
      </w:r>
      <w:proofErr w:type="spellEnd"/>
      <w:r>
        <w:t>] – Rupture de stock depuis le 22/12/2023 (ANSM, actualisation du 29/01/2024).</w:t>
      </w:r>
    </w:p>
    <w:p w:rsidR="00FD200D" w:rsidRDefault="00FD200D" w:rsidP="00FD200D">
      <w:pPr>
        <w:pStyle w:val="Textebrut"/>
      </w:pPr>
      <w:r>
        <w:t>Situation en ville : Rupture. Situation à l'hôpital : non impactée. Date de remise à disposition prévue fin février 2024</w:t>
      </w:r>
    </w:p>
    <w:p w:rsidR="00FD200D" w:rsidRDefault="0022785A" w:rsidP="00FD200D">
      <w:pPr>
        <w:pStyle w:val="Textebrut"/>
      </w:pPr>
      <w:hyperlink r:id="rId187" w:history="1">
        <w:r w:rsidR="00FD200D" w:rsidRPr="009A54DA">
          <w:rPr>
            <w:rStyle w:val="Lienhypertexte"/>
          </w:rPr>
          <w:t>https://ansm.sante.fr/disponibilites-des-produits-de-sante/medicaments/virophta-preparation-pour-collyre-lyophilisat-et-solvant-trifluridine</w:t>
        </w:r>
      </w:hyperlink>
    </w:p>
    <w:p w:rsidR="00FD200D" w:rsidRDefault="00FD200D" w:rsidP="00FD200D">
      <w:pPr>
        <w:pStyle w:val="Textebrut"/>
      </w:pPr>
    </w:p>
    <w:p w:rsidR="00FD200D" w:rsidRDefault="00FD200D" w:rsidP="00FD200D">
      <w:pPr>
        <w:pStyle w:val="Textebrut"/>
      </w:pPr>
      <w:proofErr w:type="spellStart"/>
      <w:r>
        <w:t>Twinrix</w:t>
      </w:r>
      <w:proofErr w:type="spellEnd"/>
      <w:r>
        <w:t xml:space="preserve"> adulte, suspension injectable en seringue </w:t>
      </w:r>
      <w:proofErr w:type="spellStart"/>
      <w:r>
        <w:t>préremplie</w:t>
      </w:r>
      <w:proofErr w:type="spellEnd"/>
      <w:r>
        <w:t>. Vaccin de l'hépatite A (inactivé) et de l'hépatite B (</w:t>
      </w:r>
      <w:proofErr w:type="spellStart"/>
      <w:r>
        <w:t>ADNr</w:t>
      </w:r>
      <w:proofErr w:type="spellEnd"/>
      <w:r>
        <w:t>) (HAB) (adsorbé) – [Antigène de surface de l'hépatite B recombinant / virus de l'hépatite A souche HM175 inactivé adsorbé] – Remise à disposition à partir du 29/01/2024 (ANSM, 29/01/2024)</w:t>
      </w:r>
    </w:p>
    <w:p w:rsidR="00FD200D" w:rsidRDefault="0022785A" w:rsidP="00FD200D">
      <w:pPr>
        <w:pStyle w:val="Textebrut"/>
      </w:pPr>
      <w:hyperlink r:id="rId188" w:history="1">
        <w:r w:rsidR="00FD200D" w:rsidRPr="009A54DA">
          <w:rPr>
            <w:rStyle w:val="Lienhypertexte"/>
          </w:rPr>
          <w:t>https://ansm.sante.fr/disponibilites-des-produits-de-sante/vaccins/twinrix-adulte-suspension-injectable-en-seringue-preremplie-vaccin-de-lhepatite-a-inactive-et-de-lhepatite-b-adnr-hab-adsorbe-antigene-de-surface-de-lhepatite-b-recombinant-virus-de-lhepatite-a-souche-hm175-inactive-adsorbe</w:t>
        </w:r>
      </w:hyperlink>
    </w:p>
    <w:p w:rsidR="00FD200D" w:rsidRDefault="00FD200D" w:rsidP="00FD200D">
      <w:pPr>
        <w:pStyle w:val="Textebrut"/>
      </w:pPr>
    </w:p>
    <w:p w:rsidR="00B335D8" w:rsidRDefault="00B335D8" w:rsidP="00B335D8">
      <w:pPr>
        <w:pStyle w:val="Textebrut"/>
      </w:pPr>
      <w:proofErr w:type="spellStart"/>
      <w:r>
        <w:t>Varilrix</w:t>
      </w:r>
      <w:proofErr w:type="spellEnd"/>
      <w:r>
        <w:t xml:space="preserve">, poudre et solvant pour solution injectable en seringue </w:t>
      </w:r>
      <w:proofErr w:type="spellStart"/>
      <w:r>
        <w:t>préremplie</w:t>
      </w:r>
      <w:proofErr w:type="spellEnd"/>
      <w:r>
        <w:t xml:space="preserve">. Vaccin </w:t>
      </w:r>
      <w:proofErr w:type="spellStart"/>
      <w:r>
        <w:t>varicelleux</w:t>
      </w:r>
      <w:proofErr w:type="spellEnd"/>
      <w:r>
        <w:t xml:space="preserve"> vivant – [virus de la varicelle souche Oka (vivant, atténué)] – Tension d’approvisionnement depuis le 21/07/2023 (ANSM, actualisation du 29/01/2024).</w:t>
      </w:r>
    </w:p>
    <w:p w:rsidR="00B335D8" w:rsidRDefault="00B335D8" w:rsidP="00B335D8">
      <w:pPr>
        <w:pStyle w:val="Textebrut"/>
      </w:pPr>
      <w:r>
        <w:t>Distribution normale pour les hôpitaux, collectivités et DROM. Tension d'approvisionnement en ville. Distribution contingentée en ville. Disponibilité d’un stock limité de dépannage d’urgence en ville. Remise à disposition normale prévue courant février 2024</w:t>
      </w:r>
    </w:p>
    <w:p w:rsidR="00B335D8" w:rsidRDefault="0022785A" w:rsidP="00B335D8">
      <w:pPr>
        <w:pStyle w:val="Textebrut"/>
      </w:pPr>
      <w:hyperlink r:id="rId189" w:history="1">
        <w:r w:rsidR="00B335D8" w:rsidRPr="00560EEF">
          <w:rPr>
            <w:rStyle w:val="Lienhypertexte"/>
          </w:rPr>
          <w:t>https://ansm.sante.fr/disponibilites-des-produits-de-sante/vaccins/varilrix-poudre-et-solvant-pour-solution-injectable-en-seringue-preremplie-vaccin-varicelleux-vivant-virus-de-la-varicelle-souche-oka-vivant-attenue</w:t>
        </w:r>
      </w:hyperlink>
    </w:p>
    <w:p w:rsidR="00B335D8" w:rsidRDefault="00B335D8" w:rsidP="00B335D8">
      <w:pPr>
        <w:pStyle w:val="Textebrut"/>
      </w:pPr>
    </w:p>
    <w:p w:rsidR="002714B3" w:rsidRDefault="002714B3" w:rsidP="002714B3">
      <w:pPr>
        <w:pStyle w:val="Textebrut"/>
      </w:pPr>
      <w:proofErr w:type="spellStart"/>
      <w:r>
        <w:t>Engerix</w:t>
      </w:r>
      <w:proofErr w:type="spellEnd"/>
      <w:r>
        <w:t xml:space="preserve"> B 20 microgrammes/1 ml, suspension injectable en seringue </w:t>
      </w:r>
      <w:proofErr w:type="spellStart"/>
      <w:r>
        <w:t>préremplie</w:t>
      </w:r>
      <w:proofErr w:type="spellEnd"/>
      <w:r>
        <w:t>. Vaccin de l'hépatite B (</w:t>
      </w:r>
      <w:proofErr w:type="spellStart"/>
      <w:r>
        <w:t>ADNr</w:t>
      </w:r>
      <w:proofErr w:type="spellEnd"/>
      <w:r>
        <w:t>), (adsorbé) (VHB) – [Antigène de surface de l'hépatite B recombinant] – Tension d’approvisionnement depuis le 30/06/2023 (ANSM, actualisation du 30/01/2024).</w:t>
      </w:r>
    </w:p>
    <w:p w:rsidR="002714B3" w:rsidRDefault="002714B3" w:rsidP="002714B3">
      <w:pPr>
        <w:pStyle w:val="Textebrut"/>
      </w:pPr>
      <w:r>
        <w:lastRenderedPageBreak/>
        <w:t>Situation en ville : Tension. Situation à l'hôpital : non impactée. Contingentement quantitatif en ville. Disponibilité d'un stock limité de dépannage d'urgence en ville. Date de remise à disposition prévue mi-février 2024</w:t>
      </w:r>
    </w:p>
    <w:p w:rsidR="002714B3" w:rsidRDefault="002714B3" w:rsidP="002714B3">
      <w:pPr>
        <w:pStyle w:val="Textebrut"/>
      </w:pPr>
      <w:hyperlink r:id="rId190" w:history="1">
        <w:r w:rsidRPr="00E146CA">
          <w:rPr>
            <w:rStyle w:val="Lienhypertexte"/>
          </w:rPr>
          <w:t>https://ansm.sante.fr/disponibilites-des-produits-de-sante/vaccins/engerix-b-20-microgrammes-1-ml-suspension-injectable-en-seringue-preremplie-vaccin-de-lhepatite-b-adnr-adsorbe-vhb-antigene-de-surface-de-lhepatite-b-recombinant</w:t>
        </w:r>
      </w:hyperlink>
    </w:p>
    <w:p w:rsidR="002714B3" w:rsidRDefault="002714B3" w:rsidP="002714B3">
      <w:pPr>
        <w:pStyle w:val="Textebrut"/>
      </w:pPr>
    </w:p>
    <w:p w:rsidR="002714B3" w:rsidRDefault="002714B3" w:rsidP="002714B3">
      <w:pPr>
        <w:pStyle w:val="Textebrut"/>
      </w:pPr>
      <w:proofErr w:type="spellStart"/>
      <w:r>
        <w:t>Plaquenil</w:t>
      </w:r>
      <w:proofErr w:type="spellEnd"/>
      <w:r>
        <w:t xml:space="preserve"> 200 mg, comprimé pelliculé – [</w:t>
      </w:r>
      <w:proofErr w:type="spellStart"/>
      <w:r>
        <w:t>hydroxychloroquine</w:t>
      </w:r>
      <w:proofErr w:type="spellEnd"/>
      <w:r>
        <w:t xml:space="preserve"> (sulfate d')] – Remise à disposition à partir du 30/01/2024 (ANSM, 30/01/2024)</w:t>
      </w:r>
    </w:p>
    <w:p w:rsidR="002714B3" w:rsidRDefault="002714B3" w:rsidP="002714B3">
      <w:pPr>
        <w:pStyle w:val="Textebrut"/>
      </w:pPr>
      <w:hyperlink r:id="rId191" w:history="1">
        <w:r w:rsidRPr="00E146CA">
          <w:rPr>
            <w:rStyle w:val="Lienhypertexte"/>
          </w:rPr>
          <w:t>https://ansm.sante.fr/disponibilites-des-produits-de-sante/medicaments/plaquenil-200-mg-comprime-pellicule-hydroxychloroquine-sulfate-d</w:t>
        </w:r>
      </w:hyperlink>
    </w:p>
    <w:p w:rsidR="002714B3" w:rsidRDefault="002714B3" w:rsidP="002714B3">
      <w:pPr>
        <w:pStyle w:val="Textebrut"/>
      </w:pPr>
    </w:p>
    <w:sectPr w:rsidR="002714B3" w:rsidSect="004568FE">
      <w:headerReference w:type="even" r:id="rId192"/>
      <w:headerReference w:type="default" r:id="rId193"/>
      <w:footerReference w:type="even" r:id="rId194"/>
      <w:footerReference w:type="default" r:id="rId195"/>
      <w:headerReference w:type="first" r:id="rId196"/>
      <w:footerReference w:type="first" r:id="rId197"/>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785A" w:rsidRDefault="0022785A">
      <w:r>
        <w:separator/>
      </w:r>
    </w:p>
  </w:endnote>
  <w:endnote w:type="continuationSeparator" w:id="0">
    <w:p w:rsidR="0022785A" w:rsidRDefault="002278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785A" w:rsidRDefault="0022785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785A" w:rsidRDefault="0022785A">
    <w:pPr>
      <w:pStyle w:val="Pieddepage"/>
    </w:pPr>
  </w:p>
  <w:p w:rsidR="0022785A" w:rsidRDefault="0022785A">
    <w:pPr>
      <w:pStyle w:val="Pieddepage"/>
    </w:pPr>
    <w:r>
      <w:t xml:space="preserve">Contact : </w:t>
    </w:r>
    <w:hyperlink r:id="rId1" w:history="1">
      <w:r w:rsidRPr="009D2627">
        <w:rPr>
          <w:rStyle w:val="Lienhypertexte"/>
        </w:rPr>
        <w:t>ars-bfc-peps@ars.sante.fr</w:t>
      </w:r>
    </w:hyperlink>
  </w:p>
  <w:p w:rsidR="0022785A" w:rsidRDefault="0022785A">
    <w:pPr>
      <w:pStyle w:val="Pieddepage"/>
    </w:pPr>
  </w:p>
  <w:p w:rsidR="0022785A" w:rsidRPr="000A2FC6" w:rsidRDefault="0022785A"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785A" w:rsidRDefault="0022785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785A" w:rsidRDefault="0022785A">
      <w:r>
        <w:separator/>
      </w:r>
    </w:p>
  </w:footnote>
  <w:footnote w:type="continuationSeparator" w:id="0">
    <w:p w:rsidR="0022785A" w:rsidRDefault="002278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785A" w:rsidRDefault="0022785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785A" w:rsidRDefault="0022785A">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785A" w:rsidRDefault="0022785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1BD60E32"/>
    <w:multiLevelType w:val="hybridMultilevel"/>
    <w:tmpl w:val="3976E6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4"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7"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8"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2" w15:restartNumberingAfterBreak="0">
    <w:nsid w:val="79D95211"/>
    <w:multiLevelType w:val="hybridMultilevel"/>
    <w:tmpl w:val="2794D5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6"/>
  </w:num>
  <w:num w:numId="2">
    <w:abstractNumId w:val="6"/>
  </w:num>
  <w:num w:numId="3">
    <w:abstractNumId w:val="0"/>
  </w:num>
  <w:num w:numId="4">
    <w:abstractNumId w:val="1"/>
  </w:num>
  <w:num w:numId="5">
    <w:abstractNumId w:val="13"/>
  </w:num>
  <w:num w:numId="6">
    <w:abstractNumId w:val="15"/>
  </w:num>
  <w:num w:numId="7">
    <w:abstractNumId w:val="3"/>
  </w:num>
  <w:num w:numId="8">
    <w:abstractNumId w:val="12"/>
  </w:num>
  <w:num w:numId="9">
    <w:abstractNumId w:val="2"/>
  </w:num>
  <w:num w:numId="10">
    <w:abstractNumId w:val="18"/>
  </w:num>
  <w:num w:numId="11">
    <w:abstractNumId w:val="8"/>
  </w:num>
  <w:num w:numId="12">
    <w:abstractNumId w:val="4"/>
  </w:num>
  <w:num w:numId="13">
    <w:abstractNumId w:val="21"/>
  </w:num>
  <w:num w:numId="14">
    <w:abstractNumId w:val="17"/>
  </w:num>
  <w:num w:numId="15">
    <w:abstractNumId w:val="23"/>
  </w:num>
  <w:num w:numId="16">
    <w:abstractNumId w:val="20"/>
  </w:num>
  <w:num w:numId="17">
    <w:abstractNumId w:val="19"/>
  </w:num>
  <w:num w:numId="18">
    <w:abstractNumId w:val="5"/>
  </w:num>
  <w:num w:numId="19">
    <w:abstractNumId w:val="11"/>
  </w:num>
  <w:num w:numId="20">
    <w:abstractNumId w:val="9"/>
  </w:num>
  <w:num w:numId="21">
    <w:abstractNumId w:val="10"/>
  </w:num>
  <w:num w:numId="22">
    <w:abstractNumId w:val="14"/>
  </w:num>
  <w:num w:numId="23">
    <w:abstractNumId w:val="24"/>
  </w:num>
  <w:num w:numId="24">
    <w:abstractNumId w:val="22"/>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522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242"/>
    <w:rsid w:val="0000124D"/>
    <w:rsid w:val="00003243"/>
    <w:rsid w:val="000041FF"/>
    <w:rsid w:val="000100AD"/>
    <w:rsid w:val="000109A8"/>
    <w:rsid w:val="000109BE"/>
    <w:rsid w:val="00010FF1"/>
    <w:rsid w:val="0001329F"/>
    <w:rsid w:val="000151B1"/>
    <w:rsid w:val="00016D9E"/>
    <w:rsid w:val="00021831"/>
    <w:rsid w:val="00021E7F"/>
    <w:rsid w:val="0002236E"/>
    <w:rsid w:val="000229A5"/>
    <w:rsid w:val="000229F1"/>
    <w:rsid w:val="000249BA"/>
    <w:rsid w:val="00025904"/>
    <w:rsid w:val="00025E10"/>
    <w:rsid w:val="00026AE2"/>
    <w:rsid w:val="00026E7D"/>
    <w:rsid w:val="00027897"/>
    <w:rsid w:val="00030635"/>
    <w:rsid w:val="00030833"/>
    <w:rsid w:val="00032B13"/>
    <w:rsid w:val="00032E56"/>
    <w:rsid w:val="00033D82"/>
    <w:rsid w:val="00033F3D"/>
    <w:rsid w:val="00034346"/>
    <w:rsid w:val="000349FF"/>
    <w:rsid w:val="000354FF"/>
    <w:rsid w:val="00035A9A"/>
    <w:rsid w:val="00036C93"/>
    <w:rsid w:val="00042844"/>
    <w:rsid w:val="00044905"/>
    <w:rsid w:val="00045122"/>
    <w:rsid w:val="000468D6"/>
    <w:rsid w:val="00046D24"/>
    <w:rsid w:val="000474C3"/>
    <w:rsid w:val="00047BE1"/>
    <w:rsid w:val="00047CE5"/>
    <w:rsid w:val="0005013A"/>
    <w:rsid w:val="00051965"/>
    <w:rsid w:val="00051C3F"/>
    <w:rsid w:val="00052663"/>
    <w:rsid w:val="00052F60"/>
    <w:rsid w:val="00052FC0"/>
    <w:rsid w:val="00053858"/>
    <w:rsid w:val="0005411B"/>
    <w:rsid w:val="00055320"/>
    <w:rsid w:val="00055A22"/>
    <w:rsid w:val="00056C53"/>
    <w:rsid w:val="00057490"/>
    <w:rsid w:val="000616BE"/>
    <w:rsid w:val="000620C4"/>
    <w:rsid w:val="000624DA"/>
    <w:rsid w:val="0006252A"/>
    <w:rsid w:val="0006276C"/>
    <w:rsid w:val="00063C43"/>
    <w:rsid w:val="00063E22"/>
    <w:rsid w:val="00063E91"/>
    <w:rsid w:val="00064D7B"/>
    <w:rsid w:val="00066054"/>
    <w:rsid w:val="000660F2"/>
    <w:rsid w:val="0007085F"/>
    <w:rsid w:val="000708BD"/>
    <w:rsid w:val="00070DE1"/>
    <w:rsid w:val="00070F5F"/>
    <w:rsid w:val="00071943"/>
    <w:rsid w:val="00071E4C"/>
    <w:rsid w:val="000727B9"/>
    <w:rsid w:val="00073344"/>
    <w:rsid w:val="0007377D"/>
    <w:rsid w:val="00076047"/>
    <w:rsid w:val="0008347C"/>
    <w:rsid w:val="00083886"/>
    <w:rsid w:val="000845FF"/>
    <w:rsid w:val="00085059"/>
    <w:rsid w:val="000850BD"/>
    <w:rsid w:val="00085772"/>
    <w:rsid w:val="000908A0"/>
    <w:rsid w:val="0009110B"/>
    <w:rsid w:val="00091989"/>
    <w:rsid w:val="00091AAB"/>
    <w:rsid w:val="00093E65"/>
    <w:rsid w:val="0009442E"/>
    <w:rsid w:val="00095B4D"/>
    <w:rsid w:val="00095DE4"/>
    <w:rsid w:val="00096208"/>
    <w:rsid w:val="000966C5"/>
    <w:rsid w:val="000A0A8E"/>
    <w:rsid w:val="000A1301"/>
    <w:rsid w:val="000A1E6A"/>
    <w:rsid w:val="000A2146"/>
    <w:rsid w:val="000A2796"/>
    <w:rsid w:val="000A29AB"/>
    <w:rsid w:val="000A2FC6"/>
    <w:rsid w:val="000A3795"/>
    <w:rsid w:val="000A4AE9"/>
    <w:rsid w:val="000A4B11"/>
    <w:rsid w:val="000A774C"/>
    <w:rsid w:val="000A7DEF"/>
    <w:rsid w:val="000A7F92"/>
    <w:rsid w:val="000B139A"/>
    <w:rsid w:val="000B19AA"/>
    <w:rsid w:val="000B19CF"/>
    <w:rsid w:val="000B39A2"/>
    <w:rsid w:val="000B4A08"/>
    <w:rsid w:val="000B673C"/>
    <w:rsid w:val="000B6D06"/>
    <w:rsid w:val="000C1264"/>
    <w:rsid w:val="000C1633"/>
    <w:rsid w:val="000C26FB"/>
    <w:rsid w:val="000C2A3C"/>
    <w:rsid w:val="000C4685"/>
    <w:rsid w:val="000C5402"/>
    <w:rsid w:val="000D1283"/>
    <w:rsid w:val="000D1AAE"/>
    <w:rsid w:val="000D1B53"/>
    <w:rsid w:val="000D1C93"/>
    <w:rsid w:val="000D2843"/>
    <w:rsid w:val="000D77FC"/>
    <w:rsid w:val="000E003E"/>
    <w:rsid w:val="000E091A"/>
    <w:rsid w:val="000E1029"/>
    <w:rsid w:val="000E10A5"/>
    <w:rsid w:val="000E1FB8"/>
    <w:rsid w:val="000E3AF0"/>
    <w:rsid w:val="000E3C77"/>
    <w:rsid w:val="000E4358"/>
    <w:rsid w:val="000E49BA"/>
    <w:rsid w:val="000E52DE"/>
    <w:rsid w:val="000E5ECC"/>
    <w:rsid w:val="000E66AC"/>
    <w:rsid w:val="000E77EE"/>
    <w:rsid w:val="000F0F48"/>
    <w:rsid w:val="000F0F8D"/>
    <w:rsid w:val="000F12BF"/>
    <w:rsid w:val="000F145C"/>
    <w:rsid w:val="000F17D1"/>
    <w:rsid w:val="000F23A5"/>
    <w:rsid w:val="000F2634"/>
    <w:rsid w:val="000F6083"/>
    <w:rsid w:val="000F72CA"/>
    <w:rsid w:val="000F7BAB"/>
    <w:rsid w:val="00100315"/>
    <w:rsid w:val="001006A6"/>
    <w:rsid w:val="00101BE3"/>
    <w:rsid w:val="001020D4"/>
    <w:rsid w:val="0010227F"/>
    <w:rsid w:val="0010256F"/>
    <w:rsid w:val="00102DE2"/>
    <w:rsid w:val="00103090"/>
    <w:rsid w:val="001031F4"/>
    <w:rsid w:val="00103237"/>
    <w:rsid w:val="00104B6A"/>
    <w:rsid w:val="0010580E"/>
    <w:rsid w:val="0010711F"/>
    <w:rsid w:val="00107ABA"/>
    <w:rsid w:val="00107AFE"/>
    <w:rsid w:val="00111F2F"/>
    <w:rsid w:val="001124EF"/>
    <w:rsid w:val="00113CA0"/>
    <w:rsid w:val="00114E75"/>
    <w:rsid w:val="00116275"/>
    <w:rsid w:val="0011781D"/>
    <w:rsid w:val="00117BB3"/>
    <w:rsid w:val="00117DAA"/>
    <w:rsid w:val="0012012F"/>
    <w:rsid w:val="00122229"/>
    <w:rsid w:val="001227EE"/>
    <w:rsid w:val="00123F25"/>
    <w:rsid w:val="001255E4"/>
    <w:rsid w:val="001259C3"/>
    <w:rsid w:val="00126647"/>
    <w:rsid w:val="00127F33"/>
    <w:rsid w:val="001313D8"/>
    <w:rsid w:val="00131476"/>
    <w:rsid w:val="0013232E"/>
    <w:rsid w:val="00133883"/>
    <w:rsid w:val="001355D7"/>
    <w:rsid w:val="00136108"/>
    <w:rsid w:val="00137E96"/>
    <w:rsid w:val="00140E13"/>
    <w:rsid w:val="00142405"/>
    <w:rsid w:val="00147846"/>
    <w:rsid w:val="00150170"/>
    <w:rsid w:val="00151590"/>
    <w:rsid w:val="00151EB5"/>
    <w:rsid w:val="00152A7F"/>
    <w:rsid w:val="001538BD"/>
    <w:rsid w:val="00154883"/>
    <w:rsid w:val="001555D0"/>
    <w:rsid w:val="0015590C"/>
    <w:rsid w:val="00157226"/>
    <w:rsid w:val="00160142"/>
    <w:rsid w:val="00160DCE"/>
    <w:rsid w:val="00160F02"/>
    <w:rsid w:val="00161EAF"/>
    <w:rsid w:val="00162E9F"/>
    <w:rsid w:val="00163E57"/>
    <w:rsid w:val="00163FBC"/>
    <w:rsid w:val="0016587E"/>
    <w:rsid w:val="00165BD5"/>
    <w:rsid w:val="00165F97"/>
    <w:rsid w:val="00167231"/>
    <w:rsid w:val="00170042"/>
    <w:rsid w:val="001715A5"/>
    <w:rsid w:val="00171EC6"/>
    <w:rsid w:val="0017429E"/>
    <w:rsid w:val="0017619F"/>
    <w:rsid w:val="00176C88"/>
    <w:rsid w:val="00176DB8"/>
    <w:rsid w:val="001775CF"/>
    <w:rsid w:val="00177678"/>
    <w:rsid w:val="00180C7C"/>
    <w:rsid w:val="00180D0B"/>
    <w:rsid w:val="00180EC2"/>
    <w:rsid w:val="001828BF"/>
    <w:rsid w:val="00183C3B"/>
    <w:rsid w:val="00184223"/>
    <w:rsid w:val="00184852"/>
    <w:rsid w:val="00191201"/>
    <w:rsid w:val="00193286"/>
    <w:rsid w:val="00193A66"/>
    <w:rsid w:val="00193C1F"/>
    <w:rsid w:val="001940DE"/>
    <w:rsid w:val="00194404"/>
    <w:rsid w:val="001956CE"/>
    <w:rsid w:val="00195AA6"/>
    <w:rsid w:val="001969EA"/>
    <w:rsid w:val="00197CFC"/>
    <w:rsid w:val="001A2213"/>
    <w:rsid w:val="001A526B"/>
    <w:rsid w:val="001A5670"/>
    <w:rsid w:val="001B039C"/>
    <w:rsid w:val="001B2FBB"/>
    <w:rsid w:val="001B39CB"/>
    <w:rsid w:val="001B3F35"/>
    <w:rsid w:val="001B5625"/>
    <w:rsid w:val="001B5903"/>
    <w:rsid w:val="001B5CF6"/>
    <w:rsid w:val="001B5FAB"/>
    <w:rsid w:val="001B69E3"/>
    <w:rsid w:val="001C022D"/>
    <w:rsid w:val="001C024A"/>
    <w:rsid w:val="001C0BC0"/>
    <w:rsid w:val="001C1B2F"/>
    <w:rsid w:val="001C1D20"/>
    <w:rsid w:val="001C39FF"/>
    <w:rsid w:val="001C4563"/>
    <w:rsid w:val="001C4D95"/>
    <w:rsid w:val="001C4EB8"/>
    <w:rsid w:val="001C52CB"/>
    <w:rsid w:val="001C7742"/>
    <w:rsid w:val="001D10BF"/>
    <w:rsid w:val="001D17B3"/>
    <w:rsid w:val="001D17BC"/>
    <w:rsid w:val="001D69E7"/>
    <w:rsid w:val="001D7996"/>
    <w:rsid w:val="001E123F"/>
    <w:rsid w:val="001E25E0"/>
    <w:rsid w:val="001E45D7"/>
    <w:rsid w:val="001E68AC"/>
    <w:rsid w:val="001E75EF"/>
    <w:rsid w:val="001E7D1B"/>
    <w:rsid w:val="001F0206"/>
    <w:rsid w:val="001F0FBB"/>
    <w:rsid w:val="001F12B1"/>
    <w:rsid w:val="001F18E1"/>
    <w:rsid w:val="001F2484"/>
    <w:rsid w:val="001F535A"/>
    <w:rsid w:val="001F564F"/>
    <w:rsid w:val="001F5B9B"/>
    <w:rsid w:val="001F6248"/>
    <w:rsid w:val="001F66B2"/>
    <w:rsid w:val="001F7694"/>
    <w:rsid w:val="0020050C"/>
    <w:rsid w:val="0020070B"/>
    <w:rsid w:val="00200A3C"/>
    <w:rsid w:val="00200D08"/>
    <w:rsid w:val="00201104"/>
    <w:rsid w:val="0020268B"/>
    <w:rsid w:val="002053C0"/>
    <w:rsid w:val="00206BA0"/>
    <w:rsid w:val="00207094"/>
    <w:rsid w:val="00207D4F"/>
    <w:rsid w:val="00210253"/>
    <w:rsid w:val="00211369"/>
    <w:rsid w:val="002116B6"/>
    <w:rsid w:val="00213F84"/>
    <w:rsid w:val="00214BA9"/>
    <w:rsid w:val="00217095"/>
    <w:rsid w:val="00217B2C"/>
    <w:rsid w:val="00222D50"/>
    <w:rsid w:val="00223320"/>
    <w:rsid w:val="00226826"/>
    <w:rsid w:val="0022726E"/>
    <w:rsid w:val="0022785A"/>
    <w:rsid w:val="00231A00"/>
    <w:rsid w:val="00231B3F"/>
    <w:rsid w:val="00232266"/>
    <w:rsid w:val="002329F6"/>
    <w:rsid w:val="00233A04"/>
    <w:rsid w:val="002346B5"/>
    <w:rsid w:val="0023513D"/>
    <w:rsid w:val="002369DC"/>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46734"/>
    <w:rsid w:val="00250A93"/>
    <w:rsid w:val="00251FC3"/>
    <w:rsid w:val="002520A6"/>
    <w:rsid w:val="002520FC"/>
    <w:rsid w:val="00253FE8"/>
    <w:rsid w:val="0025634B"/>
    <w:rsid w:val="00257312"/>
    <w:rsid w:val="00260250"/>
    <w:rsid w:val="00260678"/>
    <w:rsid w:val="002609D5"/>
    <w:rsid w:val="002610A8"/>
    <w:rsid w:val="00261A96"/>
    <w:rsid w:val="00262145"/>
    <w:rsid w:val="002623F7"/>
    <w:rsid w:val="002624CC"/>
    <w:rsid w:val="0026331A"/>
    <w:rsid w:val="00263E21"/>
    <w:rsid w:val="002640BD"/>
    <w:rsid w:val="002655EF"/>
    <w:rsid w:val="00265C85"/>
    <w:rsid w:val="00266A7A"/>
    <w:rsid w:val="002712B6"/>
    <w:rsid w:val="002714B3"/>
    <w:rsid w:val="0027230B"/>
    <w:rsid w:val="00272C95"/>
    <w:rsid w:val="00274B89"/>
    <w:rsid w:val="002750B9"/>
    <w:rsid w:val="0028006A"/>
    <w:rsid w:val="00281D23"/>
    <w:rsid w:val="00281ED9"/>
    <w:rsid w:val="00281F56"/>
    <w:rsid w:val="002823AE"/>
    <w:rsid w:val="002823F2"/>
    <w:rsid w:val="0028255C"/>
    <w:rsid w:val="00283F35"/>
    <w:rsid w:val="002845D0"/>
    <w:rsid w:val="002849CE"/>
    <w:rsid w:val="0028547A"/>
    <w:rsid w:val="00285602"/>
    <w:rsid w:val="00285D84"/>
    <w:rsid w:val="0028625A"/>
    <w:rsid w:val="002865E4"/>
    <w:rsid w:val="00286AC8"/>
    <w:rsid w:val="002901C4"/>
    <w:rsid w:val="0029039F"/>
    <w:rsid w:val="00291247"/>
    <w:rsid w:val="00293321"/>
    <w:rsid w:val="00294049"/>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204C"/>
    <w:rsid w:val="002B2304"/>
    <w:rsid w:val="002B38DD"/>
    <w:rsid w:val="002B6496"/>
    <w:rsid w:val="002B6B38"/>
    <w:rsid w:val="002B6BD2"/>
    <w:rsid w:val="002B6DE2"/>
    <w:rsid w:val="002B7292"/>
    <w:rsid w:val="002B7941"/>
    <w:rsid w:val="002C03AD"/>
    <w:rsid w:val="002C2134"/>
    <w:rsid w:val="002C25CE"/>
    <w:rsid w:val="002C3E26"/>
    <w:rsid w:val="002C4354"/>
    <w:rsid w:val="002C459B"/>
    <w:rsid w:val="002C521C"/>
    <w:rsid w:val="002C5D06"/>
    <w:rsid w:val="002C5DAD"/>
    <w:rsid w:val="002C5FBD"/>
    <w:rsid w:val="002C769C"/>
    <w:rsid w:val="002C76A1"/>
    <w:rsid w:val="002D02D1"/>
    <w:rsid w:val="002D05EC"/>
    <w:rsid w:val="002D06BE"/>
    <w:rsid w:val="002D0BA2"/>
    <w:rsid w:val="002D3570"/>
    <w:rsid w:val="002D3ADB"/>
    <w:rsid w:val="002D3D50"/>
    <w:rsid w:val="002D3FA8"/>
    <w:rsid w:val="002D5A7F"/>
    <w:rsid w:val="002D6B97"/>
    <w:rsid w:val="002D6C94"/>
    <w:rsid w:val="002E3075"/>
    <w:rsid w:val="002E4021"/>
    <w:rsid w:val="002E5370"/>
    <w:rsid w:val="002E7065"/>
    <w:rsid w:val="002F0ECB"/>
    <w:rsid w:val="002F1EED"/>
    <w:rsid w:val="002F3AA7"/>
    <w:rsid w:val="002F3D2D"/>
    <w:rsid w:val="002F5FA4"/>
    <w:rsid w:val="002F68E7"/>
    <w:rsid w:val="00301108"/>
    <w:rsid w:val="00301448"/>
    <w:rsid w:val="00304E06"/>
    <w:rsid w:val="00305CB2"/>
    <w:rsid w:val="00306396"/>
    <w:rsid w:val="00307FD2"/>
    <w:rsid w:val="0031111D"/>
    <w:rsid w:val="00314AB7"/>
    <w:rsid w:val="00314B33"/>
    <w:rsid w:val="00315F8A"/>
    <w:rsid w:val="00317010"/>
    <w:rsid w:val="003179F9"/>
    <w:rsid w:val="00317A93"/>
    <w:rsid w:val="0032096E"/>
    <w:rsid w:val="00320FB9"/>
    <w:rsid w:val="0032104D"/>
    <w:rsid w:val="00325BA8"/>
    <w:rsid w:val="00326432"/>
    <w:rsid w:val="00326EF6"/>
    <w:rsid w:val="0032721A"/>
    <w:rsid w:val="003272D8"/>
    <w:rsid w:val="0032770E"/>
    <w:rsid w:val="003303B2"/>
    <w:rsid w:val="003304E8"/>
    <w:rsid w:val="003333BA"/>
    <w:rsid w:val="003338B5"/>
    <w:rsid w:val="00334826"/>
    <w:rsid w:val="003356ED"/>
    <w:rsid w:val="003358F4"/>
    <w:rsid w:val="003369DB"/>
    <w:rsid w:val="00337240"/>
    <w:rsid w:val="003372C8"/>
    <w:rsid w:val="003406D7"/>
    <w:rsid w:val="00340DD9"/>
    <w:rsid w:val="00342875"/>
    <w:rsid w:val="003438B0"/>
    <w:rsid w:val="003440D9"/>
    <w:rsid w:val="003445B7"/>
    <w:rsid w:val="00344F1E"/>
    <w:rsid w:val="0034740E"/>
    <w:rsid w:val="003477E6"/>
    <w:rsid w:val="00347F50"/>
    <w:rsid w:val="00347FEF"/>
    <w:rsid w:val="003512CD"/>
    <w:rsid w:val="0035168B"/>
    <w:rsid w:val="00351CA2"/>
    <w:rsid w:val="00351D35"/>
    <w:rsid w:val="003526B9"/>
    <w:rsid w:val="00352A3D"/>
    <w:rsid w:val="00352FE8"/>
    <w:rsid w:val="00353352"/>
    <w:rsid w:val="0035487B"/>
    <w:rsid w:val="0035519D"/>
    <w:rsid w:val="0035718E"/>
    <w:rsid w:val="00360CA7"/>
    <w:rsid w:val="00361AD6"/>
    <w:rsid w:val="00361D5A"/>
    <w:rsid w:val="00361F32"/>
    <w:rsid w:val="003638B8"/>
    <w:rsid w:val="00365D1F"/>
    <w:rsid w:val="00366114"/>
    <w:rsid w:val="00366AAC"/>
    <w:rsid w:val="0037060A"/>
    <w:rsid w:val="00371597"/>
    <w:rsid w:val="0037198A"/>
    <w:rsid w:val="0037207C"/>
    <w:rsid w:val="00373F04"/>
    <w:rsid w:val="0037417B"/>
    <w:rsid w:val="00374283"/>
    <w:rsid w:val="00374292"/>
    <w:rsid w:val="00376E64"/>
    <w:rsid w:val="00377BCC"/>
    <w:rsid w:val="003817D0"/>
    <w:rsid w:val="00381E33"/>
    <w:rsid w:val="003837AD"/>
    <w:rsid w:val="00383B30"/>
    <w:rsid w:val="0038449D"/>
    <w:rsid w:val="00384C4E"/>
    <w:rsid w:val="00384D5C"/>
    <w:rsid w:val="00385288"/>
    <w:rsid w:val="0038577D"/>
    <w:rsid w:val="00386BCC"/>
    <w:rsid w:val="003870A9"/>
    <w:rsid w:val="003871A3"/>
    <w:rsid w:val="00387589"/>
    <w:rsid w:val="0038768A"/>
    <w:rsid w:val="00390661"/>
    <w:rsid w:val="00392158"/>
    <w:rsid w:val="0039229E"/>
    <w:rsid w:val="00392CF5"/>
    <w:rsid w:val="003945A8"/>
    <w:rsid w:val="00394E9F"/>
    <w:rsid w:val="00395B8E"/>
    <w:rsid w:val="00395F25"/>
    <w:rsid w:val="00397419"/>
    <w:rsid w:val="003A029C"/>
    <w:rsid w:val="003A24E9"/>
    <w:rsid w:val="003A2B61"/>
    <w:rsid w:val="003A4932"/>
    <w:rsid w:val="003A6D39"/>
    <w:rsid w:val="003A7A16"/>
    <w:rsid w:val="003B0E9F"/>
    <w:rsid w:val="003B1403"/>
    <w:rsid w:val="003B1B0B"/>
    <w:rsid w:val="003B1E6B"/>
    <w:rsid w:val="003B22CA"/>
    <w:rsid w:val="003B2C47"/>
    <w:rsid w:val="003B367E"/>
    <w:rsid w:val="003B378B"/>
    <w:rsid w:val="003B48F4"/>
    <w:rsid w:val="003B65C7"/>
    <w:rsid w:val="003B7766"/>
    <w:rsid w:val="003B7E31"/>
    <w:rsid w:val="003C0C89"/>
    <w:rsid w:val="003C11F6"/>
    <w:rsid w:val="003C24C0"/>
    <w:rsid w:val="003C3C5D"/>
    <w:rsid w:val="003C4037"/>
    <w:rsid w:val="003C5679"/>
    <w:rsid w:val="003C7D38"/>
    <w:rsid w:val="003D0611"/>
    <w:rsid w:val="003D0624"/>
    <w:rsid w:val="003D0E62"/>
    <w:rsid w:val="003D225D"/>
    <w:rsid w:val="003D3E5C"/>
    <w:rsid w:val="003D6639"/>
    <w:rsid w:val="003D70D5"/>
    <w:rsid w:val="003D7119"/>
    <w:rsid w:val="003E17F7"/>
    <w:rsid w:val="003E28FC"/>
    <w:rsid w:val="003E3826"/>
    <w:rsid w:val="003E3A44"/>
    <w:rsid w:val="003E69CF"/>
    <w:rsid w:val="003E7F72"/>
    <w:rsid w:val="003F024E"/>
    <w:rsid w:val="003F1C56"/>
    <w:rsid w:val="003F344A"/>
    <w:rsid w:val="003F37EA"/>
    <w:rsid w:val="003F41F6"/>
    <w:rsid w:val="003F4613"/>
    <w:rsid w:val="003F46CC"/>
    <w:rsid w:val="003F534F"/>
    <w:rsid w:val="003F7F3C"/>
    <w:rsid w:val="00402BA6"/>
    <w:rsid w:val="00404C93"/>
    <w:rsid w:val="0040534B"/>
    <w:rsid w:val="004053F0"/>
    <w:rsid w:val="00405958"/>
    <w:rsid w:val="00405E40"/>
    <w:rsid w:val="004062A1"/>
    <w:rsid w:val="00407434"/>
    <w:rsid w:val="00407566"/>
    <w:rsid w:val="00407643"/>
    <w:rsid w:val="00412566"/>
    <w:rsid w:val="00413477"/>
    <w:rsid w:val="00413A49"/>
    <w:rsid w:val="0041480F"/>
    <w:rsid w:val="00414945"/>
    <w:rsid w:val="00417CE2"/>
    <w:rsid w:val="00421CEA"/>
    <w:rsid w:val="004240DA"/>
    <w:rsid w:val="00425066"/>
    <w:rsid w:val="00425504"/>
    <w:rsid w:val="004269A0"/>
    <w:rsid w:val="004269B5"/>
    <w:rsid w:val="00426E07"/>
    <w:rsid w:val="00430E44"/>
    <w:rsid w:val="0043211F"/>
    <w:rsid w:val="004324F8"/>
    <w:rsid w:val="0043261C"/>
    <w:rsid w:val="004335ED"/>
    <w:rsid w:val="00433ED5"/>
    <w:rsid w:val="00434C2E"/>
    <w:rsid w:val="0043575F"/>
    <w:rsid w:val="0043747D"/>
    <w:rsid w:val="00437B63"/>
    <w:rsid w:val="00437FFA"/>
    <w:rsid w:val="00440074"/>
    <w:rsid w:val="00441375"/>
    <w:rsid w:val="00443563"/>
    <w:rsid w:val="004436AF"/>
    <w:rsid w:val="0044388F"/>
    <w:rsid w:val="00443CB7"/>
    <w:rsid w:val="00444416"/>
    <w:rsid w:val="00445041"/>
    <w:rsid w:val="0044514A"/>
    <w:rsid w:val="00445254"/>
    <w:rsid w:val="00445A81"/>
    <w:rsid w:val="0044723D"/>
    <w:rsid w:val="004473F7"/>
    <w:rsid w:val="004520D8"/>
    <w:rsid w:val="004524B3"/>
    <w:rsid w:val="00453017"/>
    <w:rsid w:val="0045412F"/>
    <w:rsid w:val="00454EC9"/>
    <w:rsid w:val="00455197"/>
    <w:rsid w:val="004556F6"/>
    <w:rsid w:val="00455F24"/>
    <w:rsid w:val="004568FE"/>
    <w:rsid w:val="00456972"/>
    <w:rsid w:val="00457A99"/>
    <w:rsid w:val="00460CFB"/>
    <w:rsid w:val="004625B5"/>
    <w:rsid w:val="004629FE"/>
    <w:rsid w:val="00462B24"/>
    <w:rsid w:val="00465561"/>
    <w:rsid w:val="004665D6"/>
    <w:rsid w:val="00466872"/>
    <w:rsid w:val="00467D4C"/>
    <w:rsid w:val="00472AC1"/>
    <w:rsid w:val="004730C8"/>
    <w:rsid w:val="00474007"/>
    <w:rsid w:val="00475175"/>
    <w:rsid w:val="00476D29"/>
    <w:rsid w:val="004776D0"/>
    <w:rsid w:val="00480920"/>
    <w:rsid w:val="00481907"/>
    <w:rsid w:val="004830BB"/>
    <w:rsid w:val="004837F1"/>
    <w:rsid w:val="00484403"/>
    <w:rsid w:val="004849F8"/>
    <w:rsid w:val="00487537"/>
    <w:rsid w:val="00491744"/>
    <w:rsid w:val="004923C1"/>
    <w:rsid w:val="00492660"/>
    <w:rsid w:val="00494AF4"/>
    <w:rsid w:val="00494F55"/>
    <w:rsid w:val="0049571E"/>
    <w:rsid w:val="00495B81"/>
    <w:rsid w:val="004961AB"/>
    <w:rsid w:val="004970EB"/>
    <w:rsid w:val="004A026F"/>
    <w:rsid w:val="004A043C"/>
    <w:rsid w:val="004A24C6"/>
    <w:rsid w:val="004A253F"/>
    <w:rsid w:val="004A2A43"/>
    <w:rsid w:val="004A2E72"/>
    <w:rsid w:val="004A30CF"/>
    <w:rsid w:val="004A3203"/>
    <w:rsid w:val="004A33A0"/>
    <w:rsid w:val="004A3DB8"/>
    <w:rsid w:val="004A584A"/>
    <w:rsid w:val="004A7D3C"/>
    <w:rsid w:val="004B0AAA"/>
    <w:rsid w:val="004B1C7D"/>
    <w:rsid w:val="004B25BB"/>
    <w:rsid w:val="004B2836"/>
    <w:rsid w:val="004B2F69"/>
    <w:rsid w:val="004B42DD"/>
    <w:rsid w:val="004B52DD"/>
    <w:rsid w:val="004B614D"/>
    <w:rsid w:val="004B706F"/>
    <w:rsid w:val="004B759A"/>
    <w:rsid w:val="004C0AF0"/>
    <w:rsid w:val="004C1F7B"/>
    <w:rsid w:val="004C215D"/>
    <w:rsid w:val="004C304E"/>
    <w:rsid w:val="004C3B33"/>
    <w:rsid w:val="004C4482"/>
    <w:rsid w:val="004C4F28"/>
    <w:rsid w:val="004C5695"/>
    <w:rsid w:val="004C5E58"/>
    <w:rsid w:val="004C5FE3"/>
    <w:rsid w:val="004C7AF7"/>
    <w:rsid w:val="004D0B23"/>
    <w:rsid w:val="004D0C50"/>
    <w:rsid w:val="004D0E58"/>
    <w:rsid w:val="004D17D0"/>
    <w:rsid w:val="004D2AA0"/>
    <w:rsid w:val="004D5CD7"/>
    <w:rsid w:val="004D6968"/>
    <w:rsid w:val="004D6D7F"/>
    <w:rsid w:val="004D6DA3"/>
    <w:rsid w:val="004D6DDD"/>
    <w:rsid w:val="004D7261"/>
    <w:rsid w:val="004D7F20"/>
    <w:rsid w:val="004E000F"/>
    <w:rsid w:val="004E0B14"/>
    <w:rsid w:val="004E154A"/>
    <w:rsid w:val="004E172D"/>
    <w:rsid w:val="004E367F"/>
    <w:rsid w:val="004E39D7"/>
    <w:rsid w:val="004E4492"/>
    <w:rsid w:val="004E7514"/>
    <w:rsid w:val="004F0101"/>
    <w:rsid w:val="004F047F"/>
    <w:rsid w:val="004F1E00"/>
    <w:rsid w:val="004F28BA"/>
    <w:rsid w:val="004F305D"/>
    <w:rsid w:val="004F4074"/>
    <w:rsid w:val="004F40E1"/>
    <w:rsid w:val="004F416F"/>
    <w:rsid w:val="004F5584"/>
    <w:rsid w:val="004F5EAD"/>
    <w:rsid w:val="004F62A0"/>
    <w:rsid w:val="004F6454"/>
    <w:rsid w:val="004F64C7"/>
    <w:rsid w:val="004F78E7"/>
    <w:rsid w:val="004F7E1C"/>
    <w:rsid w:val="00502047"/>
    <w:rsid w:val="0050218E"/>
    <w:rsid w:val="0050329D"/>
    <w:rsid w:val="0050338F"/>
    <w:rsid w:val="0050482D"/>
    <w:rsid w:val="00504A66"/>
    <w:rsid w:val="00504FE9"/>
    <w:rsid w:val="005066F5"/>
    <w:rsid w:val="0050702A"/>
    <w:rsid w:val="00507105"/>
    <w:rsid w:val="00507686"/>
    <w:rsid w:val="005102F6"/>
    <w:rsid w:val="005111DF"/>
    <w:rsid w:val="00511612"/>
    <w:rsid w:val="0051288B"/>
    <w:rsid w:val="00513D68"/>
    <w:rsid w:val="005142E8"/>
    <w:rsid w:val="00515C80"/>
    <w:rsid w:val="00515D2F"/>
    <w:rsid w:val="005162CC"/>
    <w:rsid w:val="005174CF"/>
    <w:rsid w:val="005209D5"/>
    <w:rsid w:val="00520D2E"/>
    <w:rsid w:val="00521D65"/>
    <w:rsid w:val="00522701"/>
    <w:rsid w:val="00523C2D"/>
    <w:rsid w:val="00523F15"/>
    <w:rsid w:val="00525A70"/>
    <w:rsid w:val="00525D98"/>
    <w:rsid w:val="00527431"/>
    <w:rsid w:val="005274AD"/>
    <w:rsid w:val="00531567"/>
    <w:rsid w:val="005345E7"/>
    <w:rsid w:val="00534CE1"/>
    <w:rsid w:val="0053532B"/>
    <w:rsid w:val="0053668F"/>
    <w:rsid w:val="00536AE0"/>
    <w:rsid w:val="00536C83"/>
    <w:rsid w:val="00536D33"/>
    <w:rsid w:val="005402A7"/>
    <w:rsid w:val="00540633"/>
    <w:rsid w:val="00541AC8"/>
    <w:rsid w:val="00542499"/>
    <w:rsid w:val="005439DC"/>
    <w:rsid w:val="005447DD"/>
    <w:rsid w:val="00544C55"/>
    <w:rsid w:val="0054622B"/>
    <w:rsid w:val="00546F84"/>
    <w:rsid w:val="00546FFE"/>
    <w:rsid w:val="00547C82"/>
    <w:rsid w:val="00551432"/>
    <w:rsid w:val="00551DD4"/>
    <w:rsid w:val="00551E81"/>
    <w:rsid w:val="00552323"/>
    <w:rsid w:val="00552EB7"/>
    <w:rsid w:val="005530DB"/>
    <w:rsid w:val="005538E3"/>
    <w:rsid w:val="005543A0"/>
    <w:rsid w:val="00555014"/>
    <w:rsid w:val="005552E8"/>
    <w:rsid w:val="0055559F"/>
    <w:rsid w:val="00555963"/>
    <w:rsid w:val="00555ED7"/>
    <w:rsid w:val="005566A0"/>
    <w:rsid w:val="005568FB"/>
    <w:rsid w:val="0055738E"/>
    <w:rsid w:val="005612D7"/>
    <w:rsid w:val="00561F70"/>
    <w:rsid w:val="005622BA"/>
    <w:rsid w:val="0056270F"/>
    <w:rsid w:val="00563F99"/>
    <w:rsid w:val="005640FD"/>
    <w:rsid w:val="005644FA"/>
    <w:rsid w:val="005652D0"/>
    <w:rsid w:val="005658C5"/>
    <w:rsid w:val="00566A94"/>
    <w:rsid w:val="00567ABD"/>
    <w:rsid w:val="005707C2"/>
    <w:rsid w:val="00571D94"/>
    <w:rsid w:val="005720C1"/>
    <w:rsid w:val="005720F5"/>
    <w:rsid w:val="00572910"/>
    <w:rsid w:val="00572FA3"/>
    <w:rsid w:val="00573305"/>
    <w:rsid w:val="00573630"/>
    <w:rsid w:val="00573B00"/>
    <w:rsid w:val="0057466C"/>
    <w:rsid w:val="00574ED5"/>
    <w:rsid w:val="005764FC"/>
    <w:rsid w:val="00577F3A"/>
    <w:rsid w:val="00580D6F"/>
    <w:rsid w:val="00582CD4"/>
    <w:rsid w:val="00583583"/>
    <w:rsid w:val="00584697"/>
    <w:rsid w:val="005857AF"/>
    <w:rsid w:val="00585BF3"/>
    <w:rsid w:val="00586917"/>
    <w:rsid w:val="00586CF0"/>
    <w:rsid w:val="005906A0"/>
    <w:rsid w:val="00591156"/>
    <w:rsid w:val="005925DC"/>
    <w:rsid w:val="0059329E"/>
    <w:rsid w:val="0059572A"/>
    <w:rsid w:val="005958B5"/>
    <w:rsid w:val="00596F19"/>
    <w:rsid w:val="005973BB"/>
    <w:rsid w:val="005A0FE0"/>
    <w:rsid w:val="005A18AF"/>
    <w:rsid w:val="005A21EE"/>
    <w:rsid w:val="005A38DD"/>
    <w:rsid w:val="005A3F84"/>
    <w:rsid w:val="005A508A"/>
    <w:rsid w:val="005A56A5"/>
    <w:rsid w:val="005A6288"/>
    <w:rsid w:val="005A66FA"/>
    <w:rsid w:val="005A70D1"/>
    <w:rsid w:val="005A7259"/>
    <w:rsid w:val="005B01A6"/>
    <w:rsid w:val="005B2229"/>
    <w:rsid w:val="005B24E4"/>
    <w:rsid w:val="005B2AC7"/>
    <w:rsid w:val="005B388B"/>
    <w:rsid w:val="005B3A86"/>
    <w:rsid w:val="005B3D52"/>
    <w:rsid w:val="005B452C"/>
    <w:rsid w:val="005B4844"/>
    <w:rsid w:val="005B60E3"/>
    <w:rsid w:val="005B6417"/>
    <w:rsid w:val="005B69AE"/>
    <w:rsid w:val="005B6DCE"/>
    <w:rsid w:val="005B7C96"/>
    <w:rsid w:val="005C00E8"/>
    <w:rsid w:val="005C191C"/>
    <w:rsid w:val="005C273D"/>
    <w:rsid w:val="005C395D"/>
    <w:rsid w:val="005C3BA1"/>
    <w:rsid w:val="005C44D0"/>
    <w:rsid w:val="005C647A"/>
    <w:rsid w:val="005C65DF"/>
    <w:rsid w:val="005C7AE7"/>
    <w:rsid w:val="005D0C75"/>
    <w:rsid w:val="005D0F1B"/>
    <w:rsid w:val="005D2313"/>
    <w:rsid w:val="005D28A8"/>
    <w:rsid w:val="005D333D"/>
    <w:rsid w:val="005D38B6"/>
    <w:rsid w:val="005D4D5B"/>
    <w:rsid w:val="005D5D94"/>
    <w:rsid w:val="005D64C4"/>
    <w:rsid w:val="005D68A1"/>
    <w:rsid w:val="005D774C"/>
    <w:rsid w:val="005E1004"/>
    <w:rsid w:val="005E2CC8"/>
    <w:rsid w:val="005E3C40"/>
    <w:rsid w:val="005E4670"/>
    <w:rsid w:val="005E520C"/>
    <w:rsid w:val="005E586A"/>
    <w:rsid w:val="005E6120"/>
    <w:rsid w:val="005E6A8D"/>
    <w:rsid w:val="005E7297"/>
    <w:rsid w:val="005E7E8F"/>
    <w:rsid w:val="005F0DA9"/>
    <w:rsid w:val="005F3682"/>
    <w:rsid w:val="005F41D7"/>
    <w:rsid w:val="005F46C3"/>
    <w:rsid w:val="005F4A21"/>
    <w:rsid w:val="005F647F"/>
    <w:rsid w:val="005F6AC3"/>
    <w:rsid w:val="005F6D77"/>
    <w:rsid w:val="005F7087"/>
    <w:rsid w:val="005F7209"/>
    <w:rsid w:val="005F72E4"/>
    <w:rsid w:val="00600631"/>
    <w:rsid w:val="00600ABC"/>
    <w:rsid w:val="00601F1B"/>
    <w:rsid w:val="006028A0"/>
    <w:rsid w:val="00602FC4"/>
    <w:rsid w:val="00603A8B"/>
    <w:rsid w:val="00603DE6"/>
    <w:rsid w:val="00605014"/>
    <w:rsid w:val="006052C2"/>
    <w:rsid w:val="006061B3"/>
    <w:rsid w:val="006062CE"/>
    <w:rsid w:val="00606C48"/>
    <w:rsid w:val="00610B2A"/>
    <w:rsid w:val="0061128D"/>
    <w:rsid w:val="00611471"/>
    <w:rsid w:val="00612724"/>
    <w:rsid w:val="00612F83"/>
    <w:rsid w:val="0061319B"/>
    <w:rsid w:val="00614898"/>
    <w:rsid w:val="0061543D"/>
    <w:rsid w:val="006168F6"/>
    <w:rsid w:val="00616A79"/>
    <w:rsid w:val="00616BE2"/>
    <w:rsid w:val="00616CB5"/>
    <w:rsid w:val="00616CFA"/>
    <w:rsid w:val="006171DB"/>
    <w:rsid w:val="006177C9"/>
    <w:rsid w:val="00620073"/>
    <w:rsid w:val="00620B83"/>
    <w:rsid w:val="00622638"/>
    <w:rsid w:val="00622859"/>
    <w:rsid w:val="0062297B"/>
    <w:rsid w:val="00622E39"/>
    <w:rsid w:val="00623741"/>
    <w:rsid w:val="00623DAF"/>
    <w:rsid w:val="00623E9D"/>
    <w:rsid w:val="00624158"/>
    <w:rsid w:val="00624705"/>
    <w:rsid w:val="006262D4"/>
    <w:rsid w:val="006264DD"/>
    <w:rsid w:val="00626947"/>
    <w:rsid w:val="00626AFE"/>
    <w:rsid w:val="00630987"/>
    <w:rsid w:val="00631A01"/>
    <w:rsid w:val="00631E3D"/>
    <w:rsid w:val="00631E7B"/>
    <w:rsid w:val="00632498"/>
    <w:rsid w:val="00633C2F"/>
    <w:rsid w:val="00634129"/>
    <w:rsid w:val="00634A2E"/>
    <w:rsid w:val="006352B5"/>
    <w:rsid w:val="00636F1C"/>
    <w:rsid w:val="0063746A"/>
    <w:rsid w:val="0064044D"/>
    <w:rsid w:val="00642845"/>
    <w:rsid w:val="00642C3A"/>
    <w:rsid w:val="00644051"/>
    <w:rsid w:val="00644C21"/>
    <w:rsid w:val="00644F7C"/>
    <w:rsid w:val="0064581D"/>
    <w:rsid w:val="006468AE"/>
    <w:rsid w:val="00646A46"/>
    <w:rsid w:val="0064704E"/>
    <w:rsid w:val="0064747D"/>
    <w:rsid w:val="00650358"/>
    <w:rsid w:val="006509BC"/>
    <w:rsid w:val="006517F2"/>
    <w:rsid w:val="00651BEA"/>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700E2"/>
    <w:rsid w:val="00670544"/>
    <w:rsid w:val="00670F50"/>
    <w:rsid w:val="00671321"/>
    <w:rsid w:val="00672CE5"/>
    <w:rsid w:val="00672DFE"/>
    <w:rsid w:val="00672EFA"/>
    <w:rsid w:val="006752B1"/>
    <w:rsid w:val="00675582"/>
    <w:rsid w:val="00675C34"/>
    <w:rsid w:val="006768AF"/>
    <w:rsid w:val="006770CD"/>
    <w:rsid w:val="006809EE"/>
    <w:rsid w:val="00680A28"/>
    <w:rsid w:val="00680FDD"/>
    <w:rsid w:val="006812A2"/>
    <w:rsid w:val="0068179B"/>
    <w:rsid w:val="0068188A"/>
    <w:rsid w:val="00681E1D"/>
    <w:rsid w:val="00685819"/>
    <w:rsid w:val="00686A2B"/>
    <w:rsid w:val="00686DF7"/>
    <w:rsid w:val="006948F9"/>
    <w:rsid w:val="006962F9"/>
    <w:rsid w:val="006A1397"/>
    <w:rsid w:val="006A1FF1"/>
    <w:rsid w:val="006A37A4"/>
    <w:rsid w:val="006A4465"/>
    <w:rsid w:val="006A4469"/>
    <w:rsid w:val="006A4827"/>
    <w:rsid w:val="006A4D06"/>
    <w:rsid w:val="006A54B0"/>
    <w:rsid w:val="006A589C"/>
    <w:rsid w:val="006A5D05"/>
    <w:rsid w:val="006A6D4B"/>
    <w:rsid w:val="006A7622"/>
    <w:rsid w:val="006B1963"/>
    <w:rsid w:val="006B3C61"/>
    <w:rsid w:val="006B49A5"/>
    <w:rsid w:val="006B61FF"/>
    <w:rsid w:val="006B65F1"/>
    <w:rsid w:val="006B68F3"/>
    <w:rsid w:val="006B6EFA"/>
    <w:rsid w:val="006B7B81"/>
    <w:rsid w:val="006C1A2A"/>
    <w:rsid w:val="006C26C2"/>
    <w:rsid w:val="006C4B48"/>
    <w:rsid w:val="006C5101"/>
    <w:rsid w:val="006C6266"/>
    <w:rsid w:val="006C6F13"/>
    <w:rsid w:val="006D21A4"/>
    <w:rsid w:val="006D22CC"/>
    <w:rsid w:val="006D2F28"/>
    <w:rsid w:val="006D351B"/>
    <w:rsid w:val="006D37B1"/>
    <w:rsid w:val="006D5FC1"/>
    <w:rsid w:val="006E0B5D"/>
    <w:rsid w:val="006E0C07"/>
    <w:rsid w:val="006E1A5E"/>
    <w:rsid w:val="006E2346"/>
    <w:rsid w:val="006E2512"/>
    <w:rsid w:val="006E3449"/>
    <w:rsid w:val="006E3DDB"/>
    <w:rsid w:val="006E4A7B"/>
    <w:rsid w:val="006E4FB7"/>
    <w:rsid w:val="006E53A5"/>
    <w:rsid w:val="006E5B3E"/>
    <w:rsid w:val="006E76E5"/>
    <w:rsid w:val="006F0FEA"/>
    <w:rsid w:val="006F106E"/>
    <w:rsid w:val="006F127C"/>
    <w:rsid w:val="006F3281"/>
    <w:rsid w:val="006F4ED6"/>
    <w:rsid w:val="006F5FE6"/>
    <w:rsid w:val="006F61DD"/>
    <w:rsid w:val="006F6736"/>
    <w:rsid w:val="006F7288"/>
    <w:rsid w:val="006F7B62"/>
    <w:rsid w:val="00700B55"/>
    <w:rsid w:val="00700C29"/>
    <w:rsid w:val="00700CC2"/>
    <w:rsid w:val="00700D2C"/>
    <w:rsid w:val="00703F10"/>
    <w:rsid w:val="007044DE"/>
    <w:rsid w:val="007061E5"/>
    <w:rsid w:val="0070691F"/>
    <w:rsid w:val="0071017F"/>
    <w:rsid w:val="00710B5F"/>
    <w:rsid w:val="00712476"/>
    <w:rsid w:val="00713001"/>
    <w:rsid w:val="00713E59"/>
    <w:rsid w:val="007164A0"/>
    <w:rsid w:val="00716D94"/>
    <w:rsid w:val="007170B8"/>
    <w:rsid w:val="0071722B"/>
    <w:rsid w:val="0071743E"/>
    <w:rsid w:val="00717B36"/>
    <w:rsid w:val="00717DE4"/>
    <w:rsid w:val="00717EAD"/>
    <w:rsid w:val="007205FE"/>
    <w:rsid w:val="00720757"/>
    <w:rsid w:val="007207A1"/>
    <w:rsid w:val="00720B01"/>
    <w:rsid w:val="007214AA"/>
    <w:rsid w:val="007223F0"/>
    <w:rsid w:val="007226C5"/>
    <w:rsid w:val="00724072"/>
    <w:rsid w:val="007244D2"/>
    <w:rsid w:val="007271FD"/>
    <w:rsid w:val="00727349"/>
    <w:rsid w:val="00731EB6"/>
    <w:rsid w:val="007329DE"/>
    <w:rsid w:val="00733533"/>
    <w:rsid w:val="00734C00"/>
    <w:rsid w:val="0073537D"/>
    <w:rsid w:val="00740508"/>
    <w:rsid w:val="007414C4"/>
    <w:rsid w:val="00742F0E"/>
    <w:rsid w:val="007439C7"/>
    <w:rsid w:val="00743CD5"/>
    <w:rsid w:val="00743F5B"/>
    <w:rsid w:val="007447CE"/>
    <w:rsid w:val="00745873"/>
    <w:rsid w:val="00745923"/>
    <w:rsid w:val="00745DCD"/>
    <w:rsid w:val="00746698"/>
    <w:rsid w:val="00747764"/>
    <w:rsid w:val="00750257"/>
    <w:rsid w:val="00750A9B"/>
    <w:rsid w:val="00751000"/>
    <w:rsid w:val="00751C5D"/>
    <w:rsid w:val="0075447F"/>
    <w:rsid w:val="0075453D"/>
    <w:rsid w:val="007554A0"/>
    <w:rsid w:val="00755999"/>
    <w:rsid w:val="007566D8"/>
    <w:rsid w:val="00756ADE"/>
    <w:rsid w:val="007570D1"/>
    <w:rsid w:val="007575DF"/>
    <w:rsid w:val="00760F00"/>
    <w:rsid w:val="00765CA6"/>
    <w:rsid w:val="0076624D"/>
    <w:rsid w:val="0077001E"/>
    <w:rsid w:val="00771196"/>
    <w:rsid w:val="00771719"/>
    <w:rsid w:val="00772B4F"/>
    <w:rsid w:val="00772C4B"/>
    <w:rsid w:val="00773534"/>
    <w:rsid w:val="00773E07"/>
    <w:rsid w:val="00775AD9"/>
    <w:rsid w:val="007769E6"/>
    <w:rsid w:val="00776E34"/>
    <w:rsid w:val="007771D7"/>
    <w:rsid w:val="00780D68"/>
    <w:rsid w:val="00781380"/>
    <w:rsid w:val="00781BBA"/>
    <w:rsid w:val="0078207E"/>
    <w:rsid w:val="007827FF"/>
    <w:rsid w:val="00785E09"/>
    <w:rsid w:val="00787381"/>
    <w:rsid w:val="00787398"/>
    <w:rsid w:val="007874D9"/>
    <w:rsid w:val="007909DD"/>
    <w:rsid w:val="00790CC3"/>
    <w:rsid w:val="0079101F"/>
    <w:rsid w:val="00792604"/>
    <w:rsid w:val="00792E6B"/>
    <w:rsid w:val="00794964"/>
    <w:rsid w:val="00795219"/>
    <w:rsid w:val="00795403"/>
    <w:rsid w:val="0079551C"/>
    <w:rsid w:val="007972E5"/>
    <w:rsid w:val="007A0120"/>
    <w:rsid w:val="007A0D36"/>
    <w:rsid w:val="007A0E0C"/>
    <w:rsid w:val="007A133E"/>
    <w:rsid w:val="007A1690"/>
    <w:rsid w:val="007A1ED5"/>
    <w:rsid w:val="007A20EB"/>
    <w:rsid w:val="007A37A1"/>
    <w:rsid w:val="007A3F4D"/>
    <w:rsid w:val="007A5B94"/>
    <w:rsid w:val="007A6C2D"/>
    <w:rsid w:val="007B2093"/>
    <w:rsid w:val="007B253F"/>
    <w:rsid w:val="007B25BC"/>
    <w:rsid w:val="007B2B11"/>
    <w:rsid w:val="007B3CA5"/>
    <w:rsid w:val="007B421C"/>
    <w:rsid w:val="007B5137"/>
    <w:rsid w:val="007B5157"/>
    <w:rsid w:val="007B54D3"/>
    <w:rsid w:val="007B58E8"/>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7017"/>
    <w:rsid w:val="007D0EB0"/>
    <w:rsid w:val="007D112E"/>
    <w:rsid w:val="007D12D8"/>
    <w:rsid w:val="007D14FA"/>
    <w:rsid w:val="007D17DD"/>
    <w:rsid w:val="007D2445"/>
    <w:rsid w:val="007D392E"/>
    <w:rsid w:val="007D5F85"/>
    <w:rsid w:val="007D6A10"/>
    <w:rsid w:val="007D756A"/>
    <w:rsid w:val="007E0006"/>
    <w:rsid w:val="007E040A"/>
    <w:rsid w:val="007E1CA3"/>
    <w:rsid w:val="007E366D"/>
    <w:rsid w:val="007E3F23"/>
    <w:rsid w:val="007E5148"/>
    <w:rsid w:val="007E68B6"/>
    <w:rsid w:val="007E72BF"/>
    <w:rsid w:val="007E7D47"/>
    <w:rsid w:val="007F0C2E"/>
    <w:rsid w:val="007F0D2F"/>
    <w:rsid w:val="007F182B"/>
    <w:rsid w:val="007F1E7A"/>
    <w:rsid w:val="007F1EF6"/>
    <w:rsid w:val="007F1F08"/>
    <w:rsid w:val="007F216B"/>
    <w:rsid w:val="007F251E"/>
    <w:rsid w:val="007F287F"/>
    <w:rsid w:val="007F440D"/>
    <w:rsid w:val="007F4D79"/>
    <w:rsid w:val="007F6AAC"/>
    <w:rsid w:val="007F7C54"/>
    <w:rsid w:val="007F7F88"/>
    <w:rsid w:val="00800C53"/>
    <w:rsid w:val="00800E6A"/>
    <w:rsid w:val="008016F5"/>
    <w:rsid w:val="00801F93"/>
    <w:rsid w:val="00802146"/>
    <w:rsid w:val="00802AC2"/>
    <w:rsid w:val="00802B1C"/>
    <w:rsid w:val="00802F8E"/>
    <w:rsid w:val="00803A61"/>
    <w:rsid w:val="0080427D"/>
    <w:rsid w:val="008056AF"/>
    <w:rsid w:val="00805A85"/>
    <w:rsid w:val="0080692F"/>
    <w:rsid w:val="00810907"/>
    <w:rsid w:val="00810CBE"/>
    <w:rsid w:val="00811FCA"/>
    <w:rsid w:val="008121B9"/>
    <w:rsid w:val="00812724"/>
    <w:rsid w:val="00812AEA"/>
    <w:rsid w:val="00813150"/>
    <w:rsid w:val="008132E9"/>
    <w:rsid w:val="00815654"/>
    <w:rsid w:val="00815D5B"/>
    <w:rsid w:val="008209C9"/>
    <w:rsid w:val="00820A37"/>
    <w:rsid w:val="00820A42"/>
    <w:rsid w:val="00820A74"/>
    <w:rsid w:val="00820BDD"/>
    <w:rsid w:val="00820BF8"/>
    <w:rsid w:val="0082169B"/>
    <w:rsid w:val="00822856"/>
    <w:rsid w:val="00822A89"/>
    <w:rsid w:val="00822A8D"/>
    <w:rsid w:val="00823C54"/>
    <w:rsid w:val="008245ED"/>
    <w:rsid w:val="00825724"/>
    <w:rsid w:val="00825C70"/>
    <w:rsid w:val="00825FCF"/>
    <w:rsid w:val="00826C8D"/>
    <w:rsid w:val="00827D87"/>
    <w:rsid w:val="00827DEA"/>
    <w:rsid w:val="008314BA"/>
    <w:rsid w:val="008315AA"/>
    <w:rsid w:val="008330A4"/>
    <w:rsid w:val="008332EC"/>
    <w:rsid w:val="0083465E"/>
    <w:rsid w:val="008346F7"/>
    <w:rsid w:val="008348BE"/>
    <w:rsid w:val="008364D6"/>
    <w:rsid w:val="00837D1D"/>
    <w:rsid w:val="0084019F"/>
    <w:rsid w:val="0084036B"/>
    <w:rsid w:val="008425DB"/>
    <w:rsid w:val="0084347F"/>
    <w:rsid w:val="00844D22"/>
    <w:rsid w:val="00845514"/>
    <w:rsid w:val="008455F3"/>
    <w:rsid w:val="00845741"/>
    <w:rsid w:val="00845946"/>
    <w:rsid w:val="00845AFA"/>
    <w:rsid w:val="00845D7B"/>
    <w:rsid w:val="00846A5D"/>
    <w:rsid w:val="0084726E"/>
    <w:rsid w:val="00847729"/>
    <w:rsid w:val="00850A15"/>
    <w:rsid w:val="00853AB7"/>
    <w:rsid w:val="008544CC"/>
    <w:rsid w:val="0085453A"/>
    <w:rsid w:val="0085489F"/>
    <w:rsid w:val="00854C2E"/>
    <w:rsid w:val="008553BB"/>
    <w:rsid w:val="00856E5F"/>
    <w:rsid w:val="00860242"/>
    <w:rsid w:val="0086054A"/>
    <w:rsid w:val="00861801"/>
    <w:rsid w:val="008649A7"/>
    <w:rsid w:val="00864C07"/>
    <w:rsid w:val="0086580B"/>
    <w:rsid w:val="00871D7B"/>
    <w:rsid w:val="00871E3F"/>
    <w:rsid w:val="00872E02"/>
    <w:rsid w:val="00872F82"/>
    <w:rsid w:val="00874AA2"/>
    <w:rsid w:val="008756F4"/>
    <w:rsid w:val="008768E0"/>
    <w:rsid w:val="00877680"/>
    <w:rsid w:val="0087777D"/>
    <w:rsid w:val="0087793A"/>
    <w:rsid w:val="00881549"/>
    <w:rsid w:val="008832F3"/>
    <w:rsid w:val="008841D7"/>
    <w:rsid w:val="008858EB"/>
    <w:rsid w:val="00887D68"/>
    <w:rsid w:val="00887EDD"/>
    <w:rsid w:val="00890116"/>
    <w:rsid w:val="0089122C"/>
    <w:rsid w:val="00892413"/>
    <w:rsid w:val="00893072"/>
    <w:rsid w:val="00894AE5"/>
    <w:rsid w:val="0089584B"/>
    <w:rsid w:val="00895A6C"/>
    <w:rsid w:val="00896E59"/>
    <w:rsid w:val="00897458"/>
    <w:rsid w:val="00897C61"/>
    <w:rsid w:val="008A0649"/>
    <w:rsid w:val="008A0C6E"/>
    <w:rsid w:val="008A15E8"/>
    <w:rsid w:val="008A184E"/>
    <w:rsid w:val="008A1A1D"/>
    <w:rsid w:val="008A24C3"/>
    <w:rsid w:val="008A49B5"/>
    <w:rsid w:val="008A4AEF"/>
    <w:rsid w:val="008A55A3"/>
    <w:rsid w:val="008A63D9"/>
    <w:rsid w:val="008A652E"/>
    <w:rsid w:val="008A679A"/>
    <w:rsid w:val="008A6B79"/>
    <w:rsid w:val="008A6C4B"/>
    <w:rsid w:val="008A6C9E"/>
    <w:rsid w:val="008A7CD2"/>
    <w:rsid w:val="008B1B47"/>
    <w:rsid w:val="008B2286"/>
    <w:rsid w:val="008B30C1"/>
    <w:rsid w:val="008B3189"/>
    <w:rsid w:val="008B3410"/>
    <w:rsid w:val="008B3F09"/>
    <w:rsid w:val="008B4875"/>
    <w:rsid w:val="008B69D8"/>
    <w:rsid w:val="008B6F60"/>
    <w:rsid w:val="008B6FEF"/>
    <w:rsid w:val="008B70C5"/>
    <w:rsid w:val="008C082A"/>
    <w:rsid w:val="008C1539"/>
    <w:rsid w:val="008C153A"/>
    <w:rsid w:val="008C27BC"/>
    <w:rsid w:val="008C3001"/>
    <w:rsid w:val="008C3F4D"/>
    <w:rsid w:val="008C4C9A"/>
    <w:rsid w:val="008C4D7A"/>
    <w:rsid w:val="008C51F8"/>
    <w:rsid w:val="008C5B01"/>
    <w:rsid w:val="008D0D40"/>
    <w:rsid w:val="008D0D41"/>
    <w:rsid w:val="008D1522"/>
    <w:rsid w:val="008D1532"/>
    <w:rsid w:val="008D36C5"/>
    <w:rsid w:val="008D4986"/>
    <w:rsid w:val="008D4C55"/>
    <w:rsid w:val="008D511D"/>
    <w:rsid w:val="008D5586"/>
    <w:rsid w:val="008D5BA8"/>
    <w:rsid w:val="008D7D5A"/>
    <w:rsid w:val="008E076E"/>
    <w:rsid w:val="008E1DA7"/>
    <w:rsid w:val="008E1ED7"/>
    <w:rsid w:val="008E2B9F"/>
    <w:rsid w:val="008E5B52"/>
    <w:rsid w:val="008E6063"/>
    <w:rsid w:val="008E726F"/>
    <w:rsid w:val="008E7598"/>
    <w:rsid w:val="008F0CCC"/>
    <w:rsid w:val="008F0E39"/>
    <w:rsid w:val="008F36F6"/>
    <w:rsid w:val="008F3CD3"/>
    <w:rsid w:val="008F4681"/>
    <w:rsid w:val="008F5265"/>
    <w:rsid w:val="008F5AEF"/>
    <w:rsid w:val="008F64CD"/>
    <w:rsid w:val="008F7073"/>
    <w:rsid w:val="008F70E1"/>
    <w:rsid w:val="008F7D61"/>
    <w:rsid w:val="008F7D92"/>
    <w:rsid w:val="00901349"/>
    <w:rsid w:val="00901E6E"/>
    <w:rsid w:val="00902B20"/>
    <w:rsid w:val="009033B3"/>
    <w:rsid w:val="0090370B"/>
    <w:rsid w:val="00903EA2"/>
    <w:rsid w:val="00903ED4"/>
    <w:rsid w:val="00907078"/>
    <w:rsid w:val="00911771"/>
    <w:rsid w:val="00911F95"/>
    <w:rsid w:val="00912953"/>
    <w:rsid w:val="00914BF5"/>
    <w:rsid w:val="0091527F"/>
    <w:rsid w:val="00916AC7"/>
    <w:rsid w:val="00917A85"/>
    <w:rsid w:val="0092053D"/>
    <w:rsid w:val="00920836"/>
    <w:rsid w:val="0092232C"/>
    <w:rsid w:val="00922B08"/>
    <w:rsid w:val="00923CEB"/>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412D2"/>
    <w:rsid w:val="00942EFC"/>
    <w:rsid w:val="00942F03"/>
    <w:rsid w:val="0094662C"/>
    <w:rsid w:val="00947196"/>
    <w:rsid w:val="00950523"/>
    <w:rsid w:val="009513AC"/>
    <w:rsid w:val="00951B64"/>
    <w:rsid w:val="009528A6"/>
    <w:rsid w:val="00952ABF"/>
    <w:rsid w:val="009543A5"/>
    <w:rsid w:val="00954C6E"/>
    <w:rsid w:val="009550F2"/>
    <w:rsid w:val="009558DB"/>
    <w:rsid w:val="00955F3C"/>
    <w:rsid w:val="0095735D"/>
    <w:rsid w:val="00961C94"/>
    <w:rsid w:val="009624E1"/>
    <w:rsid w:val="009628CD"/>
    <w:rsid w:val="00962929"/>
    <w:rsid w:val="00964EB4"/>
    <w:rsid w:val="00965BD6"/>
    <w:rsid w:val="0096602A"/>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DD3"/>
    <w:rsid w:val="009772ED"/>
    <w:rsid w:val="00980EF0"/>
    <w:rsid w:val="0098185C"/>
    <w:rsid w:val="00982244"/>
    <w:rsid w:val="00982576"/>
    <w:rsid w:val="00982CAA"/>
    <w:rsid w:val="00983AEB"/>
    <w:rsid w:val="00986211"/>
    <w:rsid w:val="00987023"/>
    <w:rsid w:val="00987053"/>
    <w:rsid w:val="00987555"/>
    <w:rsid w:val="00987B6C"/>
    <w:rsid w:val="0099024D"/>
    <w:rsid w:val="009903FC"/>
    <w:rsid w:val="00990FEC"/>
    <w:rsid w:val="0099213F"/>
    <w:rsid w:val="0099368E"/>
    <w:rsid w:val="00994288"/>
    <w:rsid w:val="009949A0"/>
    <w:rsid w:val="00994E9C"/>
    <w:rsid w:val="009959C5"/>
    <w:rsid w:val="009971A2"/>
    <w:rsid w:val="009976AD"/>
    <w:rsid w:val="009A1A8B"/>
    <w:rsid w:val="009A1D23"/>
    <w:rsid w:val="009A2A2A"/>
    <w:rsid w:val="009A2BEA"/>
    <w:rsid w:val="009A2D57"/>
    <w:rsid w:val="009A3C8A"/>
    <w:rsid w:val="009A3F3D"/>
    <w:rsid w:val="009A5051"/>
    <w:rsid w:val="009A6008"/>
    <w:rsid w:val="009A653A"/>
    <w:rsid w:val="009A67B3"/>
    <w:rsid w:val="009A6B1F"/>
    <w:rsid w:val="009A6DFA"/>
    <w:rsid w:val="009A762C"/>
    <w:rsid w:val="009B161B"/>
    <w:rsid w:val="009B2B9D"/>
    <w:rsid w:val="009B481C"/>
    <w:rsid w:val="009B4D88"/>
    <w:rsid w:val="009B50B0"/>
    <w:rsid w:val="009B52FD"/>
    <w:rsid w:val="009B551F"/>
    <w:rsid w:val="009B61E9"/>
    <w:rsid w:val="009B64B4"/>
    <w:rsid w:val="009B6B60"/>
    <w:rsid w:val="009B6BD5"/>
    <w:rsid w:val="009C04AD"/>
    <w:rsid w:val="009C7265"/>
    <w:rsid w:val="009C72BF"/>
    <w:rsid w:val="009C7E16"/>
    <w:rsid w:val="009C7E66"/>
    <w:rsid w:val="009D03C7"/>
    <w:rsid w:val="009D175E"/>
    <w:rsid w:val="009D3A58"/>
    <w:rsid w:val="009D3F38"/>
    <w:rsid w:val="009D431B"/>
    <w:rsid w:val="009D4BC7"/>
    <w:rsid w:val="009D4EFC"/>
    <w:rsid w:val="009D566B"/>
    <w:rsid w:val="009D6AB9"/>
    <w:rsid w:val="009D7D5C"/>
    <w:rsid w:val="009E017C"/>
    <w:rsid w:val="009E053E"/>
    <w:rsid w:val="009E0E69"/>
    <w:rsid w:val="009E2652"/>
    <w:rsid w:val="009E26AF"/>
    <w:rsid w:val="009E3C56"/>
    <w:rsid w:val="009E4199"/>
    <w:rsid w:val="009E4AB0"/>
    <w:rsid w:val="009E581B"/>
    <w:rsid w:val="009E5B58"/>
    <w:rsid w:val="009E61CF"/>
    <w:rsid w:val="009E6814"/>
    <w:rsid w:val="009F1579"/>
    <w:rsid w:val="009F223C"/>
    <w:rsid w:val="009F25BB"/>
    <w:rsid w:val="009F281F"/>
    <w:rsid w:val="009F3A12"/>
    <w:rsid w:val="009F5106"/>
    <w:rsid w:val="009F510E"/>
    <w:rsid w:val="009F68C4"/>
    <w:rsid w:val="009F7DB6"/>
    <w:rsid w:val="00A00611"/>
    <w:rsid w:val="00A00764"/>
    <w:rsid w:val="00A03103"/>
    <w:rsid w:val="00A03510"/>
    <w:rsid w:val="00A03CEB"/>
    <w:rsid w:val="00A043C8"/>
    <w:rsid w:val="00A04C3F"/>
    <w:rsid w:val="00A07A40"/>
    <w:rsid w:val="00A07C45"/>
    <w:rsid w:val="00A1069E"/>
    <w:rsid w:val="00A1128B"/>
    <w:rsid w:val="00A123AA"/>
    <w:rsid w:val="00A14418"/>
    <w:rsid w:val="00A14E32"/>
    <w:rsid w:val="00A15DB2"/>
    <w:rsid w:val="00A1694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7AC"/>
    <w:rsid w:val="00A30FAA"/>
    <w:rsid w:val="00A317C9"/>
    <w:rsid w:val="00A3395F"/>
    <w:rsid w:val="00A34E6D"/>
    <w:rsid w:val="00A36D58"/>
    <w:rsid w:val="00A41D94"/>
    <w:rsid w:val="00A42521"/>
    <w:rsid w:val="00A434D6"/>
    <w:rsid w:val="00A453DD"/>
    <w:rsid w:val="00A45730"/>
    <w:rsid w:val="00A45C22"/>
    <w:rsid w:val="00A469AA"/>
    <w:rsid w:val="00A469BA"/>
    <w:rsid w:val="00A504DD"/>
    <w:rsid w:val="00A5107A"/>
    <w:rsid w:val="00A51B0A"/>
    <w:rsid w:val="00A52015"/>
    <w:rsid w:val="00A533E0"/>
    <w:rsid w:val="00A53F75"/>
    <w:rsid w:val="00A56314"/>
    <w:rsid w:val="00A56545"/>
    <w:rsid w:val="00A60DAD"/>
    <w:rsid w:val="00A60E8E"/>
    <w:rsid w:val="00A61740"/>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71026"/>
    <w:rsid w:val="00A71AA6"/>
    <w:rsid w:val="00A7290D"/>
    <w:rsid w:val="00A735E8"/>
    <w:rsid w:val="00A736AB"/>
    <w:rsid w:val="00A76B18"/>
    <w:rsid w:val="00A801B7"/>
    <w:rsid w:val="00A80ACE"/>
    <w:rsid w:val="00A819B4"/>
    <w:rsid w:val="00A81A92"/>
    <w:rsid w:val="00A826FB"/>
    <w:rsid w:val="00A82F66"/>
    <w:rsid w:val="00A83B92"/>
    <w:rsid w:val="00A843E4"/>
    <w:rsid w:val="00A846F4"/>
    <w:rsid w:val="00A87984"/>
    <w:rsid w:val="00A90685"/>
    <w:rsid w:val="00A928CF"/>
    <w:rsid w:val="00A934DD"/>
    <w:rsid w:val="00A94BA6"/>
    <w:rsid w:val="00A94FB0"/>
    <w:rsid w:val="00A953A4"/>
    <w:rsid w:val="00A954D3"/>
    <w:rsid w:val="00A955D5"/>
    <w:rsid w:val="00A96781"/>
    <w:rsid w:val="00A96ABF"/>
    <w:rsid w:val="00A96B81"/>
    <w:rsid w:val="00A9710A"/>
    <w:rsid w:val="00A97B42"/>
    <w:rsid w:val="00AA4EAB"/>
    <w:rsid w:val="00AA5DA2"/>
    <w:rsid w:val="00AA629C"/>
    <w:rsid w:val="00AA6E5B"/>
    <w:rsid w:val="00AB140A"/>
    <w:rsid w:val="00AB1812"/>
    <w:rsid w:val="00AB1E62"/>
    <w:rsid w:val="00AB2266"/>
    <w:rsid w:val="00AB25E9"/>
    <w:rsid w:val="00AB2A91"/>
    <w:rsid w:val="00AB3EFA"/>
    <w:rsid w:val="00AB51DE"/>
    <w:rsid w:val="00AB78DB"/>
    <w:rsid w:val="00AB7A36"/>
    <w:rsid w:val="00AC041B"/>
    <w:rsid w:val="00AC075A"/>
    <w:rsid w:val="00AC1470"/>
    <w:rsid w:val="00AC1EE8"/>
    <w:rsid w:val="00AC2704"/>
    <w:rsid w:val="00AC5983"/>
    <w:rsid w:val="00AC6275"/>
    <w:rsid w:val="00AC71B3"/>
    <w:rsid w:val="00AC7C3E"/>
    <w:rsid w:val="00AC7DA1"/>
    <w:rsid w:val="00AD018A"/>
    <w:rsid w:val="00AD13E8"/>
    <w:rsid w:val="00AD257E"/>
    <w:rsid w:val="00AD266C"/>
    <w:rsid w:val="00AD28D0"/>
    <w:rsid w:val="00AD2D8B"/>
    <w:rsid w:val="00AD31D8"/>
    <w:rsid w:val="00AD3E63"/>
    <w:rsid w:val="00AD4360"/>
    <w:rsid w:val="00AD4D57"/>
    <w:rsid w:val="00AD56CA"/>
    <w:rsid w:val="00AE3C8F"/>
    <w:rsid w:val="00AE5D23"/>
    <w:rsid w:val="00AE614B"/>
    <w:rsid w:val="00AE6FB0"/>
    <w:rsid w:val="00AF17BE"/>
    <w:rsid w:val="00AF21A9"/>
    <w:rsid w:val="00AF3791"/>
    <w:rsid w:val="00AF413D"/>
    <w:rsid w:val="00AF486D"/>
    <w:rsid w:val="00AF6380"/>
    <w:rsid w:val="00AF6DFA"/>
    <w:rsid w:val="00AF7190"/>
    <w:rsid w:val="00AF7FD1"/>
    <w:rsid w:val="00B01092"/>
    <w:rsid w:val="00B01EF1"/>
    <w:rsid w:val="00B02EDF"/>
    <w:rsid w:val="00B045BB"/>
    <w:rsid w:val="00B05293"/>
    <w:rsid w:val="00B06205"/>
    <w:rsid w:val="00B06507"/>
    <w:rsid w:val="00B070CF"/>
    <w:rsid w:val="00B0716F"/>
    <w:rsid w:val="00B10906"/>
    <w:rsid w:val="00B11450"/>
    <w:rsid w:val="00B1295B"/>
    <w:rsid w:val="00B12AE0"/>
    <w:rsid w:val="00B12E11"/>
    <w:rsid w:val="00B13223"/>
    <w:rsid w:val="00B1512F"/>
    <w:rsid w:val="00B15658"/>
    <w:rsid w:val="00B1658F"/>
    <w:rsid w:val="00B16D2E"/>
    <w:rsid w:val="00B17332"/>
    <w:rsid w:val="00B20081"/>
    <w:rsid w:val="00B20AD8"/>
    <w:rsid w:val="00B22343"/>
    <w:rsid w:val="00B224BB"/>
    <w:rsid w:val="00B22D51"/>
    <w:rsid w:val="00B23498"/>
    <w:rsid w:val="00B24257"/>
    <w:rsid w:val="00B259BB"/>
    <w:rsid w:val="00B25DF5"/>
    <w:rsid w:val="00B25E23"/>
    <w:rsid w:val="00B260D8"/>
    <w:rsid w:val="00B2628F"/>
    <w:rsid w:val="00B264F2"/>
    <w:rsid w:val="00B2655E"/>
    <w:rsid w:val="00B307DF"/>
    <w:rsid w:val="00B316BC"/>
    <w:rsid w:val="00B32BE5"/>
    <w:rsid w:val="00B335D8"/>
    <w:rsid w:val="00B33C37"/>
    <w:rsid w:val="00B356C7"/>
    <w:rsid w:val="00B425BC"/>
    <w:rsid w:val="00B42830"/>
    <w:rsid w:val="00B45521"/>
    <w:rsid w:val="00B46026"/>
    <w:rsid w:val="00B4640B"/>
    <w:rsid w:val="00B46A46"/>
    <w:rsid w:val="00B521B0"/>
    <w:rsid w:val="00B523B4"/>
    <w:rsid w:val="00B52666"/>
    <w:rsid w:val="00B5323D"/>
    <w:rsid w:val="00B5395A"/>
    <w:rsid w:val="00B55E19"/>
    <w:rsid w:val="00B55F07"/>
    <w:rsid w:val="00B608E5"/>
    <w:rsid w:val="00B6091C"/>
    <w:rsid w:val="00B619FE"/>
    <w:rsid w:val="00B61A92"/>
    <w:rsid w:val="00B6258C"/>
    <w:rsid w:val="00B6283B"/>
    <w:rsid w:val="00B62C6A"/>
    <w:rsid w:val="00B63FDB"/>
    <w:rsid w:val="00B64137"/>
    <w:rsid w:val="00B64240"/>
    <w:rsid w:val="00B647F8"/>
    <w:rsid w:val="00B66A34"/>
    <w:rsid w:val="00B67A53"/>
    <w:rsid w:val="00B67EE1"/>
    <w:rsid w:val="00B70869"/>
    <w:rsid w:val="00B70960"/>
    <w:rsid w:val="00B71BE8"/>
    <w:rsid w:val="00B72076"/>
    <w:rsid w:val="00B72587"/>
    <w:rsid w:val="00B7291F"/>
    <w:rsid w:val="00B73169"/>
    <w:rsid w:val="00B740FD"/>
    <w:rsid w:val="00B7457E"/>
    <w:rsid w:val="00B74FE3"/>
    <w:rsid w:val="00B75E43"/>
    <w:rsid w:val="00B76503"/>
    <w:rsid w:val="00B77099"/>
    <w:rsid w:val="00B7715B"/>
    <w:rsid w:val="00B800BA"/>
    <w:rsid w:val="00B805EE"/>
    <w:rsid w:val="00B80A46"/>
    <w:rsid w:val="00B825FE"/>
    <w:rsid w:val="00B83F52"/>
    <w:rsid w:val="00B851BA"/>
    <w:rsid w:val="00B9018C"/>
    <w:rsid w:val="00B9071E"/>
    <w:rsid w:val="00B917BA"/>
    <w:rsid w:val="00B92E16"/>
    <w:rsid w:val="00B9303C"/>
    <w:rsid w:val="00B934ED"/>
    <w:rsid w:val="00B9463E"/>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65D3"/>
    <w:rsid w:val="00BC20C8"/>
    <w:rsid w:val="00BC2F1B"/>
    <w:rsid w:val="00BC4964"/>
    <w:rsid w:val="00BC4DB0"/>
    <w:rsid w:val="00BC528F"/>
    <w:rsid w:val="00BC6052"/>
    <w:rsid w:val="00BD0611"/>
    <w:rsid w:val="00BD100A"/>
    <w:rsid w:val="00BD173B"/>
    <w:rsid w:val="00BD1944"/>
    <w:rsid w:val="00BD1EE5"/>
    <w:rsid w:val="00BD2A43"/>
    <w:rsid w:val="00BD3394"/>
    <w:rsid w:val="00BD4679"/>
    <w:rsid w:val="00BD65E4"/>
    <w:rsid w:val="00BD73D8"/>
    <w:rsid w:val="00BD7537"/>
    <w:rsid w:val="00BE2139"/>
    <w:rsid w:val="00BE4C1C"/>
    <w:rsid w:val="00BE53E6"/>
    <w:rsid w:val="00BE5CEC"/>
    <w:rsid w:val="00BE6403"/>
    <w:rsid w:val="00BE7B9A"/>
    <w:rsid w:val="00BF02A0"/>
    <w:rsid w:val="00BF0DD5"/>
    <w:rsid w:val="00BF142B"/>
    <w:rsid w:val="00BF2172"/>
    <w:rsid w:val="00BF3637"/>
    <w:rsid w:val="00BF3BD4"/>
    <w:rsid w:val="00BF4B03"/>
    <w:rsid w:val="00BF5106"/>
    <w:rsid w:val="00BF79F2"/>
    <w:rsid w:val="00BF7E57"/>
    <w:rsid w:val="00C004DA"/>
    <w:rsid w:val="00C019D6"/>
    <w:rsid w:val="00C027D5"/>
    <w:rsid w:val="00C03EF2"/>
    <w:rsid w:val="00C0589F"/>
    <w:rsid w:val="00C112ED"/>
    <w:rsid w:val="00C11B39"/>
    <w:rsid w:val="00C126C9"/>
    <w:rsid w:val="00C1433D"/>
    <w:rsid w:val="00C163EF"/>
    <w:rsid w:val="00C16DF9"/>
    <w:rsid w:val="00C1765B"/>
    <w:rsid w:val="00C179A4"/>
    <w:rsid w:val="00C17DD2"/>
    <w:rsid w:val="00C17F21"/>
    <w:rsid w:val="00C208DD"/>
    <w:rsid w:val="00C226EE"/>
    <w:rsid w:val="00C22F9E"/>
    <w:rsid w:val="00C235F2"/>
    <w:rsid w:val="00C23ACB"/>
    <w:rsid w:val="00C24A0D"/>
    <w:rsid w:val="00C260CC"/>
    <w:rsid w:val="00C2706E"/>
    <w:rsid w:val="00C2714C"/>
    <w:rsid w:val="00C30C2E"/>
    <w:rsid w:val="00C30F6C"/>
    <w:rsid w:val="00C319CB"/>
    <w:rsid w:val="00C327E3"/>
    <w:rsid w:val="00C3309B"/>
    <w:rsid w:val="00C331DB"/>
    <w:rsid w:val="00C34317"/>
    <w:rsid w:val="00C343EA"/>
    <w:rsid w:val="00C35982"/>
    <w:rsid w:val="00C372A4"/>
    <w:rsid w:val="00C37A09"/>
    <w:rsid w:val="00C40D1C"/>
    <w:rsid w:val="00C40EE7"/>
    <w:rsid w:val="00C410BE"/>
    <w:rsid w:val="00C411D5"/>
    <w:rsid w:val="00C42B3C"/>
    <w:rsid w:val="00C42B88"/>
    <w:rsid w:val="00C43A5F"/>
    <w:rsid w:val="00C43AAB"/>
    <w:rsid w:val="00C4592F"/>
    <w:rsid w:val="00C4635C"/>
    <w:rsid w:val="00C470ED"/>
    <w:rsid w:val="00C47128"/>
    <w:rsid w:val="00C47252"/>
    <w:rsid w:val="00C50F05"/>
    <w:rsid w:val="00C52055"/>
    <w:rsid w:val="00C53387"/>
    <w:rsid w:val="00C53FE8"/>
    <w:rsid w:val="00C54204"/>
    <w:rsid w:val="00C55DF0"/>
    <w:rsid w:val="00C56CDB"/>
    <w:rsid w:val="00C56E18"/>
    <w:rsid w:val="00C60325"/>
    <w:rsid w:val="00C61036"/>
    <w:rsid w:val="00C6219E"/>
    <w:rsid w:val="00C63014"/>
    <w:rsid w:val="00C63441"/>
    <w:rsid w:val="00C63A6F"/>
    <w:rsid w:val="00C6419B"/>
    <w:rsid w:val="00C641AD"/>
    <w:rsid w:val="00C64F04"/>
    <w:rsid w:val="00C65356"/>
    <w:rsid w:val="00C654BD"/>
    <w:rsid w:val="00C65FD0"/>
    <w:rsid w:val="00C67F89"/>
    <w:rsid w:val="00C700AA"/>
    <w:rsid w:val="00C703D2"/>
    <w:rsid w:val="00C70E74"/>
    <w:rsid w:val="00C71C7E"/>
    <w:rsid w:val="00C72744"/>
    <w:rsid w:val="00C73176"/>
    <w:rsid w:val="00C732DD"/>
    <w:rsid w:val="00C73778"/>
    <w:rsid w:val="00C75DE8"/>
    <w:rsid w:val="00C7653D"/>
    <w:rsid w:val="00C765A0"/>
    <w:rsid w:val="00C76FC6"/>
    <w:rsid w:val="00C7778C"/>
    <w:rsid w:val="00C802A6"/>
    <w:rsid w:val="00C8261E"/>
    <w:rsid w:val="00C8294E"/>
    <w:rsid w:val="00C83194"/>
    <w:rsid w:val="00C8508B"/>
    <w:rsid w:val="00C85389"/>
    <w:rsid w:val="00C87325"/>
    <w:rsid w:val="00C87506"/>
    <w:rsid w:val="00C90E10"/>
    <w:rsid w:val="00C90F55"/>
    <w:rsid w:val="00C91361"/>
    <w:rsid w:val="00C9191C"/>
    <w:rsid w:val="00C91A93"/>
    <w:rsid w:val="00C92022"/>
    <w:rsid w:val="00C92961"/>
    <w:rsid w:val="00C92A26"/>
    <w:rsid w:val="00C92EF3"/>
    <w:rsid w:val="00C93E28"/>
    <w:rsid w:val="00C948A6"/>
    <w:rsid w:val="00C94EF6"/>
    <w:rsid w:val="00C95F9A"/>
    <w:rsid w:val="00C97FD9"/>
    <w:rsid w:val="00CA00DC"/>
    <w:rsid w:val="00CA0A55"/>
    <w:rsid w:val="00CA1440"/>
    <w:rsid w:val="00CA1811"/>
    <w:rsid w:val="00CA1EC9"/>
    <w:rsid w:val="00CA2784"/>
    <w:rsid w:val="00CA3734"/>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4B5B"/>
    <w:rsid w:val="00CB5F2A"/>
    <w:rsid w:val="00CB7E2C"/>
    <w:rsid w:val="00CC01D8"/>
    <w:rsid w:val="00CC01E0"/>
    <w:rsid w:val="00CC0584"/>
    <w:rsid w:val="00CC0C7D"/>
    <w:rsid w:val="00CC1383"/>
    <w:rsid w:val="00CC174B"/>
    <w:rsid w:val="00CC1BE4"/>
    <w:rsid w:val="00CC226D"/>
    <w:rsid w:val="00CC28D0"/>
    <w:rsid w:val="00CC2B6B"/>
    <w:rsid w:val="00CC56E9"/>
    <w:rsid w:val="00CC5E1F"/>
    <w:rsid w:val="00CC7481"/>
    <w:rsid w:val="00CC79B0"/>
    <w:rsid w:val="00CD0076"/>
    <w:rsid w:val="00CD0724"/>
    <w:rsid w:val="00CD12E6"/>
    <w:rsid w:val="00CD37D6"/>
    <w:rsid w:val="00CD514D"/>
    <w:rsid w:val="00CD51E8"/>
    <w:rsid w:val="00CD63C0"/>
    <w:rsid w:val="00CD7408"/>
    <w:rsid w:val="00CE0918"/>
    <w:rsid w:val="00CE1203"/>
    <w:rsid w:val="00CE17C0"/>
    <w:rsid w:val="00CE1A7D"/>
    <w:rsid w:val="00CE2925"/>
    <w:rsid w:val="00CE3595"/>
    <w:rsid w:val="00CF1922"/>
    <w:rsid w:val="00CF1CF1"/>
    <w:rsid w:val="00CF2429"/>
    <w:rsid w:val="00CF2C06"/>
    <w:rsid w:val="00CF5BE7"/>
    <w:rsid w:val="00CF6195"/>
    <w:rsid w:val="00CF6D34"/>
    <w:rsid w:val="00CF79FA"/>
    <w:rsid w:val="00D0089B"/>
    <w:rsid w:val="00D01B6E"/>
    <w:rsid w:val="00D026E7"/>
    <w:rsid w:val="00D027B2"/>
    <w:rsid w:val="00D0377C"/>
    <w:rsid w:val="00D03980"/>
    <w:rsid w:val="00D07083"/>
    <w:rsid w:val="00D10080"/>
    <w:rsid w:val="00D11611"/>
    <w:rsid w:val="00D11FE0"/>
    <w:rsid w:val="00D133C4"/>
    <w:rsid w:val="00D16378"/>
    <w:rsid w:val="00D16705"/>
    <w:rsid w:val="00D16C67"/>
    <w:rsid w:val="00D22871"/>
    <w:rsid w:val="00D23452"/>
    <w:rsid w:val="00D2350B"/>
    <w:rsid w:val="00D23FDE"/>
    <w:rsid w:val="00D25BE8"/>
    <w:rsid w:val="00D26EB9"/>
    <w:rsid w:val="00D26F7A"/>
    <w:rsid w:val="00D2718B"/>
    <w:rsid w:val="00D271E3"/>
    <w:rsid w:val="00D3042D"/>
    <w:rsid w:val="00D305BB"/>
    <w:rsid w:val="00D310D9"/>
    <w:rsid w:val="00D312C3"/>
    <w:rsid w:val="00D31377"/>
    <w:rsid w:val="00D3219B"/>
    <w:rsid w:val="00D34308"/>
    <w:rsid w:val="00D34362"/>
    <w:rsid w:val="00D34C0F"/>
    <w:rsid w:val="00D34C3C"/>
    <w:rsid w:val="00D3564C"/>
    <w:rsid w:val="00D36CB2"/>
    <w:rsid w:val="00D37FF2"/>
    <w:rsid w:val="00D42271"/>
    <w:rsid w:val="00D42AE0"/>
    <w:rsid w:val="00D44057"/>
    <w:rsid w:val="00D44634"/>
    <w:rsid w:val="00D4527C"/>
    <w:rsid w:val="00D45A02"/>
    <w:rsid w:val="00D45E21"/>
    <w:rsid w:val="00D461B3"/>
    <w:rsid w:val="00D473E9"/>
    <w:rsid w:val="00D506BE"/>
    <w:rsid w:val="00D511B8"/>
    <w:rsid w:val="00D522D3"/>
    <w:rsid w:val="00D5299D"/>
    <w:rsid w:val="00D538DF"/>
    <w:rsid w:val="00D54C50"/>
    <w:rsid w:val="00D54D31"/>
    <w:rsid w:val="00D54ED5"/>
    <w:rsid w:val="00D552D2"/>
    <w:rsid w:val="00D553E9"/>
    <w:rsid w:val="00D555E7"/>
    <w:rsid w:val="00D57057"/>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700B5"/>
    <w:rsid w:val="00D70ECA"/>
    <w:rsid w:val="00D718C0"/>
    <w:rsid w:val="00D72557"/>
    <w:rsid w:val="00D72769"/>
    <w:rsid w:val="00D732C5"/>
    <w:rsid w:val="00D73909"/>
    <w:rsid w:val="00D74016"/>
    <w:rsid w:val="00D745BC"/>
    <w:rsid w:val="00D748D9"/>
    <w:rsid w:val="00D750D8"/>
    <w:rsid w:val="00D756B6"/>
    <w:rsid w:val="00D75C42"/>
    <w:rsid w:val="00D77C9B"/>
    <w:rsid w:val="00D804AB"/>
    <w:rsid w:val="00D80C15"/>
    <w:rsid w:val="00D81956"/>
    <w:rsid w:val="00D81E10"/>
    <w:rsid w:val="00D82342"/>
    <w:rsid w:val="00D82BEE"/>
    <w:rsid w:val="00D84235"/>
    <w:rsid w:val="00D84FB6"/>
    <w:rsid w:val="00D8567A"/>
    <w:rsid w:val="00D85C84"/>
    <w:rsid w:val="00D8602A"/>
    <w:rsid w:val="00D86765"/>
    <w:rsid w:val="00D87BC3"/>
    <w:rsid w:val="00D87EB2"/>
    <w:rsid w:val="00D90ED3"/>
    <w:rsid w:val="00D91D83"/>
    <w:rsid w:val="00D924F2"/>
    <w:rsid w:val="00D9335A"/>
    <w:rsid w:val="00D93748"/>
    <w:rsid w:val="00D93DCA"/>
    <w:rsid w:val="00D94855"/>
    <w:rsid w:val="00D94B54"/>
    <w:rsid w:val="00D95580"/>
    <w:rsid w:val="00D956DA"/>
    <w:rsid w:val="00D95700"/>
    <w:rsid w:val="00D96EDC"/>
    <w:rsid w:val="00D97541"/>
    <w:rsid w:val="00DA0C5F"/>
    <w:rsid w:val="00DA12C0"/>
    <w:rsid w:val="00DA1B24"/>
    <w:rsid w:val="00DA2227"/>
    <w:rsid w:val="00DA27D8"/>
    <w:rsid w:val="00DA2FE5"/>
    <w:rsid w:val="00DA32C9"/>
    <w:rsid w:val="00DA5C42"/>
    <w:rsid w:val="00DA6513"/>
    <w:rsid w:val="00DA6DAE"/>
    <w:rsid w:val="00DA7494"/>
    <w:rsid w:val="00DB0096"/>
    <w:rsid w:val="00DB0BCF"/>
    <w:rsid w:val="00DB1521"/>
    <w:rsid w:val="00DB3DD4"/>
    <w:rsid w:val="00DB46E1"/>
    <w:rsid w:val="00DB4A21"/>
    <w:rsid w:val="00DB54D9"/>
    <w:rsid w:val="00DB70A2"/>
    <w:rsid w:val="00DB717A"/>
    <w:rsid w:val="00DB7463"/>
    <w:rsid w:val="00DC09AC"/>
    <w:rsid w:val="00DC242C"/>
    <w:rsid w:val="00DC2773"/>
    <w:rsid w:val="00DC27FD"/>
    <w:rsid w:val="00DC296F"/>
    <w:rsid w:val="00DC2EEE"/>
    <w:rsid w:val="00DC4F9F"/>
    <w:rsid w:val="00DC50F5"/>
    <w:rsid w:val="00DC5183"/>
    <w:rsid w:val="00DC6BE5"/>
    <w:rsid w:val="00DC6DE6"/>
    <w:rsid w:val="00DC6F86"/>
    <w:rsid w:val="00DD077A"/>
    <w:rsid w:val="00DD0EBC"/>
    <w:rsid w:val="00DD18DD"/>
    <w:rsid w:val="00DD2D9C"/>
    <w:rsid w:val="00DD3A7E"/>
    <w:rsid w:val="00DD4436"/>
    <w:rsid w:val="00DD5121"/>
    <w:rsid w:val="00DD5C04"/>
    <w:rsid w:val="00DD6865"/>
    <w:rsid w:val="00DE0ECB"/>
    <w:rsid w:val="00DE1B87"/>
    <w:rsid w:val="00DE2519"/>
    <w:rsid w:val="00DE3622"/>
    <w:rsid w:val="00DE3EF3"/>
    <w:rsid w:val="00DE40FD"/>
    <w:rsid w:val="00DE421F"/>
    <w:rsid w:val="00DE5C80"/>
    <w:rsid w:val="00DE602B"/>
    <w:rsid w:val="00DF0068"/>
    <w:rsid w:val="00DF02B5"/>
    <w:rsid w:val="00DF168C"/>
    <w:rsid w:val="00DF4DC5"/>
    <w:rsid w:val="00DF5154"/>
    <w:rsid w:val="00DF5BD2"/>
    <w:rsid w:val="00DF63C0"/>
    <w:rsid w:val="00DF67AD"/>
    <w:rsid w:val="00DF731C"/>
    <w:rsid w:val="00DF76A9"/>
    <w:rsid w:val="00E0041A"/>
    <w:rsid w:val="00E02A56"/>
    <w:rsid w:val="00E04C76"/>
    <w:rsid w:val="00E06468"/>
    <w:rsid w:val="00E06E3D"/>
    <w:rsid w:val="00E0790C"/>
    <w:rsid w:val="00E07982"/>
    <w:rsid w:val="00E1012A"/>
    <w:rsid w:val="00E10A71"/>
    <w:rsid w:val="00E11460"/>
    <w:rsid w:val="00E1182B"/>
    <w:rsid w:val="00E13736"/>
    <w:rsid w:val="00E138D4"/>
    <w:rsid w:val="00E15B72"/>
    <w:rsid w:val="00E163AC"/>
    <w:rsid w:val="00E164C1"/>
    <w:rsid w:val="00E16B87"/>
    <w:rsid w:val="00E20CE5"/>
    <w:rsid w:val="00E20F91"/>
    <w:rsid w:val="00E235B3"/>
    <w:rsid w:val="00E2557D"/>
    <w:rsid w:val="00E26131"/>
    <w:rsid w:val="00E2691A"/>
    <w:rsid w:val="00E27A49"/>
    <w:rsid w:val="00E30204"/>
    <w:rsid w:val="00E309EF"/>
    <w:rsid w:val="00E31469"/>
    <w:rsid w:val="00E32B34"/>
    <w:rsid w:val="00E35D7B"/>
    <w:rsid w:val="00E364D4"/>
    <w:rsid w:val="00E3698D"/>
    <w:rsid w:val="00E36B43"/>
    <w:rsid w:val="00E37B6E"/>
    <w:rsid w:val="00E37D1B"/>
    <w:rsid w:val="00E413D9"/>
    <w:rsid w:val="00E455C3"/>
    <w:rsid w:val="00E45B43"/>
    <w:rsid w:val="00E46EDC"/>
    <w:rsid w:val="00E477B6"/>
    <w:rsid w:val="00E479DC"/>
    <w:rsid w:val="00E50319"/>
    <w:rsid w:val="00E50562"/>
    <w:rsid w:val="00E5091F"/>
    <w:rsid w:val="00E52300"/>
    <w:rsid w:val="00E544CD"/>
    <w:rsid w:val="00E5668B"/>
    <w:rsid w:val="00E60275"/>
    <w:rsid w:val="00E60F6E"/>
    <w:rsid w:val="00E61A7C"/>
    <w:rsid w:val="00E620B5"/>
    <w:rsid w:val="00E63307"/>
    <w:rsid w:val="00E65B57"/>
    <w:rsid w:val="00E65B7A"/>
    <w:rsid w:val="00E6620B"/>
    <w:rsid w:val="00E6713E"/>
    <w:rsid w:val="00E67905"/>
    <w:rsid w:val="00E705F6"/>
    <w:rsid w:val="00E71A1A"/>
    <w:rsid w:val="00E71D85"/>
    <w:rsid w:val="00E72D64"/>
    <w:rsid w:val="00E74AAE"/>
    <w:rsid w:val="00E77816"/>
    <w:rsid w:val="00E80EF2"/>
    <w:rsid w:val="00E8145A"/>
    <w:rsid w:val="00E82857"/>
    <w:rsid w:val="00E83111"/>
    <w:rsid w:val="00E83D86"/>
    <w:rsid w:val="00E842F0"/>
    <w:rsid w:val="00E8524D"/>
    <w:rsid w:val="00E8595A"/>
    <w:rsid w:val="00E8671A"/>
    <w:rsid w:val="00E8744E"/>
    <w:rsid w:val="00E87617"/>
    <w:rsid w:val="00E87CB7"/>
    <w:rsid w:val="00E9036A"/>
    <w:rsid w:val="00E919BE"/>
    <w:rsid w:val="00E91D21"/>
    <w:rsid w:val="00E923D8"/>
    <w:rsid w:val="00E93D9D"/>
    <w:rsid w:val="00E94578"/>
    <w:rsid w:val="00E95BD4"/>
    <w:rsid w:val="00E96B26"/>
    <w:rsid w:val="00E9764D"/>
    <w:rsid w:val="00EA03E9"/>
    <w:rsid w:val="00EA0A76"/>
    <w:rsid w:val="00EA0D06"/>
    <w:rsid w:val="00EA208E"/>
    <w:rsid w:val="00EA2C03"/>
    <w:rsid w:val="00EA3D4C"/>
    <w:rsid w:val="00EA5250"/>
    <w:rsid w:val="00EA53F9"/>
    <w:rsid w:val="00EA57F5"/>
    <w:rsid w:val="00EA6CBD"/>
    <w:rsid w:val="00EA7ACB"/>
    <w:rsid w:val="00EB0488"/>
    <w:rsid w:val="00EB32B2"/>
    <w:rsid w:val="00EB37FA"/>
    <w:rsid w:val="00EB469F"/>
    <w:rsid w:val="00EB49EF"/>
    <w:rsid w:val="00EB4DC1"/>
    <w:rsid w:val="00EB55EB"/>
    <w:rsid w:val="00EB6D9A"/>
    <w:rsid w:val="00EB75EA"/>
    <w:rsid w:val="00EB7779"/>
    <w:rsid w:val="00EC6FE8"/>
    <w:rsid w:val="00EC7BB1"/>
    <w:rsid w:val="00EC7CB4"/>
    <w:rsid w:val="00ED0184"/>
    <w:rsid w:val="00ED0E70"/>
    <w:rsid w:val="00ED17EA"/>
    <w:rsid w:val="00ED28B3"/>
    <w:rsid w:val="00ED2E7C"/>
    <w:rsid w:val="00ED33D3"/>
    <w:rsid w:val="00ED3F32"/>
    <w:rsid w:val="00ED4EE8"/>
    <w:rsid w:val="00EE039A"/>
    <w:rsid w:val="00EE185C"/>
    <w:rsid w:val="00EE24C1"/>
    <w:rsid w:val="00EE475F"/>
    <w:rsid w:val="00EE48F5"/>
    <w:rsid w:val="00EE4D91"/>
    <w:rsid w:val="00EE688D"/>
    <w:rsid w:val="00EE779C"/>
    <w:rsid w:val="00EF30AA"/>
    <w:rsid w:val="00EF4A93"/>
    <w:rsid w:val="00EF4F2A"/>
    <w:rsid w:val="00EF4FD9"/>
    <w:rsid w:val="00EF54E7"/>
    <w:rsid w:val="00EF58F9"/>
    <w:rsid w:val="00EF59D0"/>
    <w:rsid w:val="00EF5E07"/>
    <w:rsid w:val="00EF61FC"/>
    <w:rsid w:val="00EF6288"/>
    <w:rsid w:val="00EF797E"/>
    <w:rsid w:val="00F00362"/>
    <w:rsid w:val="00F00463"/>
    <w:rsid w:val="00F00F83"/>
    <w:rsid w:val="00F0183D"/>
    <w:rsid w:val="00F0414A"/>
    <w:rsid w:val="00F049BC"/>
    <w:rsid w:val="00F06B81"/>
    <w:rsid w:val="00F07C59"/>
    <w:rsid w:val="00F10594"/>
    <w:rsid w:val="00F10D9B"/>
    <w:rsid w:val="00F10E95"/>
    <w:rsid w:val="00F11A82"/>
    <w:rsid w:val="00F1281B"/>
    <w:rsid w:val="00F14C34"/>
    <w:rsid w:val="00F14FA2"/>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C88"/>
    <w:rsid w:val="00F338AB"/>
    <w:rsid w:val="00F33E90"/>
    <w:rsid w:val="00F3403F"/>
    <w:rsid w:val="00F35097"/>
    <w:rsid w:val="00F3529C"/>
    <w:rsid w:val="00F364E2"/>
    <w:rsid w:val="00F40008"/>
    <w:rsid w:val="00F4056F"/>
    <w:rsid w:val="00F40959"/>
    <w:rsid w:val="00F433E1"/>
    <w:rsid w:val="00F43A4D"/>
    <w:rsid w:val="00F43B8E"/>
    <w:rsid w:val="00F45803"/>
    <w:rsid w:val="00F45EAE"/>
    <w:rsid w:val="00F464E7"/>
    <w:rsid w:val="00F47527"/>
    <w:rsid w:val="00F47DC9"/>
    <w:rsid w:val="00F50F5D"/>
    <w:rsid w:val="00F516A8"/>
    <w:rsid w:val="00F537F3"/>
    <w:rsid w:val="00F539DB"/>
    <w:rsid w:val="00F556E5"/>
    <w:rsid w:val="00F55EC0"/>
    <w:rsid w:val="00F57B62"/>
    <w:rsid w:val="00F57E53"/>
    <w:rsid w:val="00F60D9E"/>
    <w:rsid w:val="00F61A12"/>
    <w:rsid w:val="00F62122"/>
    <w:rsid w:val="00F622C2"/>
    <w:rsid w:val="00F62559"/>
    <w:rsid w:val="00F6482A"/>
    <w:rsid w:val="00F64B91"/>
    <w:rsid w:val="00F64E30"/>
    <w:rsid w:val="00F64F37"/>
    <w:rsid w:val="00F651D7"/>
    <w:rsid w:val="00F678B8"/>
    <w:rsid w:val="00F70996"/>
    <w:rsid w:val="00F70ED6"/>
    <w:rsid w:val="00F710F1"/>
    <w:rsid w:val="00F719DE"/>
    <w:rsid w:val="00F71F67"/>
    <w:rsid w:val="00F731F5"/>
    <w:rsid w:val="00F74010"/>
    <w:rsid w:val="00F741BE"/>
    <w:rsid w:val="00F7463D"/>
    <w:rsid w:val="00F75203"/>
    <w:rsid w:val="00F76683"/>
    <w:rsid w:val="00F77CDB"/>
    <w:rsid w:val="00F81520"/>
    <w:rsid w:val="00F8195D"/>
    <w:rsid w:val="00F8196E"/>
    <w:rsid w:val="00F823A2"/>
    <w:rsid w:val="00F82B4E"/>
    <w:rsid w:val="00F831E3"/>
    <w:rsid w:val="00F8376D"/>
    <w:rsid w:val="00F84852"/>
    <w:rsid w:val="00F8571B"/>
    <w:rsid w:val="00F86853"/>
    <w:rsid w:val="00F86A80"/>
    <w:rsid w:val="00F876E5"/>
    <w:rsid w:val="00F9049B"/>
    <w:rsid w:val="00F912D3"/>
    <w:rsid w:val="00F92BEF"/>
    <w:rsid w:val="00F9467F"/>
    <w:rsid w:val="00F94E5B"/>
    <w:rsid w:val="00F97771"/>
    <w:rsid w:val="00FA43AC"/>
    <w:rsid w:val="00FA4972"/>
    <w:rsid w:val="00FA5457"/>
    <w:rsid w:val="00FA6869"/>
    <w:rsid w:val="00FA6C60"/>
    <w:rsid w:val="00FA6F4B"/>
    <w:rsid w:val="00FB03A2"/>
    <w:rsid w:val="00FB0EA6"/>
    <w:rsid w:val="00FB1DE7"/>
    <w:rsid w:val="00FB1E49"/>
    <w:rsid w:val="00FB2890"/>
    <w:rsid w:val="00FB2970"/>
    <w:rsid w:val="00FB37C7"/>
    <w:rsid w:val="00FB42F0"/>
    <w:rsid w:val="00FB45E4"/>
    <w:rsid w:val="00FB5818"/>
    <w:rsid w:val="00FB5915"/>
    <w:rsid w:val="00FB65C7"/>
    <w:rsid w:val="00FB6AEB"/>
    <w:rsid w:val="00FC001D"/>
    <w:rsid w:val="00FC14BE"/>
    <w:rsid w:val="00FC265C"/>
    <w:rsid w:val="00FC283E"/>
    <w:rsid w:val="00FC2EE0"/>
    <w:rsid w:val="00FC3DAA"/>
    <w:rsid w:val="00FC5165"/>
    <w:rsid w:val="00FC542F"/>
    <w:rsid w:val="00FC5505"/>
    <w:rsid w:val="00FD0494"/>
    <w:rsid w:val="00FD15F0"/>
    <w:rsid w:val="00FD1955"/>
    <w:rsid w:val="00FD1CCC"/>
    <w:rsid w:val="00FD1DC7"/>
    <w:rsid w:val="00FD200D"/>
    <w:rsid w:val="00FD21DD"/>
    <w:rsid w:val="00FD5337"/>
    <w:rsid w:val="00FD5DE0"/>
    <w:rsid w:val="00FD61FB"/>
    <w:rsid w:val="00FD6291"/>
    <w:rsid w:val="00FE15DE"/>
    <w:rsid w:val="00FE349E"/>
    <w:rsid w:val="00FE37E7"/>
    <w:rsid w:val="00FE4EE7"/>
    <w:rsid w:val="00FE600D"/>
    <w:rsid w:val="00FE6479"/>
    <w:rsid w:val="00FE77AA"/>
    <w:rsid w:val="00FF0A4F"/>
    <w:rsid w:val="00FF0FE0"/>
    <w:rsid w:val="00FF12F9"/>
    <w:rsid w:val="00FF171C"/>
    <w:rsid w:val="00FF2B34"/>
    <w:rsid w:val="00FF3BC0"/>
    <w:rsid w:val="00FF4141"/>
    <w:rsid w:val="00FF4591"/>
    <w:rsid w:val="00FF4C70"/>
    <w:rsid w:val="00FF4FF0"/>
    <w:rsid w:val="00FF6BD2"/>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2225"/>
    <o:shapelayout v:ext="edit">
      <o:idmap v:ext="edit" data="1"/>
    </o:shapelayout>
  </w:shapeDefaults>
  <w:decimalSymbol w:val=","/>
  <w:listSeparator w:val=";"/>
  <w14:docId w14:val="0E4DCB44"/>
  <w15:chartTrackingRefBased/>
  <w15:docId w15:val="{6EEBCA25-ED99-4156-BFB9-65F5E8536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8599478">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4411919">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2296379">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0810">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9187307">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6895835">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102753541">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lequotidiendupharmacien.fr/exercice-pro/justice/ces-avantages-en-nature-qui-menent-des-pharmaciens-devant-la-justice" TargetMode="External"/><Relationship Id="rId21" Type="http://schemas.openxmlformats.org/officeDocument/2006/relationships/hyperlink" Target="https://www.legifrance.gouv.fr/jorf/id/JORFTEXT000048727926" TargetMode="External"/><Relationship Id="rId42" Type="http://schemas.openxmlformats.org/officeDocument/2006/relationships/hyperlink" Target="https://portail.tessadoc.social.gouv.fr/recherche/viewnotice/id/965543" TargetMode="External"/><Relationship Id="rId63" Type="http://schemas.openxmlformats.org/officeDocument/2006/relationships/hyperlink" Target="https://www.anses.fr/fr/content/nouvelles-missions-cosmetiques-et-tatouage" TargetMode="External"/><Relationship Id="rId84" Type="http://schemas.openxmlformats.org/officeDocument/2006/relationships/hyperlink" Target="https://www.ordre.pharmacien.fr/mediatheque/fichiers/communiques-de-presse/une-campagne-pour-faire-connaitre-la-diversite-des-metiers-de-la-pharmacie" TargetMode="External"/><Relationship Id="rId138" Type="http://schemas.openxmlformats.org/officeDocument/2006/relationships/hyperlink" Target="https://ansm.sante.fr/disponibilites-des-produits-de-sante/medicaments/corgard-80-mg-comprime-secable-nadolol" TargetMode="External"/><Relationship Id="rId159" Type="http://schemas.openxmlformats.org/officeDocument/2006/relationships/hyperlink" Target="https://ansm.sante.fr/disponibilites-des-produits-de-sante/medicaments/xylocaine-10-mg-ml-sans-conservateur-solution-injectable-chlorhydrate-de-lidocaine" TargetMode="External"/><Relationship Id="rId170" Type="http://schemas.openxmlformats.org/officeDocument/2006/relationships/hyperlink" Target="https://ansm.sante.fr/disponibilites-des-produits-de-sante/medicaments/nozinan-100-mg-comprime-pellicule-secable-levomepromazine-maleate-de" TargetMode="External"/><Relationship Id="rId191" Type="http://schemas.openxmlformats.org/officeDocument/2006/relationships/hyperlink" Target="https://ansm.sante.fr/disponibilites-des-produits-de-sante/medicaments/plaquenil-200-mg-comprime-pellicule-hydroxychloroquine-sulfate-d" TargetMode="External"/><Relationship Id="rId196" Type="http://schemas.openxmlformats.org/officeDocument/2006/relationships/header" Target="header3.xml"/><Relationship Id="rId16" Type="http://schemas.openxmlformats.org/officeDocument/2006/relationships/hyperlink" Target="https://sante.gouv.fr/actualites/presse/communiques-de-presse/article/promulgation-de-la-loi-du-27-decembre-2023-visant-a-ameliorer-l-acces-aux-soins" TargetMode="External"/><Relationship Id="rId107" Type="http://schemas.openxmlformats.org/officeDocument/2006/relationships/hyperlink" Target="https://www.ameli.fr/pharmacien/actualites/lancement-des-bilans-de-prevention-nouveaux-temps-d-echange-dedies-la-prevention-en-sante" TargetMode="External"/><Relationship Id="rId11" Type="http://schemas.openxmlformats.org/officeDocument/2006/relationships/hyperlink" Target="https://peps.sante.gouv.fr/textes_projets/projets.html" TargetMode="External"/><Relationship Id="rId32" Type="http://schemas.openxmlformats.org/officeDocument/2006/relationships/hyperlink" Target="https://www.legifrance.gouv.fr/jorf/id/JORFTEXT000048851655" TargetMode="External"/><Relationship Id="rId37" Type="http://schemas.openxmlformats.org/officeDocument/2006/relationships/hyperlink" Target="https://www.legifrance.gouv.fr/jorf/id/JORFTEXT000048898848" TargetMode="External"/><Relationship Id="rId53" Type="http://schemas.openxmlformats.org/officeDocument/2006/relationships/hyperlink" Target="https://sante.gouv.fr/soins-et-maladies/maladies/maladies-infectieuses/coronavirus/vaccin-covid-19/je-suis-un-professionnel-de-sante-du-medico-social-et-du-social/distribution-vaccins-en-ville" TargetMode="External"/><Relationship Id="rId58" Type="http://schemas.openxmlformats.org/officeDocument/2006/relationships/hyperlink" Target="http://peps.intranet.sante.gouv.fr/actu/actualites.html" TargetMode="External"/><Relationship Id="rId74" Type="http://schemas.openxmlformats.org/officeDocument/2006/relationships/hyperlink" Target="https://www.ordre.pharmacien.fr/les-communications/focus-sur/les-actualites/produits-de-contraste-vers-la-fin-du-remboursement-en-ville" TargetMode="External"/><Relationship Id="rId79" Type="http://schemas.openxmlformats.org/officeDocument/2006/relationships/hyperlink" Target="https://www.lequotidiendupharmacien.fr/medicament-parapharmacie/medicament/le-tramadol-desormais-interdit-en-competition" TargetMode="External"/><Relationship Id="rId102" Type="http://schemas.openxmlformats.org/officeDocument/2006/relationships/hyperlink" Target="https://www.ameli.fr/etablissement/sante-prevention/vaccination/vaccination-grippe-saisonniere" TargetMode="External"/><Relationship Id="rId123" Type="http://schemas.openxmlformats.org/officeDocument/2006/relationships/hyperlink" Target="https://www.ameli.fr/pharmacien/actualites/depistage-organise-du-cancer-colorectal-ce-qui-change-en-2024" TargetMode="External"/><Relationship Id="rId128" Type="http://schemas.openxmlformats.org/officeDocument/2006/relationships/hyperlink" Target="https://www.lexpress.fr/sciences-sante/sante/reseaux-sociaux-medias-mettons-fin-a-la-propagation-impunie-de-fausses-informations-medicales-LDQ7GCFEBBEQNHDY44TC6P3MZA/" TargetMode="External"/><Relationship Id="rId144" Type="http://schemas.openxmlformats.org/officeDocument/2006/relationships/hyperlink" Target="https://ansm.sante.fr/disponibilites-des-produits-de-sante/medicaments/flagyl-125-mg-5-ml-suspension-buvable-metronidazole-benzoate-de" TargetMode="External"/><Relationship Id="rId149" Type="http://schemas.openxmlformats.org/officeDocument/2006/relationships/hyperlink" Target="https://ansm.sante.fr/disponibilites-des-produits-de-sante/medicaments/rimifon-50-mg-comprime-isoniazide" TargetMode="External"/><Relationship Id="rId5" Type="http://schemas.openxmlformats.org/officeDocument/2006/relationships/footnotes" Target="footnotes.xml"/><Relationship Id="rId90" Type="http://schemas.openxmlformats.org/officeDocument/2006/relationships/hyperlink" Target="https://www.ordre.pharmacien.fr/les-communications/focus-sur/les-actualites/substances-dopantes-liste-2024-et-outils-pratiques" TargetMode="External"/><Relationship Id="rId95" Type="http://schemas.openxmlformats.org/officeDocument/2006/relationships/hyperlink" Target="https://www.has-sante.fr/jcms/p_3324682/fr/prise-en-charge-des-personnes-infectees-par-les-virus-de-l-hepatite-b-c-ou-d" TargetMode="External"/><Relationship Id="rId160" Type="http://schemas.openxmlformats.org/officeDocument/2006/relationships/hyperlink" Target="https://ansm.sante.fr/disponibilites-des-produits-de-sante/medicaments/xylocaine-20-mg-ml-sans-conservateur-solution-injectable-chlorhydrate-de-lidocaine" TargetMode="External"/><Relationship Id="rId165" Type="http://schemas.openxmlformats.org/officeDocument/2006/relationships/hyperlink" Target="https://ansm.sante.fr/actualites/point-de-situation-des-approvisionnements-des-medicaments-derives-du-sang" TargetMode="External"/><Relationship Id="rId181" Type="http://schemas.openxmlformats.org/officeDocument/2006/relationships/hyperlink" Target="https://ansm.sante.fr/disponibilites-des-produits-de-sante/medicaments/iomeron-400-400-mg-iode-ml-solution-injectable-flacon-de-150-ml-iomeprol" TargetMode="External"/><Relationship Id="rId186" Type="http://schemas.openxmlformats.org/officeDocument/2006/relationships/hyperlink" Target="https://ansm.sante.fr/disponibilites-des-produits-de-sante/medicaments/desferal-500-mg-poudre-et-solvant-pour-solution-injectable-deferoxamine-mesilate-de" TargetMode="External"/><Relationship Id="rId22" Type="http://schemas.openxmlformats.org/officeDocument/2006/relationships/hyperlink" Target="https://www.legifrance.gouv.fr/jorf/id/JORFTEXT000048728375" TargetMode="External"/><Relationship Id="rId27" Type="http://schemas.openxmlformats.org/officeDocument/2006/relationships/hyperlink" Target="https://www.legifrance.gouv.fr/jorf/id/JORFTEXT000048736185" TargetMode="External"/><Relationship Id="rId43" Type="http://schemas.openxmlformats.org/officeDocument/2006/relationships/hyperlink" Target="https://portail.tessadoc.social.gouv.fr/recherche/viewnotice/id/965555" TargetMode="External"/><Relationship Id="rId48" Type="http://schemas.openxmlformats.org/officeDocument/2006/relationships/hyperlink" Target="http://peps.intranet.sante.gouv.fr/actu/actualites.html" TargetMode="External"/><Relationship Id="rId64" Type="http://schemas.openxmlformats.org/officeDocument/2006/relationships/hyperlink" Target="https://ansm.sante.fr/actualites/les-missions-de-surveillance-du-marche-des-cosmetiques-confiees-a-la-dgccrf" TargetMode="External"/><Relationship Id="rId69" Type="http://schemas.openxmlformats.org/officeDocument/2006/relationships/hyperlink" Target="https://www.lequotidiendupharmacien.fr/endometriose-un-test-de-diagnostic-salivaire-bientot-disponible-en-france" TargetMode="External"/><Relationship Id="rId113" Type="http://schemas.openxmlformats.org/officeDocument/2006/relationships/hyperlink" Target="https://www.lequotidiendupharmacien.fr/exercice-pro/etudes-formation-continue/la-licence-pro-preparateur-en-pharmacie-des-la-rentree-2025" TargetMode="External"/><Relationship Id="rId118" Type="http://schemas.openxmlformats.org/officeDocument/2006/relationships/hyperlink" Target="https://sfpo.com/wp-content/uploads/2023/08/Recommandations-MTI-V2-Aout-2023.pdf" TargetMode="External"/><Relationship Id="rId134" Type="http://schemas.openxmlformats.org/officeDocument/2006/relationships/hyperlink" Target="https://ansm.sante.fr/dossiers-thematiques/plan-hivernal" TargetMode="External"/><Relationship Id="rId139" Type="http://schemas.openxmlformats.org/officeDocument/2006/relationships/hyperlink" Target="https://www.acadpharm.org/dos_public/COM._PENURIES_MED._ET_GOUVERNANCE_2024.01.19_VF_.PDF" TargetMode="External"/><Relationship Id="rId80" Type="http://schemas.openxmlformats.org/officeDocument/2006/relationships/hyperlink" Target="https://www.lequotidiendumedecin.fr/specialites/infectiologie/vaccination-anti-hpv-dans-les-colleges-des-premiers-resultats-mitiges" TargetMode="External"/><Relationship Id="rId85" Type="http://schemas.openxmlformats.org/officeDocument/2006/relationships/hyperlink" Target="https://ansm.sante.fr/actualites/essais-cliniques-de-medicaments-toutes-les-demandes-de-transition-doivent-etre-deposees-sur-le-portail-ctis" TargetMode="External"/><Relationship Id="rId150" Type="http://schemas.openxmlformats.org/officeDocument/2006/relationships/hyperlink" Target="https://ansm.sante.fr/disponibilites-des-produits-de-sante/medicaments/methotrexate-viatris-100-mg-ml-solution-injectable-flacons-de-10-ml-et-50-ml-methotrexate" TargetMode="External"/><Relationship Id="rId155" Type="http://schemas.openxmlformats.org/officeDocument/2006/relationships/hyperlink" Target="https://ansm.sante.fr/disponibilites-des-produits-de-sante/vaccins/encepur-1-5-microgrammes-0-5-ml-suspension-injectable-en-seringue-preremplie-vaccin-de-lencephalite-a-tiques-inactive-adsorbe-virus-de-lencephalite-a-tiques-souche-k23" TargetMode="External"/><Relationship Id="rId171" Type="http://schemas.openxmlformats.org/officeDocument/2006/relationships/hyperlink" Target="https://ansm.sante.fr/disponibilites-des-produits-de-sante/medicaments/iomeron-400-400-mg-iode-ml-solution-injectable-flacon-de-50-ml-et-150-ml-iomeprol" TargetMode="External"/><Relationship Id="rId176" Type="http://schemas.openxmlformats.org/officeDocument/2006/relationships/hyperlink" Target="https://ansm.sante.fr/disponibilites-des-produits-de-sante/medicaments/quasym-l-p-gelule-a-liberation-modifiee-methylphenidate" TargetMode="External"/><Relationship Id="rId192" Type="http://schemas.openxmlformats.org/officeDocument/2006/relationships/header" Target="header1.xml"/><Relationship Id="rId197" Type="http://schemas.openxmlformats.org/officeDocument/2006/relationships/footer" Target="footer3.xml"/><Relationship Id="rId12" Type="http://schemas.openxmlformats.org/officeDocument/2006/relationships/hyperlink" Target="https://peps.sante.gouv.fr/textes_projets/projets_adoptes.html" TargetMode="External"/><Relationship Id="rId17" Type="http://schemas.openxmlformats.org/officeDocument/2006/relationships/hyperlink" Target="https://www.legifrance.gouv.fr/jorf/id/JORFTEXT000048678304" TargetMode="External"/><Relationship Id="rId33" Type="http://schemas.openxmlformats.org/officeDocument/2006/relationships/hyperlink" Target="https://www.legifrance.gouv.fr/jorf/id/JORFTEXT000048865832" TargetMode="External"/><Relationship Id="rId38" Type="http://schemas.openxmlformats.org/officeDocument/2006/relationships/hyperlink" Target="https://www.legifrance.gouv.fr/jorf/id/JORFTEXT000048899242" TargetMode="External"/><Relationship Id="rId59" Type="http://schemas.openxmlformats.org/officeDocument/2006/relationships/hyperlink" Target="https://peps.sante.gouv.fr/actu/actualites.html" TargetMode="External"/><Relationship Id="rId103" Type="http://schemas.openxmlformats.org/officeDocument/2006/relationships/hyperlink" Target="https://www.ordre.pharmacien.fr/les-communications/focus-sur/les-actualites/grippe-prolongation-de-la-campagne-de-vaccination" TargetMode="External"/><Relationship Id="rId108" Type="http://schemas.openxmlformats.org/officeDocument/2006/relationships/hyperlink" Target="https://www.ameli.fr/pharmacien/sante-prevention/bilan-prevention-ages-cles" TargetMode="External"/><Relationship Id="rId124" Type="http://schemas.openxmlformats.org/officeDocument/2006/relationships/hyperlink" Target="https://www.ameli.fr/laboratoire-d-analyses-medicales/actualites/le-depistage-organise-du-cancer-du-col-de-l-uterus-ce-qu-il-faut-savoir-sur-les-nouveautes-2024" TargetMode="External"/><Relationship Id="rId129" Type="http://schemas.openxmlformats.org/officeDocument/2006/relationships/hyperlink" Target="https://www.ompl.fr/images/Publications/Etudestransv/EtudeQVT/ompl_essentiel_qvt_cabinets_medicaux_2024.pdf" TargetMode="External"/><Relationship Id="rId54" Type="http://schemas.openxmlformats.org/officeDocument/2006/relationships/hyperlink" Target="https://www.santepubliquefrance.fr/media/files/01-maladies-et-traumatismes/maladies-et-infections-respiratoires/infection-a-coronavirus/analyse-de-risque-liee-aux-variants-emergents-de-sars-cov-2-08-01-24" TargetMode="External"/><Relationship Id="rId70" Type="http://schemas.openxmlformats.org/officeDocument/2006/relationships/hyperlink" Target="https://peps.sante.gouv.fr/actu/2024/23_dgos_ide-preanalytique_27102023.pdf" TargetMode="External"/><Relationship Id="rId75" Type="http://schemas.openxmlformats.org/officeDocument/2006/relationships/hyperlink" Target="https://www.lequotidiendupharmacien.fr/produits-de-contraste-la-question-des-stocks-encore-loin-detre-reglee" TargetMode="External"/><Relationship Id="rId91" Type="http://schemas.openxmlformats.org/officeDocument/2006/relationships/hyperlink" Target="https://peps.sante.gouv.fr/actu/2024/24_minsante-ccs_2024-01.pdf" TargetMode="External"/><Relationship Id="rId96" Type="http://schemas.openxmlformats.org/officeDocument/2006/relationships/hyperlink" Target="https://sante.gouv.fr/actualites/presse/communiques-de-presse/article/le-gouvernement-acte-des-mesures-en-direction-des-medecins-a-diplome-etranger" TargetMode="External"/><Relationship Id="rId140" Type="http://schemas.openxmlformats.org/officeDocument/2006/relationships/hyperlink" Target="https://www.lequotidiendupharmacien.fr/exercice-pro/la-charte-de-bonnes-pratiques-contre-les-penuries-commence-porter-ses-fruits" TargetMode="External"/><Relationship Id="rId145" Type="http://schemas.openxmlformats.org/officeDocument/2006/relationships/hyperlink" Target="https://ansm.sante.fr/disponibilites-des-produits-de-sante/medicaments/surmontil-4-pour-cent-solution-buvable-flacon-trimipramine-mesilate-de" TargetMode="External"/><Relationship Id="rId161" Type="http://schemas.openxmlformats.org/officeDocument/2006/relationships/hyperlink" Target="https://ansm.sante.fr/disponibilites-des-produits-de-sante/medicaments/creon-10-000-u-gelule-gastroresistante-pancreatine" TargetMode="External"/><Relationship Id="rId166" Type="http://schemas.openxmlformats.org/officeDocument/2006/relationships/hyperlink" Target="https://ansm.sante.fr/disponibilites-des-produits-de-sante/medicaments/oracilline-250-000-ui-5-ml-suspension-buvable-phenoxymethylpenicilline" TargetMode="External"/><Relationship Id="rId182" Type="http://schemas.openxmlformats.org/officeDocument/2006/relationships/hyperlink" Target="https://ansm.sante.fr/disponibilites-des-produits-de-sante/medicaments/iomeron-400-400-mg-iode-ml-solution-injectable-flacon-de-50-ml-iomeprol" TargetMode="External"/><Relationship Id="rId187" Type="http://schemas.openxmlformats.org/officeDocument/2006/relationships/hyperlink" Target="https://ansm.sante.fr/disponibilites-des-produits-de-sante/medicaments/virophta-preparation-pour-collyre-lyophilisat-et-solvant-trifluridine"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www.legifrance.gouv.fr/jorf/id/JORFTEXT000048730728" TargetMode="External"/><Relationship Id="rId28" Type="http://schemas.openxmlformats.org/officeDocument/2006/relationships/hyperlink" Target="https://www.legifrance.gouv.fr/jorf/id/JORFTEXT000048737387" TargetMode="External"/><Relationship Id="rId49" Type="http://schemas.openxmlformats.org/officeDocument/2006/relationships/hyperlink" Target="https://peps.sante.gouv.fr/actu/ncov/actus_2019-ncov.html" TargetMode="External"/><Relationship Id="rId114" Type="http://schemas.openxmlformats.org/officeDocument/2006/relationships/hyperlink" Target="https://www.lequotidiendupharmacien.fr/exercice-pro/etudes-formation-continue/certification-periodique-des-pharmaciens-cest-pour-bientot" TargetMode="External"/><Relationship Id="rId119" Type="http://schemas.openxmlformats.org/officeDocument/2006/relationships/hyperlink" Target="https://sfpo.com/wp-content/uploads/2023/08/CHECK-LIST-MTI-V2-Aout-2023.pdf" TargetMode="External"/><Relationship Id="rId44" Type="http://schemas.openxmlformats.org/officeDocument/2006/relationships/hyperlink" Target="https://www.legifrance.gouv.fr/jorf/id/JORFTEXT000049025564" TargetMode="External"/><Relationship Id="rId60" Type="http://schemas.openxmlformats.org/officeDocument/2006/relationships/hyperlink" Target="https://www.academie-medecine.fr/vaccination-des-seniors/" TargetMode="External"/><Relationship Id="rId65" Type="http://schemas.openxmlformats.org/officeDocument/2006/relationships/hyperlink" Target="https://sante.gouv.fr/actualites/actualites-du-ministere/article/ce-qui-change-au-1er-janvier-2024-au-ministere-de-la-sante-et-de-la-prevention" TargetMode="External"/><Relationship Id="rId81" Type="http://schemas.openxmlformats.org/officeDocument/2006/relationships/hyperlink" Target="https://www.santepubliquefrance.fr/revues/articles-du-mois/2024/epidemie-de-mpox-en-france-caracteristiques-epidemiologiques-et-comportement-sexuel-de-cas-de-plus-de-15-ans-2022" TargetMode="External"/><Relationship Id="rId86" Type="http://schemas.openxmlformats.org/officeDocument/2006/relationships/hyperlink" Target="https://www.lesechos.fr/industrie-services/pharmacie-sante/les-fermetures-de-pharmacies-saccelerent-2047282" TargetMode="External"/><Relationship Id="rId130" Type="http://schemas.openxmlformats.org/officeDocument/2006/relationships/hyperlink" Target="https://www.ompl.fr/images/Publications/Etudestransv/EtudeQVT/ompl_essentiel_qvt_pharmacie_dofficine_2024.pdf" TargetMode="External"/><Relationship Id="rId135" Type="http://schemas.openxmlformats.org/officeDocument/2006/relationships/hyperlink" Target="https://www.lequotidiendupharmacien.fr/exercice-pro/politique-de-sante/2023-annee-record-pour-les-ruptures-dapprovisionnement" TargetMode="External"/><Relationship Id="rId151" Type="http://schemas.openxmlformats.org/officeDocument/2006/relationships/hyperlink" Target="https://ansm.sante.fr/disponibilites-des-produits-de-sante/medicaments/folinate-de-calcium-ebewe-10-mg-ml-solution-injectable-pour-perfusion-folinate-de-calcium" TargetMode="External"/><Relationship Id="rId156" Type="http://schemas.openxmlformats.org/officeDocument/2006/relationships/hyperlink" Target="https://ansm.sante.fr/disponibilites-des-produits-de-sante/vaccins/havrix-nourrissons-et-enfants-720-u-0-5-ml-suspension-injectable-en-seringue-preremplie-vaccin-de-lhepatite-a-inactive-adsorbe-virus-de-lhepatite-a-souche-hm175-inactive-adsorbe" TargetMode="External"/><Relationship Id="rId177" Type="http://schemas.openxmlformats.org/officeDocument/2006/relationships/hyperlink" Target="https://ansm.sante.fr/disponibilites-des-produits-de-sante/medicaments/concerta-lp-comprime-a-liberation-prolongee-methylphenidate-chlorhydrate-de" TargetMode="External"/><Relationship Id="rId198" Type="http://schemas.openxmlformats.org/officeDocument/2006/relationships/fontTable" Target="fontTable.xml"/><Relationship Id="rId172" Type="http://schemas.openxmlformats.org/officeDocument/2006/relationships/hyperlink" Target="https://ansm.sante.fr/disponibilites-des-produits-de-sante/medicaments/flixotide-125-microgrammes-dose-suspension-pour-inhalation-en-flacon-pressurise-fluticasone-propionate-de" TargetMode="External"/><Relationship Id="rId193" Type="http://schemas.openxmlformats.org/officeDocument/2006/relationships/header" Target="header2.xml"/><Relationship Id="rId13" Type="http://schemas.openxmlformats.org/officeDocument/2006/relationships/hyperlink" Target="https://peps.sante.gouv.fr/textes_projets/projets.html" TargetMode="External"/><Relationship Id="rId18" Type="http://schemas.openxmlformats.org/officeDocument/2006/relationships/hyperlink" Target="https://www.legifrance.gouv.fr/jorf/id/JORFTEXT000047888180" TargetMode="External"/><Relationship Id="rId39" Type="http://schemas.openxmlformats.org/officeDocument/2006/relationships/hyperlink" Target="https://www.legifrance.gouv.fr/jorf/id/JORFTEXT000048939366" TargetMode="External"/><Relationship Id="rId109" Type="http://schemas.openxmlformats.org/officeDocument/2006/relationships/hyperlink" Target="https://www.ordre.pharmacien.fr/les-communications/focus-sur/les-actualites/cancer-du-col-uterin-campagne-de-sensibilisation-sur-son-depistage" TargetMode="External"/><Relationship Id="rId34" Type="http://schemas.openxmlformats.org/officeDocument/2006/relationships/hyperlink" Target="https://www.legifrance.gouv.fr/jorf/id/JORFTEXT000048866500" TargetMode="External"/><Relationship Id="rId50" Type="http://schemas.openxmlformats.org/officeDocument/2006/relationships/hyperlink" Target="https://www.academie-medecine.fr/covid-19-et-systeme-nerveux-formes-aigues-et-covid-long/" TargetMode="External"/><Relationship Id="rId55" Type="http://schemas.openxmlformats.org/officeDocument/2006/relationships/hyperlink" Target="https://fr.euronews.com/next/2024/01/16/les-vaccins-covid-auraient-sauve-au-moins-14-million-de-vies-en-europe-selon-loms" TargetMode="External"/><Relationship Id="rId76" Type="http://schemas.openxmlformats.org/officeDocument/2006/relationships/hyperlink" Target="https://www.ameli.fr/assure/actualites/cancers-se-faire-depister-meme-quand-est-en-bonne-sante" TargetMode="External"/><Relationship Id="rId97" Type="http://schemas.openxmlformats.org/officeDocument/2006/relationships/hyperlink" Target="https://ansm.sante.fr/actualites/lansm-est-desormais-chargee-de-fixer-la-liste-des-medicaments-retrocedes" TargetMode="External"/><Relationship Id="rId104" Type="http://schemas.openxmlformats.org/officeDocument/2006/relationships/hyperlink" Target="https://www.santepubliquefrance.fr/maladies-et-traumatismes/maladies-et-infections-respiratoires/grippe/documents/bulletin-national/infections-respiratoires-aigues-grippe-bronchiolite-covid-19-.-bulletin-du-24-janvier-2024" TargetMode="External"/><Relationship Id="rId120" Type="http://schemas.openxmlformats.org/officeDocument/2006/relationships/hyperlink" Target="https://www.santepubliquefrance.fr/les-actualites/2024/alerte-de-l-oms-sur-la-recrudescence-de-la-rougeole-en-europe-la-france-est-elle-concernee" TargetMode="External"/><Relationship Id="rId125" Type="http://schemas.openxmlformats.org/officeDocument/2006/relationships/hyperlink" Target="https://www.lequotidiendupharmacien.fr/exercice-pro/les-missions-et-services-en-pharmacie-confirment-leur-progression" TargetMode="External"/><Relationship Id="rId141" Type="http://schemas.openxmlformats.org/officeDocument/2006/relationships/hyperlink" Target="https://ansm.sante.fr/actualites/nulojix-belatacept-pour-la-greffe-de-rein-recommandations-temporaires-pour-garantir-la-continuite-des-soins" TargetMode="External"/><Relationship Id="rId146" Type="http://schemas.openxmlformats.org/officeDocument/2006/relationships/hyperlink" Target="https://ansm.sante.fr/disponibilites-des-produits-de-sante/medicaments/rulid-50-mg-comprime-secable-pour-suspension-buvable-roxithromycine" TargetMode="External"/><Relationship Id="rId167" Type="http://schemas.openxmlformats.org/officeDocument/2006/relationships/hyperlink" Target="https://ansm.sante.fr/disponibilites-des-produits-de-sante/medicaments/betadine-dermique-10-solution-pour-application-locale-povidone-iodee" TargetMode="External"/><Relationship Id="rId188" Type="http://schemas.openxmlformats.org/officeDocument/2006/relationships/hyperlink" Target="https://ansm.sante.fr/disponibilites-des-produits-de-sante/vaccins/twinrix-adulte-suspension-injectable-en-seringue-preremplie-vaccin-de-lhepatite-a-inactive-et-de-lhepatite-b-adnr-hab-adsorbe-antigene-de-surface-de-lhepatite-b-recombinant-virus-de-lhepatite-a-souche-hm175-inactive-adsorbe" TargetMode="External"/><Relationship Id="rId7" Type="http://schemas.openxmlformats.org/officeDocument/2006/relationships/image" Target="media/image1.jpeg"/><Relationship Id="rId71" Type="http://schemas.openxmlformats.org/officeDocument/2006/relationships/hyperlink" Target="https://assurance-maladie.ameli.fr/presse/2024-01-08-cp-depenses-fin-novembre-2023" TargetMode="External"/><Relationship Id="rId92" Type="http://schemas.openxmlformats.org/officeDocument/2006/relationships/hyperlink" Target="https://peps.sante.gouv.fr/actu/2024/24_mars_2024-01.pdf" TargetMode="External"/><Relationship Id="rId162" Type="http://schemas.openxmlformats.org/officeDocument/2006/relationships/hyperlink" Target="https://ansm.sante.fr/disponibilites-des-produits-de-sante/medicaments/creon-25-000-u-gelule-gastroresistante-pancreatine" TargetMode="External"/><Relationship Id="rId183" Type="http://schemas.openxmlformats.org/officeDocument/2006/relationships/hyperlink" Target="https://ansm.sante.fr/disponibilites-des-produits-de-sante/medicaments/ursolvan-200-mg-gelule-acide-ursodeoxycholique" TargetMode="External"/><Relationship Id="rId2" Type="http://schemas.openxmlformats.org/officeDocument/2006/relationships/styles" Target="styles.xml"/><Relationship Id="rId29" Type="http://schemas.openxmlformats.org/officeDocument/2006/relationships/hyperlink" Target="https://www.legifrance.gouv.fr/jorf/id/JORFTEXT000048798027" TargetMode="External"/><Relationship Id="rId24" Type="http://schemas.openxmlformats.org/officeDocument/2006/relationships/hyperlink" Target="https://sante.gouv.fr/fichiers/bo/2023/2023.24.sante.pdf" TargetMode="External"/><Relationship Id="rId40" Type="http://schemas.openxmlformats.org/officeDocument/2006/relationships/hyperlink" Target="https://www.legifrance.gouv.fr/circulaire/id/45511" TargetMode="External"/><Relationship Id="rId45" Type="http://schemas.openxmlformats.org/officeDocument/2006/relationships/hyperlink" Target="https://www.legifrance.gouv.fr/jorf/id/JORFTEXT000049025604" TargetMode="External"/><Relationship Id="rId66" Type="http://schemas.openxmlformats.org/officeDocument/2006/relationships/hyperlink" Target="https://ansm.sante.fr/actualites/renforcer-linformation-des-professionnels-de-sante-pour-une-utilisation-securisee-du-chlorure-de-potassium-kcl-injectable" TargetMode="External"/><Relationship Id="rId87" Type="http://schemas.openxmlformats.org/officeDocument/2006/relationships/hyperlink" Target="https://www.lequotidiendupharmacien.fr/exercice-pro/les-ages-cles-de-la-prevention-entrent-en-pharmacie" TargetMode="External"/><Relationship Id="rId110" Type="http://schemas.openxmlformats.org/officeDocument/2006/relationships/hyperlink" Target="https://peps.sante.gouv.fr/actu/2024/24_prescrire_prevention-cancer-col-uterus_23012024.pdf" TargetMode="External"/><Relationship Id="rId115" Type="http://schemas.openxmlformats.org/officeDocument/2006/relationships/hyperlink" Target="https://www.lequotidiendupharmacien.fr/exercice-pro/certains-produits-de-contraste-vont-finalement-rester-dans-le-circuit-de-ville" TargetMode="External"/><Relationship Id="rId131" Type="http://schemas.openxmlformats.org/officeDocument/2006/relationships/hyperlink" Target="https://www.ompl.fr/images/Publications/Etudestransv/EtudeQVT/ompl_essentiel_qvt_laboratoires_de_biologie_2024.pdf" TargetMode="External"/><Relationship Id="rId136" Type="http://schemas.openxmlformats.org/officeDocument/2006/relationships/hyperlink" Target="https://www.lequotidiendupharmacien.fr/exercice-pro/les-industriels-du-medicament-veulent-relancer-la-machine" TargetMode="External"/><Relationship Id="rId157" Type="http://schemas.openxmlformats.org/officeDocument/2006/relationships/hyperlink" Target="https://ansm.sante.fr/disponibilites-des-produits-de-sante/medicaments/prenoxad-0-91-mg-ml-solution-injectable-en-seringue-preremplie-naloxone-chlorhydrate-de-dihydrate" TargetMode="External"/><Relationship Id="rId178" Type="http://schemas.openxmlformats.org/officeDocument/2006/relationships/hyperlink" Target="https://ansm.sante.fr/disponibilites-des-produits-de-sante/medicaments/parlodel-2-5-mg-comprime-secable-bromocriptine-mesilate-de" TargetMode="External"/><Relationship Id="rId61" Type="http://schemas.openxmlformats.org/officeDocument/2006/relationships/hyperlink" Target="https://peps.sante.gouv.fr/actu/2024/23_dgs_presentation-laboesi_15122023.pptx" TargetMode="External"/><Relationship Id="rId82" Type="http://schemas.openxmlformats.org/officeDocument/2006/relationships/hyperlink" Target="https://peps.sante.gouv.fr/actu/2024/24_dgs_actus-antibioresistance_17012024.pdf" TargetMode="External"/><Relationship Id="rId152" Type="http://schemas.openxmlformats.org/officeDocument/2006/relationships/hyperlink" Target="https://ansm.sante.fr/disponibilites-des-produits-de-sante/medicaments/creon-35-000-u-gelule-gastroresistante-pancreatine" TargetMode="External"/><Relationship Id="rId173" Type="http://schemas.openxmlformats.org/officeDocument/2006/relationships/hyperlink" Target="https://ansm.sante.fr/disponibilites-des-produits-de-sante/medicaments/dipentum-250-mg-comprime-et-dipentum-500-mg-comprime-olsalazine-sodique" TargetMode="External"/><Relationship Id="rId194" Type="http://schemas.openxmlformats.org/officeDocument/2006/relationships/footer" Target="footer1.xml"/><Relationship Id="rId199" Type="http://schemas.openxmlformats.org/officeDocument/2006/relationships/theme" Target="theme/theme1.xml"/><Relationship Id="rId19" Type="http://schemas.openxmlformats.org/officeDocument/2006/relationships/hyperlink" Target="https://www.legifrance.gouv.fr/jorf/id/JORFTEXT000048708625" TargetMode="External"/><Relationship Id="rId14" Type="http://schemas.openxmlformats.org/officeDocument/2006/relationships/hyperlink" Target="https://peps.sante.gouv.fr/doc_insp/proc_nat_val/pnv_liste.html" TargetMode="External"/><Relationship Id="rId30" Type="http://schemas.openxmlformats.org/officeDocument/2006/relationships/hyperlink" Target="https://www.legifrance.gouv.fr/jorf/id/JORFTEXT000048815592" TargetMode="External"/><Relationship Id="rId35" Type="http://schemas.openxmlformats.org/officeDocument/2006/relationships/hyperlink" Target="https://www.lequotidiendupharmacien.fr/la-liste-des-medicaments-delivrables-par-la-pui-olympique-fixee" TargetMode="External"/><Relationship Id="rId56" Type="http://schemas.openxmlformats.org/officeDocument/2006/relationships/hyperlink" Target="https://ansm.sante.fr/actualites/nouvelles-donnees-en-faveur-dun-risque-accru-de-saignements-menstruels-abondants-apres-la-primovaccination-contre-le-covid-19" TargetMode="External"/><Relationship Id="rId77" Type="http://schemas.openxmlformats.org/officeDocument/2006/relationships/hyperlink" Target="https://www.lequotidiendupharmacien.fr/exercice-pro/politique-de-sante/tout-ce-qui-va-changer-en-2024" TargetMode="External"/><Relationship Id="rId100" Type="http://schemas.openxmlformats.org/officeDocument/2006/relationships/hyperlink" Target="https://ansm.sante.fr/actualites/retour-dinformation-sur-le-prac-de-janvier-2024-8-11-janvier" TargetMode="External"/><Relationship Id="rId105" Type="http://schemas.openxmlformats.org/officeDocument/2006/relationships/hyperlink" Target="https://www.lequotidiendupharmacien.fr/nouvelles-missions/rougeole-loms-appelle-intensifier-la-vaccination-en-europe" TargetMode="External"/><Relationship Id="rId126" Type="http://schemas.openxmlformats.org/officeDocument/2006/relationships/hyperlink" Target="https://www.has-sante.fr/jcms/p_3491330/fr/detection-de-mutations-par-expansion-de-nucleotides-volet-1-rapport-d-evaluation" TargetMode="External"/><Relationship Id="rId147" Type="http://schemas.openxmlformats.org/officeDocument/2006/relationships/hyperlink" Target="https://ansm.sante.fr/disponibilites-des-produits-de-sante/medicaments/oracilline-1-000-000-ui-comprime-secable-phenoxymethylpenicilline" TargetMode="External"/><Relationship Id="rId168" Type="http://schemas.openxmlformats.org/officeDocument/2006/relationships/hyperlink" Target="https://ansm.sante.fr/disponibilites-des-produits-de-sante/medicaments/monoprost-50-microgrammes-ml-collyre-en-solution-en-recipient-unidose-latanoprost" TargetMode="External"/><Relationship Id="rId8" Type="http://schemas.openxmlformats.org/officeDocument/2006/relationships/image" Target="media/image2.png"/><Relationship Id="rId51" Type="http://schemas.openxmlformats.org/officeDocument/2006/relationships/hyperlink" Target="https://www.lequotidiendupharmacien.fr/le-nombre-de-cas-de-covid-19-augmente-de-plus-de-50-en-un-mois-dans-le-monde" TargetMode="External"/><Relationship Id="rId72" Type="http://schemas.openxmlformats.org/officeDocument/2006/relationships/hyperlink" Target="https://peps.sante.gouv.fr/actu/2024/24_europharmat-sf2s_avis-retraitement-dm_10012024.pdf" TargetMode="External"/><Relationship Id="rId93" Type="http://schemas.openxmlformats.org/officeDocument/2006/relationships/hyperlink" Target="https://www.santepubliquefrance.fr/les-actualites/2024/grippe-aviaire-vers-un-renforcement-de-la-surveillance-humaine-pour-detecter-precocement-toute-transmission-a-l-etre-humain" TargetMode="External"/><Relationship Id="rId98" Type="http://schemas.openxmlformats.org/officeDocument/2006/relationships/hyperlink" Target="https://ansm.sante.fr/documents/reference/medicaments-en-retrocession" TargetMode="External"/><Relationship Id="rId121" Type="http://schemas.openxmlformats.org/officeDocument/2006/relationships/hyperlink" Target="https://www.drogues.gouv.fr/lancement-par-lunion-europeenne-du-dispositif-alliance-portuaire-europeenne-pour-mieux-combattre-le" TargetMode="External"/><Relationship Id="rId142" Type="http://schemas.openxmlformats.org/officeDocument/2006/relationships/hyperlink" Target="https://ansm.sante.fr/disponibilites-des-produits-de-sante/medicaments/nulojix-250-mg-poudre-pour-solution-a-diluer-pour-perfusion-belatacept" TargetMode="External"/><Relationship Id="rId163" Type="http://schemas.openxmlformats.org/officeDocument/2006/relationships/hyperlink" Target="https://ansm.sante.fr/disponibilites-des-produits-de-sante/vaccins/ticovac-0-25-ml-enfants-suspension-injectable-en-seringue-preremplie-vaccin-de-lencephalite-a-tiques-virus-entier-inactive-virus-de-lencephalite-a-tique-souche-neudoerfl-inactive" TargetMode="External"/><Relationship Id="rId184" Type="http://schemas.openxmlformats.org/officeDocument/2006/relationships/hyperlink" Target="https://ansm.sante.fr/disponibilites-des-produits-de-sante/medicaments/immunoglobuline-humaine-normale-iv-et-sc-a-base-de-immunoglobuline-humaine-normale-igg" TargetMode="External"/><Relationship Id="rId189" Type="http://schemas.openxmlformats.org/officeDocument/2006/relationships/hyperlink" Target="https://ansm.sante.fr/disponibilites-des-produits-de-sante/vaccins/varilrix-poudre-et-solvant-pour-solution-injectable-en-seringue-preremplie-vaccin-varicelleux-vivant-virus-de-la-varicelle-souche-oka-vivant-attenue" TargetMode="External"/><Relationship Id="rId3" Type="http://schemas.openxmlformats.org/officeDocument/2006/relationships/settings" Target="settings.xml"/><Relationship Id="rId25" Type="http://schemas.openxmlformats.org/officeDocument/2006/relationships/hyperlink" Target="https://www.legifrance.gouv.fr/jorf/id/JORFTEXT000048730735" TargetMode="External"/><Relationship Id="rId46" Type="http://schemas.openxmlformats.org/officeDocument/2006/relationships/hyperlink" Target="https://www.legifrance.gouv.fr/jorf/id/JORFTEXT000049025644" TargetMode="External"/><Relationship Id="rId67" Type="http://schemas.openxmlformats.org/officeDocument/2006/relationships/hyperlink" Target="https://ansm.sante.fr/dossiers-thematiques/prevenir-les-erreurs-avec-le-chlorure-de-potassium-injectable" TargetMode="External"/><Relationship Id="rId116" Type="http://schemas.openxmlformats.org/officeDocument/2006/relationships/hyperlink" Target="https://www.lemoniteurdespharmacies.fr/actu/actualites/actus-socio-professionnelles/reprise-des-produits-de-contraste-radiographie-d-un-grand-flou.html" TargetMode="External"/><Relationship Id="rId137" Type="http://schemas.openxmlformats.org/officeDocument/2006/relationships/hyperlink" Target="https://ansm.sante.fr/actualites/tensions-dapprovisionnement-en-corgard-80-mg-nadolol-ce-medicament-doit-etre-reserve-a-certains-patients-atteints-de-troubles-du-rythme-dorigine-genetique" TargetMode="External"/><Relationship Id="rId158" Type="http://schemas.openxmlformats.org/officeDocument/2006/relationships/hyperlink" Target="https://ansm.sante.fr/disponibilites-des-produits-de-sante/medicaments/xylocaine-5-mg-ml-sans-conservateur-solution-injectable-chlorhydrate-de-lidocaine" TargetMode="External"/><Relationship Id="rId20" Type="http://schemas.openxmlformats.org/officeDocument/2006/relationships/hyperlink" Target="https://ansm.sante.fr/actualites/decision-du-21-12-2023-additif-ndeg121-a-la-pharmacopee" TargetMode="External"/><Relationship Id="rId41" Type="http://schemas.openxmlformats.org/officeDocument/2006/relationships/hyperlink" Target="https://ansm.sante.fr/actualites/decision-du-16-01-2024-modification-de-la-liste-des-medicaments-de-medication-officinale-mentionnee-a-larticle-r-5121-202-du-csp" TargetMode="External"/><Relationship Id="rId62" Type="http://schemas.openxmlformats.org/officeDocument/2006/relationships/hyperlink" Target="https://www.economie.gouv.fr/dgccrf/produits-cosmetiques-la-dgccrf-assure-desormais-seule-le-controle-des-produits-et" TargetMode="External"/><Relationship Id="rId83" Type="http://schemas.openxmlformats.org/officeDocument/2006/relationships/hyperlink" Target="https://www.sdbio.eu/actualites/fil-d-infos/biologie-delocalisee-le-sdbio-remet-l-eglise-au-milieu-du-village-sur-les-deserts-diagnostiques-et-l-utilisation-des-ebmd" TargetMode="External"/><Relationship Id="rId88" Type="http://schemas.openxmlformats.org/officeDocument/2006/relationships/hyperlink" Target="https://www.ordre.pharmacien.fr/les-communications/focus-sur/les-actualites/pharmacien-biologiste-medical-sanctionne-pour-avoir-transmis-des-resultats-negatifs-de-depistage-du-covid-19-non-analyses" TargetMode="External"/><Relationship Id="rId111" Type="http://schemas.openxmlformats.org/officeDocument/2006/relationships/hyperlink" Target="https://www.santepubliquefrance.fr/maladies-et-traumatismes/maladies-infectieuses-d-origine-alimentaire/gastro-enterites-aigues/documents/bulletin-national/gastro-enterites-aigues.-bulletin-du-23-janvier-2024" TargetMode="External"/><Relationship Id="rId132" Type="http://schemas.openxmlformats.org/officeDocument/2006/relationships/hyperlink" Target="https://www.ompl.fr/images/Publications/Etudestransv/EtudeQVT/ompl_essentiel_qvt_cabinets_dentaires_2024.pdf" TargetMode="External"/><Relationship Id="rId153" Type="http://schemas.openxmlformats.org/officeDocument/2006/relationships/hyperlink" Target="https://ansm.sante.fr/disponibilites-des-produits-de-sante/medicaments/arixtra-2-5-mg-0-5-ml-solution-injectable-en-seringue-pre-remplie-boite-2-et-7-seringues-fondaparinux" TargetMode="External"/><Relationship Id="rId174" Type="http://schemas.openxmlformats.org/officeDocument/2006/relationships/hyperlink" Target="https://ansm.sante.fr/disponibilites-des-produits-de-sante/vaccins/avaxim-160-u-suspension-injectable-en-seringue-preremplie-vaccin-de-lhepatite-a-inactive-adsorbe-virus-de-lhepatite-a-souche-gbm-inactive-adsorbe-mammifere-humain-cellules-mrc5" TargetMode="External"/><Relationship Id="rId179" Type="http://schemas.openxmlformats.org/officeDocument/2006/relationships/hyperlink" Target="https://ansm.sante.fr/disponibilites-des-produits-de-sante/medicaments/abiraterone-arrow-500-mg-comprime-pellicule-abiraterone" TargetMode="External"/><Relationship Id="rId195" Type="http://schemas.openxmlformats.org/officeDocument/2006/relationships/footer" Target="footer2.xml"/><Relationship Id="rId190" Type="http://schemas.openxmlformats.org/officeDocument/2006/relationships/hyperlink" Target="https://ansm.sante.fr/disponibilites-des-produits-de-sante/vaccins/engerix-b-20-microgrammes-1-ml-suspension-injectable-en-seringue-preremplie-vaccin-de-lhepatite-b-adnr-adsorbe-vhb-antigene-de-surface-de-lhepatite-b-recombinant" TargetMode="External"/><Relationship Id="rId15" Type="http://schemas.openxmlformats.org/officeDocument/2006/relationships/hyperlink" Target="https://peps.sante.gouv.fr/outils/docu/texto.xlsm" TargetMode="External"/><Relationship Id="rId36" Type="http://schemas.openxmlformats.org/officeDocument/2006/relationships/hyperlink" Target="https://portail.tessadoc.social.gouv.fr/recherche/viewnotice/id/965356" TargetMode="External"/><Relationship Id="rId57" Type="http://schemas.openxmlformats.org/officeDocument/2006/relationships/hyperlink" Target="https://www.santepubliquefrance.fr/maladies-et-traumatismes/maladies-et-infections-respiratoires/grippe/documents/bulletin-national/infections-respiratoires-aigues-grippe-bronchiolite-covid-19-.-bulletin-du-24-janvier-2024" TargetMode="External"/><Relationship Id="rId106" Type="http://schemas.openxmlformats.org/officeDocument/2006/relationships/hyperlink" Target="https://france.representation.ec.europa.eu/informations/lue-finance-des-equipes-de-detection-et-de-surveillance-resceu-en-vue-de-renforcer-la-preparation-2024-01-25_fr" TargetMode="External"/><Relationship Id="rId127" Type="http://schemas.openxmlformats.org/officeDocument/2006/relationships/hyperlink" Target="https://www.academie-medecine.fr/1000053001/" TargetMode="External"/><Relationship Id="rId10" Type="http://schemas.openxmlformats.org/officeDocument/2006/relationships/hyperlink" Target="https://peps.sante.gouv.fr/outils/guide_proced/guide.html" TargetMode="External"/><Relationship Id="rId31" Type="http://schemas.openxmlformats.org/officeDocument/2006/relationships/hyperlink" Target="https://ansm.sante.fr/actualites/decision-du-29-12-2023-portant-modification-de-la-liste-de-reference-des-groupes-biologiques-similaires-mentionnee-a-larticle-r-5121-9-1-du-code-de-la-sante-publique" TargetMode="External"/><Relationship Id="rId52" Type="http://schemas.openxmlformats.org/officeDocument/2006/relationships/hyperlink" Target="https://iris.who.int/bitstream/handle/10665/375236/WHO-2019-nCoV-IPC-guideline-summary-2023.4-fre.pdf" TargetMode="External"/><Relationship Id="rId73" Type="http://schemas.openxmlformats.org/officeDocument/2006/relationships/hyperlink" Target="https://www.ameli.fr/assure/actualites/infection-urinaire-faire-un-test-en-pharmacie-est-desormais-possible" TargetMode="External"/><Relationship Id="rId78" Type="http://schemas.openxmlformats.org/officeDocument/2006/relationships/hyperlink" Target="https://www.lequotidiendupharmacien.fr/le-contrat-dengagement-de-service-public-accessible-aux-etudiants-en-pharmacie" TargetMode="External"/><Relationship Id="rId94" Type="http://schemas.openxmlformats.org/officeDocument/2006/relationships/hyperlink" Target="https://www.hcsp.fr/Explore.cgi/avisrapportsdomaine?clefr=1365" TargetMode="External"/><Relationship Id="rId99" Type="http://schemas.openxmlformats.org/officeDocument/2006/relationships/hyperlink" Target="https://www.lequotidiendupharmacien.fr/exercice-pro/justice/panoramix-juge-pour-trafic-de-stupefiants" TargetMode="External"/><Relationship Id="rId101" Type="http://schemas.openxmlformats.org/officeDocument/2006/relationships/hyperlink" Target="https://www.travail-solidarite.gouv.fr/IMG/pdf/ra_ceps_2022.pdf" TargetMode="External"/><Relationship Id="rId122" Type="http://schemas.openxmlformats.org/officeDocument/2006/relationships/hyperlink" Target="https://assurance-maladie.ameli.fr/presse/2024-01-26-cp-inca-cnam-journee-mondiale-contre-les-cancers" TargetMode="External"/><Relationship Id="rId143" Type="http://schemas.openxmlformats.org/officeDocument/2006/relationships/hyperlink" Target="https://ansm.sante.fr/disponibilites-des-produits-de-sante/medicaments/rabeprazole-10mg-et-20mg-comprime-gastro-resistant-rabeprazole-sodique" TargetMode="External"/><Relationship Id="rId148" Type="http://schemas.openxmlformats.org/officeDocument/2006/relationships/hyperlink" Target="https://ansm.sante.fr/disponibilites-des-produits-de-sante/medicaments/largactil-25-mg-5-ml-solution-injectable-en-ampoule-chlorpromazine" TargetMode="External"/><Relationship Id="rId164" Type="http://schemas.openxmlformats.org/officeDocument/2006/relationships/hyperlink" Target="https://ansm.sante.fr/disponibilites-des-produits-de-sante/medicaments/viperfav-solution-a-diluer-pour-perfusion-fragments-f-ab-2-dimmunoglobuline-equine-antivenimeuse-de-vipere-europeenne" TargetMode="External"/><Relationship Id="rId169" Type="http://schemas.openxmlformats.org/officeDocument/2006/relationships/hyperlink" Target="https://ansm.sante.fr/disponibilites-des-produits-de-sante/medicaments/amoxicilline-clamoxyl-toutes-formes-orales-tous-dosages-amoxicilline" TargetMode="External"/><Relationship Id="rId185" Type="http://schemas.openxmlformats.org/officeDocument/2006/relationships/hyperlink" Target="https://ansm.sante.fr/disponibilites-des-produits-de-sante/vaccins/encepur-1-5-microgrammes-0-5-ml-suspension-injectable-en-seringue-preremplie-vaccin-de-lencephalite-a-tiques-inactive-adsorbe-virus-de-lencephalite-a-tiques-souche-k23" TargetMode="Externa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yperlink" Target="https://ansm.sante.fr/disponibilites-des-produits-de-sante/medicaments/metronidazole-250-mg-et-500-mg-comprime-pellicule-metronidazole" TargetMode="External"/><Relationship Id="rId26" Type="http://schemas.openxmlformats.org/officeDocument/2006/relationships/hyperlink" Target="https://www.legifrance.gouv.fr/jorf/id/JORFTEXT000048730152" TargetMode="External"/><Relationship Id="rId47" Type="http://schemas.openxmlformats.org/officeDocument/2006/relationships/hyperlink" Target="https://www.legifrance.gouv.fr/jorf/id/JORFTEXT000049040708" TargetMode="External"/><Relationship Id="rId68" Type="http://schemas.openxmlformats.org/officeDocument/2006/relationships/hyperlink" Target="https://www.has-sante.fr/jcms/p_3487378/fr/diagnostic-complexe-d-endometriose-la-has-propose-un-acces-au-test-salivaire-endotest-dans-le-cadre-du-forfait-innovation" TargetMode="External"/><Relationship Id="rId89" Type="http://schemas.openxmlformats.org/officeDocument/2006/relationships/hyperlink" Target="https://www.lequotidiendupharmacien.fr/exercice-pro/justice/fraude-sur-des-tests-covid-un-pharmacien-biologiste-sanctionne" TargetMode="External"/><Relationship Id="rId112" Type="http://schemas.openxmlformats.org/officeDocument/2006/relationships/hyperlink" Target="https://www.ccomptes.fr/fr/publications/la-modernisation-de-letat-des-methodes-renouvelees-une-ambition-limitee" TargetMode="External"/><Relationship Id="rId133" Type="http://schemas.openxmlformats.org/officeDocument/2006/relationships/hyperlink" Target="https://ansm.sante.fr/actualites/plan-hivernal-point-de-situation-sur-lapprovisionnement-des-medicaments-majeurs-de-lhiver" TargetMode="External"/><Relationship Id="rId154" Type="http://schemas.openxmlformats.org/officeDocument/2006/relationships/hyperlink" Target="https://ansm.sante.fr/disponibilites-des-produits-de-sante/medicaments/temgesic-0-2-mg-comprime-sublingual-buprenorphine-chlorhydrate-de" TargetMode="External"/><Relationship Id="rId175" Type="http://schemas.openxmlformats.org/officeDocument/2006/relationships/hyperlink" Target="https://ansm.sante.fr/disponibilites-des-produits-de-sante/vaccins/revaxis-suspension-injectable-en-seringue-preremplie-vaccin-diphterique-tetanique-et-poliomyelitique-inactive-adsorbe-a-teneur-reduite-en-antigenes-anatoxine-diphterique-anatoxine-tetanique-virus-poliomyelitique-inactive"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mois-xx.dot</Template>
  <TotalTime>7155</TotalTime>
  <Pages>27</Pages>
  <Words>11204</Words>
  <Characters>112341</Characters>
  <Application>Microsoft Office Word</Application>
  <DocSecurity>0</DocSecurity>
  <Lines>936</Lines>
  <Paragraphs>246</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123299</CharactersWithSpaces>
  <SharedDoc>false</SharedDoc>
  <HLinks>
    <vt:vector size="60" baseType="variant">
      <vt:variant>
        <vt:i4>4587558</vt:i4>
      </vt:variant>
      <vt:variant>
        <vt:i4>24</vt:i4>
      </vt:variant>
      <vt:variant>
        <vt:i4>0</vt:i4>
      </vt:variant>
      <vt:variant>
        <vt:i4>5</vt:i4>
      </vt:variant>
      <vt:variant>
        <vt:lpwstr>https://peps.sante.gouv.fr/actu/ncov/actus_2019-ncov.html</vt:lpwstr>
      </vt:variant>
      <vt:variant>
        <vt:lpwstr/>
      </vt:variant>
      <vt:variant>
        <vt:i4>7798903</vt:i4>
      </vt:variant>
      <vt:variant>
        <vt:i4>21</vt:i4>
      </vt:variant>
      <vt:variant>
        <vt:i4>0</vt:i4>
      </vt:variant>
      <vt:variant>
        <vt:i4>5</vt:i4>
      </vt:variant>
      <vt:variant>
        <vt:lpwstr>http://peps.intranet.sante.gouv.fr/actu/actualites.html</vt:lpwstr>
      </vt:variant>
      <vt:variant>
        <vt:lpwstr/>
      </vt:variant>
      <vt:variant>
        <vt:i4>3604535</vt:i4>
      </vt:variant>
      <vt:variant>
        <vt:i4>18</vt:i4>
      </vt:variant>
      <vt:variant>
        <vt:i4>0</vt:i4>
      </vt:variant>
      <vt:variant>
        <vt:i4>5</vt:i4>
      </vt:variant>
      <vt:variant>
        <vt:lpwstr>https://www.legifrance.gouv.fr/jorf/id/JORFTEXT000044806592</vt:lpwstr>
      </vt:variant>
      <vt:variant>
        <vt:lpwstr/>
      </vt:variant>
      <vt:variant>
        <vt:i4>1966178</vt:i4>
      </vt:variant>
      <vt:variant>
        <vt:i4>15</vt:i4>
      </vt:variant>
      <vt:variant>
        <vt:i4>0</vt:i4>
      </vt:variant>
      <vt:variant>
        <vt:i4>5</vt:i4>
      </vt:variant>
      <vt:variant>
        <vt:lpwstr>https://peps.sante.gouv.fr/textes_projets/projets.html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dc:creator>
  <cp:keywords/>
  <dc:description/>
  <cp:lastModifiedBy>PICHON, Pascal (ARS-BFC/BFC/DSP)</cp:lastModifiedBy>
  <cp:revision>80</cp:revision>
  <cp:lastPrinted>2018-11-02T10:29:00Z</cp:lastPrinted>
  <dcterms:created xsi:type="dcterms:W3CDTF">2023-12-28T11:24:00Z</dcterms:created>
  <dcterms:modified xsi:type="dcterms:W3CDTF">2024-01-31T10:31:00Z</dcterms:modified>
</cp:coreProperties>
</file>