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0F6C" w:rsidRDefault="00072D49">
      <w:r>
        <w:rPr>
          <w:noProof/>
        </w:rPr>
        <w:drawing>
          <wp:anchor distT="0" distB="0" distL="114300" distR="114300" simplePos="0" relativeHeight="251657728" behindDoc="1" locked="0" layoutInCell="1" allowOverlap="1">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30F6C" w:rsidRDefault="00C30F6C"/>
    <w:p w:rsidR="00C30F6C" w:rsidRDefault="00C30F6C"/>
    <w:p w:rsidR="00C30F6C" w:rsidRDefault="00C30F6C">
      <w:pPr>
        <w:rPr>
          <w:noProof/>
        </w:rPr>
      </w:pPr>
    </w:p>
    <w:p w:rsidR="00AC1EE8" w:rsidRDefault="00AC1EE8"/>
    <w:p w:rsidR="00C30F6C" w:rsidRDefault="00C30F6C"/>
    <w:p w:rsidR="00C30F6C" w:rsidRDefault="00C30F6C"/>
    <w:p w:rsidR="00C30F6C" w:rsidRDefault="00C30F6C"/>
    <w:p w:rsidR="00C30F6C" w:rsidRDefault="00C30F6C"/>
    <w:p w:rsidR="00C30F6C" w:rsidRDefault="00C30F6C"/>
    <w:p w:rsidR="00C30F6C" w:rsidRDefault="00C30F6C"/>
    <w:p w:rsidR="00C30F6C" w:rsidRDefault="00C30F6C"/>
    <w:p w:rsidR="00AC1EE8" w:rsidRDefault="00072D49">
      <w:r>
        <w:rPr>
          <w:noProof/>
        </w:rPr>
        <mc:AlternateContent>
          <mc:Choice Requires="wps">
            <w:drawing>
              <wp:anchor distT="0" distB="0" distL="114300" distR="114300" simplePos="0" relativeHeight="251656704" behindDoc="0" locked="0" layoutInCell="0" allowOverlap="1">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B5D87" w:rsidRPr="00624158" w:rsidRDefault="002B5D87"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rsidR="002B5D87" w:rsidRPr="00624158" w:rsidRDefault="002B5D87"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JUIN 2024</w:t>
                            </w:r>
                          </w:p>
                          <w:p w:rsidR="002B5D87" w:rsidRPr="007575DF" w:rsidRDefault="002B5D87"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h5tQ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qHkaA9tOiB7Q26lXt0ObPlGQedgdf9AH5mD+fW1VLVw52svmok5LKlYsNulJJjy2gN6YX2pn92&#10;dcLRFmQ9fpA1xKFbIx3QvlG9BYRqIECHNj2eWmNzqeCQRHGYzsBUgS0Mk3B+GbsYNDteH5Q275js&#10;kV3kWEHvHTzd3Wlj06HZ0cVGE7LkXef634lnB+A4nUBwuGptNg3Xzh9pkK6SVUI8Es1WHgmKwrsp&#10;l8SbleE8Li6L5bIIf9q4IclaXtdM2DBHaYXkz1p3EPkkipO4tOx4beFsSlpt1stOoR0FaZfuOxTk&#10;zM1/noYrAnB5QSmMSHAbpV45S+YeKUnspfMg8YIwvYWak5QU5XNKd1ywf6eExhyncRRPavott8B9&#10;r7nRrOcGhkfH+xwnJyeaWQ2uRO1aayjvpvVZKWz6T6WAdh8b7RRrRTrJ1ezXe0CxMl7L+hG0qyQo&#10;C1QIEw8WrVTfMRpheuRYf9tSxTDq3gvQfxoSYseN25B4HsFGnVvW5xYqKoDKscFoWi7NNKK2g+Kb&#10;FiJNL07IG3gzDXdqfsrq8NJgQjhSh2lmR9D53nk9zdzFLwAAAP//AwBQSwMEFAAGAAgAAAAhALpT&#10;aa3eAAAACgEAAA8AAABkcnMvZG93bnJldi54bWxMj8tOwzAQRfdI/IM1SOyo3UfaJo1TIRBbEH0g&#10;sXPjaRIRj6PYbcLfM6xgN1dzdOdMvh1dK67Yh8aThulEgUAqvW2o0nDYvzysQYRoyJrWE2r4xgDb&#10;4vYmN5n1A73jdRcrwSUUMqOhjrHLpAxljc6Eie+QeHf2vTORY19J25uBy10rZ0otpTMN8YXadPhU&#10;Y/m1uzgNx9fz58dCvVXPLukGPypJLpVa39+NjxsQEcf4B8OvPqtDwU4nfyEbRMt5ma4Y5SFdgGBg&#10;PU/nIE4aZipJQBa5/P9C8QMAAP//AwBQSwECLQAUAAYACAAAACEAtoM4kv4AAADhAQAAEwAAAAAA&#10;AAAAAAAAAAAAAAAAW0NvbnRlbnRfVHlwZXNdLnhtbFBLAQItABQABgAIAAAAIQA4/SH/1gAAAJQB&#10;AAALAAAAAAAAAAAAAAAAAC8BAABfcmVscy8ucmVsc1BLAQItABQABgAIAAAAIQA1s+h5tQIAALsF&#10;AAAOAAAAAAAAAAAAAAAAAC4CAABkcnMvZTJvRG9jLnhtbFBLAQItABQABgAIAAAAIQC6U2mt3gAA&#10;AAoBAAAPAAAAAAAAAAAAAAAAAA8FAABkcnMvZG93bnJldi54bWxQSwUGAAAAAAQABADzAAAAGgYA&#10;AAAA&#10;" o:allowincell="f" filled="f" stroked="f">
                <v:textbox>
                  <w:txbxContent>
                    <w:p w:rsidR="002B5D87" w:rsidRPr="00624158" w:rsidRDefault="002B5D87"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rsidR="002B5D87" w:rsidRPr="00624158" w:rsidRDefault="002B5D87"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JUIN 2024</w:t>
                      </w:r>
                    </w:p>
                    <w:p w:rsidR="002B5D87" w:rsidRPr="007575DF" w:rsidRDefault="002B5D87" w:rsidP="00980EF0">
                      <w:pPr>
                        <w:jc w:val="center"/>
                        <w:rPr>
                          <w:rFonts w:ascii="Century Gothic" w:eastAsia="Adobe Heiti Std R" w:hAnsi="Century Gothic" w:cs="Arial"/>
                          <w:color w:val="00A000"/>
                          <w:sz w:val="28"/>
                          <w:szCs w:val="28"/>
                        </w:rPr>
                      </w:pPr>
                    </w:p>
                  </w:txbxContent>
                </v:textbox>
              </v:shape>
            </w:pict>
          </mc:Fallback>
        </mc:AlternateContent>
      </w:r>
    </w:p>
    <w:p w:rsidR="00665ACB" w:rsidRDefault="00665ACB" w:rsidP="00AC1EE8">
      <w:pPr>
        <w:pStyle w:val="Default"/>
        <w:jc w:val="both"/>
        <w:rPr>
          <w:color w:val="FF0000"/>
        </w:rPr>
      </w:pPr>
    </w:p>
    <w:p w:rsidR="00665ACB" w:rsidRDefault="00665ACB" w:rsidP="00AC1EE8">
      <w:pPr>
        <w:pStyle w:val="Default"/>
        <w:jc w:val="both"/>
        <w:rPr>
          <w:color w:val="FF0000"/>
        </w:rPr>
      </w:pPr>
    </w:p>
    <w:p w:rsidR="00665ACB" w:rsidRDefault="00665ACB" w:rsidP="00AC1EE8">
      <w:pPr>
        <w:pStyle w:val="Default"/>
        <w:jc w:val="both"/>
        <w:rPr>
          <w:color w:val="FF0000"/>
        </w:rPr>
      </w:pPr>
    </w:p>
    <w:p w:rsidR="00DD6865" w:rsidRDefault="00DD6865" w:rsidP="00AC1EE8">
      <w:pPr>
        <w:pStyle w:val="Default"/>
        <w:jc w:val="both"/>
        <w:rPr>
          <w:color w:val="FF0000"/>
        </w:rPr>
      </w:pPr>
    </w:p>
    <w:p w:rsidR="00DD6865" w:rsidRDefault="00DD6865" w:rsidP="00AC1EE8">
      <w:pPr>
        <w:pStyle w:val="Default"/>
        <w:jc w:val="both"/>
        <w:rPr>
          <w:color w:val="FF0000"/>
        </w:rPr>
      </w:pPr>
    </w:p>
    <w:p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rsidR="00EC7CB4" w:rsidRDefault="00EC7CB4" w:rsidP="004568FE">
      <w:pPr>
        <w:pStyle w:val="Default"/>
        <w:jc w:val="both"/>
        <w:rPr>
          <w:color w:val="FF0000"/>
        </w:rPr>
      </w:pPr>
    </w:p>
    <w:p w:rsidR="00C667AF" w:rsidRPr="00F24AA7" w:rsidRDefault="00C667AF" w:rsidP="00C667AF">
      <w:pPr>
        <w:pStyle w:val="Default"/>
        <w:jc w:val="both"/>
        <w:rPr>
          <w:rStyle w:val="Lienhypertexte"/>
        </w:rPr>
      </w:pPr>
      <w:r>
        <w:rPr>
          <w:rStyle w:val="Lienhypertexte"/>
        </w:rPr>
        <w:fldChar w:fldCharType="begin"/>
      </w:r>
      <w:r>
        <w:rPr>
          <w:rStyle w:val="Lienhypertexte"/>
        </w:rPr>
        <w:instrText>HYPERLINK "https://peps.sante.gouv.fr/themes/dopage/dopage.html"</w:instrText>
      </w:r>
      <w:r>
        <w:rPr>
          <w:rStyle w:val="Lienhypertexte"/>
        </w:rPr>
        <w:fldChar w:fldCharType="separate"/>
      </w:r>
      <w:r>
        <w:rPr>
          <w:rStyle w:val="Lienhypertexte"/>
        </w:rPr>
        <w:t>Dopage</w:t>
      </w:r>
    </w:p>
    <w:p w:rsidR="00C667AF" w:rsidRDefault="00C667AF" w:rsidP="00C667AF">
      <w:pPr>
        <w:pStyle w:val="Default"/>
        <w:jc w:val="both"/>
        <w:rPr>
          <w:color w:val="538135"/>
          <w:sz w:val="20"/>
        </w:rPr>
      </w:pPr>
      <w:r>
        <w:rPr>
          <w:rStyle w:val="Lienhypertexte"/>
        </w:rPr>
        <w:fldChar w:fldCharType="end"/>
      </w:r>
      <w:r>
        <w:rPr>
          <w:color w:val="538135"/>
          <w:sz w:val="20"/>
        </w:rPr>
        <w:t xml:space="preserve">- </w:t>
      </w:r>
      <w:r w:rsidR="009B0E86" w:rsidRPr="009B0E86">
        <w:rPr>
          <w:color w:val="538135"/>
          <w:sz w:val="20"/>
        </w:rPr>
        <w:t>Arrêté du 18 juin 2024 fixant la liste des substances et méthodes dont la détention est interdite en application de l'article L. 232-26 du code du sport (NDLR : en plus des substances interdites concernées de la liste antidopage, introduction de la notion de « toute substance, produit, outil ou dispositif contribuant à la mise en œuvre d'une méthode interdite non-spécifiée identifiée sur la liste des interdictions »).</w:t>
      </w:r>
    </w:p>
    <w:p w:rsidR="009B0E86" w:rsidRDefault="009B0E86" w:rsidP="00C667AF">
      <w:pPr>
        <w:pStyle w:val="Default"/>
        <w:jc w:val="both"/>
        <w:rPr>
          <w:color w:val="538135"/>
          <w:sz w:val="20"/>
        </w:rPr>
      </w:pPr>
    </w:p>
    <w:p w:rsidR="00C667AF" w:rsidRDefault="00C667AF" w:rsidP="00C667AF">
      <w:pPr>
        <w:pStyle w:val="Default"/>
        <w:jc w:val="both"/>
        <w:rPr>
          <w:color w:val="FF0000"/>
        </w:rPr>
      </w:pPr>
    </w:p>
    <w:p w:rsidR="00C667AF" w:rsidRPr="00F24AA7" w:rsidRDefault="00C667AF" w:rsidP="00C667AF">
      <w:pPr>
        <w:pStyle w:val="Default"/>
        <w:jc w:val="both"/>
        <w:rPr>
          <w:rStyle w:val="Lienhypertexte"/>
        </w:rPr>
      </w:pPr>
      <w:r>
        <w:rPr>
          <w:rStyle w:val="Lienhypertexte"/>
        </w:rPr>
        <w:fldChar w:fldCharType="begin"/>
      </w:r>
      <w:r>
        <w:rPr>
          <w:rStyle w:val="Lienhypertexte"/>
        </w:rPr>
        <w:instrText>HYPERLINK "https://peps.sante.gouv.fr/themes/labm/labm.html"</w:instrText>
      </w:r>
      <w:r>
        <w:rPr>
          <w:rStyle w:val="Lienhypertexte"/>
        </w:rPr>
        <w:fldChar w:fldCharType="separate"/>
      </w:r>
      <w:r>
        <w:rPr>
          <w:rStyle w:val="Lienhypertexte"/>
        </w:rPr>
        <w:t>LBM</w:t>
      </w:r>
    </w:p>
    <w:p w:rsidR="00C667AF" w:rsidRDefault="00C667AF" w:rsidP="00C667AF">
      <w:pPr>
        <w:pStyle w:val="Default"/>
        <w:jc w:val="both"/>
        <w:rPr>
          <w:color w:val="538135"/>
          <w:sz w:val="20"/>
        </w:rPr>
      </w:pPr>
      <w:r>
        <w:rPr>
          <w:rStyle w:val="Lienhypertexte"/>
        </w:rPr>
        <w:fldChar w:fldCharType="end"/>
      </w:r>
      <w:r>
        <w:rPr>
          <w:color w:val="538135"/>
          <w:sz w:val="20"/>
        </w:rPr>
        <w:t>- CSP Partie législative</w:t>
      </w:r>
      <w:r w:rsidR="00284306">
        <w:rPr>
          <w:color w:val="538135"/>
          <w:sz w:val="20"/>
        </w:rPr>
        <w:t xml:space="preserve"> : </w:t>
      </w:r>
      <w:r w:rsidR="00284306" w:rsidRPr="00284306">
        <w:rPr>
          <w:color w:val="538135"/>
          <w:sz w:val="20"/>
        </w:rPr>
        <w:t>Règles liées à l'exercice de la profession de technicien de laboratoire médi</w:t>
      </w:r>
      <w:r w:rsidR="00284306">
        <w:rPr>
          <w:color w:val="538135"/>
          <w:sz w:val="20"/>
        </w:rPr>
        <w:t>cal (Articles L4352-1 à L4352-9</w:t>
      </w:r>
      <w:r w:rsidR="00284306" w:rsidRPr="00284306">
        <w:rPr>
          <w:color w:val="538135"/>
          <w:sz w:val="20"/>
        </w:rPr>
        <w:t>)</w:t>
      </w:r>
      <w:r w:rsidR="00284306">
        <w:rPr>
          <w:color w:val="538135"/>
          <w:sz w:val="20"/>
        </w:rPr>
        <w:t>.</w:t>
      </w:r>
    </w:p>
    <w:p w:rsidR="00284306" w:rsidRDefault="00284306" w:rsidP="00284306">
      <w:pPr>
        <w:pStyle w:val="Default"/>
        <w:jc w:val="both"/>
        <w:rPr>
          <w:color w:val="538135"/>
          <w:sz w:val="20"/>
        </w:rPr>
      </w:pPr>
      <w:r>
        <w:rPr>
          <w:color w:val="538135"/>
          <w:sz w:val="20"/>
        </w:rPr>
        <w:t xml:space="preserve">- CSP Partie réglementaire : </w:t>
      </w:r>
      <w:r w:rsidRPr="00284306">
        <w:rPr>
          <w:color w:val="538135"/>
          <w:sz w:val="20"/>
        </w:rPr>
        <w:t>Règles liées à l'exercice de la profession de technicien de laboratoire médi</w:t>
      </w:r>
      <w:r>
        <w:rPr>
          <w:color w:val="538135"/>
          <w:sz w:val="20"/>
        </w:rPr>
        <w:t>cal (Articles D4352-1 à R4352-13</w:t>
      </w:r>
      <w:r w:rsidRPr="00284306">
        <w:rPr>
          <w:color w:val="538135"/>
          <w:sz w:val="20"/>
        </w:rPr>
        <w:t>)</w:t>
      </w:r>
      <w:r>
        <w:rPr>
          <w:color w:val="538135"/>
          <w:sz w:val="20"/>
        </w:rPr>
        <w:t>.</w:t>
      </w:r>
    </w:p>
    <w:p w:rsidR="00284306" w:rsidRDefault="00284306" w:rsidP="00284306">
      <w:pPr>
        <w:pStyle w:val="Default"/>
        <w:jc w:val="both"/>
        <w:rPr>
          <w:color w:val="538135"/>
          <w:sz w:val="20"/>
        </w:rPr>
      </w:pPr>
      <w:r>
        <w:rPr>
          <w:color w:val="538135"/>
          <w:sz w:val="20"/>
        </w:rPr>
        <w:t xml:space="preserve">- </w:t>
      </w:r>
      <w:r w:rsidRPr="00284306">
        <w:rPr>
          <w:color w:val="538135"/>
          <w:sz w:val="20"/>
        </w:rPr>
        <w:t>Une position du 21 mai 2024 de la section G de l’ordre des pharmaciens considérant qu’un biologiste en situation de cumul emploi-retraite ne peut pas exercer comme biologiste responsable au sein d’un LBM</w:t>
      </w:r>
      <w:r>
        <w:rPr>
          <w:color w:val="538135"/>
          <w:sz w:val="20"/>
        </w:rPr>
        <w:t>.</w:t>
      </w:r>
    </w:p>
    <w:p w:rsidR="00284306" w:rsidRDefault="00284306" w:rsidP="00284306">
      <w:pPr>
        <w:pStyle w:val="Default"/>
        <w:jc w:val="both"/>
        <w:rPr>
          <w:color w:val="538135"/>
          <w:sz w:val="20"/>
        </w:rPr>
      </w:pPr>
      <w:r>
        <w:rPr>
          <w:color w:val="538135"/>
          <w:sz w:val="20"/>
        </w:rPr>
        <w:t xml:space="preserve">- </w:t>
      </w:r>
      <w:r w:rsidRPr="00284306">
        <w:rPr>
          <w:color w:val="538135"/>
          <w:sz w:val="20"/>
        </w:rPr>
        <w:t>Décision du conseil d’Etat du 24/05/2024 concernant la nomination d'un médecin spécialisé en anatomie et cytologie pathologiques comme coresponsable du laboratoire: « Un médecin spécialiste qualifié en anatomie et cytologie pathologiques peut être désigné comme coresponsable d’un laboratoire de biologie médicale privé, alors même qu’il ne peut en être le représentant légal, qualité qu’une telle désignation ne lui confère pas. »</w:t>
      </w:r>
    </w:p>
    <w:p w:rsidR="00284306" w:rsidRDefault="00284306" w:rsidP="00284306">
      <w:pPr>
        <w:pStyle w:val="Default"/>
        <w:jc w:val="both"/>
        <w:rPr>
          <w:color w:val="538135"/>
          <w:sz w:val="20"/>
        </w:rPr>
      </w:pPr>
      <w:r>
        <w:rPr>
          <w:color w:val="538135"/>
          <w:sz w:val="20"/>
        </w:rPr>
        <w:t xml:space="preserve">- </w:t>
      </w:r>
      <w:r w:rsidRPr="00284306">
        <w:rPr>
          <w:color w:val="538135"/>
          <w:sz w:val="20"/>
        </w:rPr>
        <w:t>Référentiel d’activités - Diplôme d’Etat Technicien de laboratoire médical – consolidé le 14 mars 2012 Ministère du Travail, de l’Emploi et de la Santé</w:t>
      </w:r>
      <w:r>
        <w:rPr>
          <w:color w:val="538135"/>
          <w:sz w:val="20"/>
        </w:rPr>
        <w:t>.</w:t>
      </w:r>
    </w:p>
    <w:p w:rsidR="00284306" w:rsidRDefault="00774E1C" w:rsidP="00284306">
      <w:pPr>
        <w:pStyle w:val="Default"/>
        <w:jc w:val="both"/>
        <w:rPr>
          <w:color w:val="538135"/>
          <w:sz w:val="20"/>
        </w:rPr>
      </w:pPr>
      <w:r>
        <w:rPr>
          <w:color w:val="538135"/>
          <w:sz w:val="20"/>
        </w:rPr>
        <w:t xml:space="preserve">- </w:t>
      </w:r>
      <w:r w:rsidRPr="00774E1C">
        <w:rPr>
          <w:color w:val="538135"/>
          <w:sz w:val="20"/>
        </w:rPr>
        <w:t>Question au Sénat concernant la biologie délocalisée (question du 18/05/2023, réponse du 19/03/2024). NdlR : dans sa réponse, le ministère prévoit de nouvelles consultations au 3</w:t>
      </w:r>
      <w:r w:rsidRPr="00774E1C">
        <w:rPr>
          <w:color w:val="538135"/>
          <w:sz w:val="20"/>
          <w:vertAlign w:val="superscript"/>
        </w:rPr>
        <w:t>ème</w:t>
      </w:r>
      <w:r>
        <w:rPr>
          <w:color w:val="538135"/>
          <w:sz w:val="20"/>
        </w:rPr>
        <w:t xml:space="preserve"> </w:t>
      </w:r>
      <w:r w:rsidRPr="00774E1C">
        <w:rPr>
          <w:color w:val="538135"/>
          <w:sz w:val="20"/>
        </w:rPr>
        <w:t>trimestre 2024</w:t>
      </w:r>
      <w:r>
        <w:rPr>
          <w:color w:val="538135"/>
          <w:sz w:val="20"/>
        </w:rPr>
        <w:t>.</w:t>
      </w:r>
    </w:p>
    <w:p w:rsidR="002D5A0E" w:rsidRPr="002D5A0E" w:rsidRDefault="002D5A0E" w:rsidP="002D5A0E">
      <w:pPr>
        <w:pStyle w:val="Default"/>
        <w:jc w:val="both"/>
        <w:rPr>
          <w:color w:val="538135"/>
          <w:sz w:val="20"/>
        </w:rPr>
      </w:pPr>
      <w:r>
        <w:rPr>
          <w:color w:val="538135"/>
          <w:sz w:val="20"/>
        </w:rPr>
        <w:t xml:space="preserve">- </w:t>
      </w:r>
      <w:r w:rsidRPr="002D5A0E">
        <w:rPr>
          <w:color w:val="538135"/>
          <w:sz w:val="20"/>
        </w:rPr>
        <w:t>Décision en appel prise par la chambre de discipline du CNOP sanctionnant un biologiste et la SELAS exploitant le LBM pour rétribution d’IDE libérales pour les prélèvements qu’elles lui transmettaient (audience du 27 février 2024).</w:t>
      </w:r>
    </w:p>
    <w:p w:rsidR="002D5A0E" w:rsidRDefault="002D5A0E" w:rsidP="002D5A0E">
      <w:pPr>
        <w:pStyle w:val="Default"/>
        <w:jc w:val="both"/>
        <w:rPr>
          <w:color w:val="538135"/>
          <w:sz w:val="20"/>
        </w:rPr>
      </w:pPr>
      <w:r w:rsidRPr="002D5A0E">
        <w:rPr>
          <w:color w:val="538135"/>
          <w:sz w:val="20"/>
        </w:rPr>
        <w:t>Décision de première instance de la section G (18/01/2023)</w:t>
      </w:r>
      <w:r>
        <w:rPr>
          <w:color w:val="538135"/>
          <w:sz w:val="20"/>
        </w:rPr>
        <w:t>.</w:t>
      </w:r>
    </w:p>
    <w:p w:rsidR="00774E1C" w:rsidRDefault="002E6031" w:rsidP="00284306">
      <w:pPr>
        <w:pStyle w:val="Default"/>
        <w:jc w:val="both"/>
        <w:rPr>
          <w:color w:val="538135"/>
          <w:sz w:val="20"/>
        </w:rPr>
      </w:pPr>
      <w:r>
        <w:rPr>
          <w:color w:val="538135"/>
          <w:sz w:val="20"/>
        </w:rPr>
        <w:t xml:space="preserve">- </w:t>
      </w:r>
      <w:r w:rsidR="00636F1D" w:rsidRPr="00636F1D">
        <w:rPr>
          <w:color w:val="538135"/>
          <w:sz w:val="20"/>
        </w:rPr>
        <w:t>Séminaire Biologie médicale du 1er février 2024</w:t>
      </w:r>
    </w:p>
    <w:p w:rsidR="002E6031" w:rsidRPr="002E6031" w:rsidRDefault="002E6031" w:rsidP="002E6031">
      <w:pPr>
        <w:pStyle w:val="Default"/>
        <w:numPr>
          <w:ilvl w:val="0"/>
          <w:numId w:val="25"/>
        </w:numPr>
        <w:jc w:val="both"/>
        <w:rPr>
          <w:color w:val="538135"/>
          <w:sz w:val="20"/>
        </w:rPr>
      </w:pPr>
      <w:r w:rsidRPr="002E6031">
        <w:rPr>
          <w:color w:val="538135"/>
          <w:sz w:val="20"/>
        </w:rPr>
        <w:t>Compte-rendu Journée du 1</w:t>
      </w:r>
      <w:r w:rsidRPr="00636F1D">
        <w:rPr>
          <w:color w:val="538135"/>
          <w:sz w:val="20"/>
          <w:vertAlign w:val="superscript"/>
        </w:rPr>
        <w:t>er</w:t>
      </w:r>
      <w:r w:rsidR="00636F1D">
        <w:rPr>
          <w:color w:val="538135"/>
          <w:sz w:val="20"/>
        </w:rPr>
        <w:t xml:space="preserve"> </w:t>
      </w:r>
      <w:r w:rsidRPr="002E6031">
        <w:rPr>
          <w:color w:val="538135"/>
          <w:sz w:val="20"/>
        </w:rPr>
        <w:t>février 2024.</w:t>
      </w:r>
    </w:p>
    <w:p w:rsidR="002E6031" w:rsidRPr="002E6031" w:rsidRDefault="002E6031" w:rsidP="002E6031">
      <w:pPr>
        <w:pStyle w:val="Default"/>
        <w:numPr>
          <w:ilvl w:val="0"/>
          <w:numId w:val="25"/>
        </w:numPr>
        <w:jc w:val="both"/>
        <w:rPr>
          <w:color w:val="538135"/>
          <w:sz w:val="20"/>
        </w:rPr>
      </w:pPr>
      <w:r w:rsidRPr="002E6031">
        <w:rPr>
          <w:color w:val="538135"/>
          <w:sz w:val="20"/>
        </w:rPr>
        <w:t>Supports de présentation :</w:t>
      </w:r>
    </w:p>
    <w:p w:rsidR="002E6031" w:rsidRPr="002E6031" w:rsidRDefault="002E6031" w:rsidP="002E6031">
      <w:pPr>
        <w:pStyle w:val="Default"/>
        <w:numPr>
          <w:ilvl w:val="1"/>
          <w:numId w:val="25"/>
        </w:numPr>
        <w:jc w:val="both"/>
        <w:rPr>
          <w:color w:val="538135"/>
          <w:sz w:val="20"/>
        </w:rPr>
      </w:pPr>
      <w:r w:rsidRPr="002E6031">
        <w:rPr>
          <w:color w:val="538135"/>
          <w:sz w:val="20"/>
        </w:rPr>
        <w:t>DGOS/Bureau PF4 : Présentation de la réforme du référentiel des actes innovants hors nomenclature</w:t>
      </w:r>
    </w:p>
    <w:p w:rsidR="002E6031" w:rsidRPr="002E6031" w:rsidRDefault="002E6031" w:rsidP="002E6031">
      <w:pPr>
        <w:pStyle w:val="Default"/>
        <w:numPr>
          <w:ilvl w:val="1"/>
          <w:numId w:val="25"/>
        </w:numPr>
        <w:jc w:val="both"/>
        <w:rPr>
          <w:color w:val="538135"/>
          <w:sz w:val="20"/>
        </w:rPr>
      </w:pPr>
      <w:r w:rsidRPr="002E6031">
        <w:rPr>
          <w:color w:val="538135"/>
          <w:sz w:val="20"/>
        </w:rPr>
        <w:t>Présentation DSS - Protocole d’accord sur la biologie médicale 2024-2026</w:t>
      </w:r>
    </w:p>
    <w:p w:rsidR="002E6031" w:rsidRPr="002E6031" w:rsidRDefault="002E6031" w:rsidP="002E6031">
      <w:pPr>
        <w:pStyle w:val="Default"/>
        <w:numPr>
          <w:ilvl w:val="1"/>
          <w:numId w:val="25"/>
        </w:numPr>
        <w:jc w:val="both"/>
        <w:rPr>
          <w:color w:val="538135"/>
          <w:sz w:val="20"/>
        </w:rPr>
      </w:pPr>
      <w:r w:rsidRPr="002E6031">
        <w:rPr>
          <w:color w:val="538135"/>
          <w:sz w:val="20"/>
        </w:rPr>
        <w:t>Présentation COFRAC</w:t>
      </w:r>
    </w:p>
    <w:p w:rsidR="002E6031" w:rsidRPr="002E6031" w:rsidRDefault="002E6031" w:rsidP="002E6031">
      <w:pPr>
        <w:pStyle w:val="Default"/>
        <w:numPr>
          <w:ilvl w:val="1"/>
          <w:numId w:val="25"/>
        </w:numPr>
        <w:jc w:val="both"/>
        <w:rPr>
          <w:color w:val="538135"/>
          <w:sz w:val="20"/>
        </w:rPr>
      </w:pPr>
      <w:r w:rsidRPr="002E6031">
        <w:rPr>
          <w:color w:val="538135"/>
          <w:sz w:val="20"/>
        </w:rPr>
        <w:t>Présentation bureau DGOS R3</w:t>
      </w:r>
    </w:p>
    <w:p w:rsidR="002E6031" w:rsidRPr="002E6031" w:rsidRDefault="002E6031" w:rsidP="002E6031">
      <w:pPr>
        <w:pStyle w:val="Default"/>
        <w:numPr>
          <w:ilvl w:val="1"/>
          <w:numId w:val="25"/>
        </w:numPr>
        <w:jc w:val="both"/>
        <w:rPr>
          <w:color w:val="538135"/>
          <w:sz w:val="20"/>
        </w:rPr>
      </w:pPr>
      <w:r w:rsidRPr="002E6031">
        <w:rPr>
          <w:color w:val="538135"/>
          <w:sz w:val="20"/>
        </w:rPr>
        <w:t>Présentation bureau DGS PP1</w:t>
      </w:r>
    </w:p>
    <w:p w:rsidR="002E6031" w:rsidRPr="002E6031" w:rsidRDefault="002E6031" w:rsidP="002E6031">
      <w:pPr>
        <w:pStyle w:val="Default"/>
        <w:numPr>
          <w:ilvl w:val="1"/>
          <w:numId w:val="25"/>
        </w:numPr>
        <w:jc w:val="both"/>
        <w:rPr>
          <w:color w:val="538135"/>
          <w:sz w:val="20"/>
        </w:rPr>
      </w:pPr>
      <w:r w:rsidRPr="002E6031">
        <w:rPr>
          <w:color w:val="538135"/>
          <w:sz w:val="20"/>
        </w:rPr>
        <w:lastRenderedPageBreak/>
        <w:t>Présentation Anatomie Pathologique</w:t>
      </w:r>
    </w:p>
    <w:p w:rsidR="002E6031" w:rsidRPr="002E6031" w:rsidRDefault="002E6031" w:rsidP="002E6031">
      <w:pPr>
        <w:pStyle w:val="Default"/>
        <w:numPr>
          <w:ilvl w:val="0"/>
          <w:numId w:val="25"/>
        </w:numPr>
        <w:jc w:val="both"/>
        <w:rPr>
          <w:color w:val="538135"/>
          <w:sz w:val="20"/>
        </w:rPr>
      </w:pPr>
      <w:r w:rsidRPr="002E6031">
        <w:rPr>
          <w:color w:val="538135"/>
          <w:sz w:val="20"/>
        </w:rPr>
        <w:t>Note DGS/DGOS/DSS à l’attention du ministre de la santé et de la prévention du 16 mai 2023 concernant l’état des lieux de la réforme de la biologie médicale et ses annexes :</w:t>
      </w:r>
    </w:p>
    <w:p w:rsidR="002E6031" w:rsidRPr="002E6031" w:rsidRDefault="002E6031" w:rsidP="002E6031">
      <w:pPr>
        <w:pStyle w:val="Default"/>
        <w:numPr>
          <w:ilvl w:val="1"/>
          <w:numId w:val="25"/>
        </w:numPr>
        <w:jc w:val="both"/>
        <w:rPr>
          <w:color w:val="538135"/>
          <w:sz w:val="20"/>
        </w:rPr>
      </w:pPr>
      <w:r w:rsidRPr="002E6031">
        <w:rPr>
          <w:color w:val="538135"/>
          <w:sz w:val="20"/>
        </w:rPr>
        <w:t>PJ 1 : Fiche "Promouvoir la biologie médicale"</w:t>
      </w:r>
    </w:p>
    <w:p w:rsidR="002E6031" w:rsidRPr="002E6031" w:rsidRDefault="002E6031" w:rsidP="002E6031">
      <w:pPr>
        <w:pStyle w:val="Default"/>
        <w:numPr>
          <w:ilvl w:val="1"/>
          <w:numId w:val="25"/>
        </w:numPr>
        <w:jc w:val="both"/>
        <w:rPr>
          <w:color w:val="538135"/>
          <w:sz w:val="20"/>
        </w:rPr>
      </w:pPr>
      <w:r w:rsidRPr="002E6031">
        <w:rPr>
          <w:color w:val="538135"/>
          <w:sz w:val="20"/>
        </w:rPr>
        <w:t>PJ 2 : Dossier biologie médicale DGOS 2022 à l'attention du ministre</w:t>
      </w:r>
    </w:p>
    <w:p w:rsidR="002E6031" w:rsidRPr="002E6031" w:rsidRDefault="002E6031" w:rsidP="002E6031">
      <w:pPr>
        <w:pStyle w:val="Default"/>
        <w:numPr>
          <w:ilvl w:val="1"/>
          <w:numId w:val="25"/>
        </w:numPr>
        <w:jc w:val="both"/>
        <w:rPr>
          <w:color w:val="538135"/>
          <w:sz w:val="20"/>
        </w:rPr>
      </w:pPr>
      <w:r w:rsidRPr="002E6031">
        <w:rPr>
          <w:color w:val="538135"/>
          <w:sz w:val="20"/>
        </w:rPr>
        <w:t>PJ 3 : Fiche "Mener une réorganisation structurelle du secteur de la biologie"</w:t>
      </w:r>
    </w:p>
    <w:p w:rsidR="002E6031" w:rsidRPr="002E6031" w:rsidRDefault="002E6031" w:rsidP="002E6031">
      <w:pPr>
        <w:pStyle w:val="Default"/>
        <w:numPr>
          <w:ilvl w:val="1"/>
          <w:numId w:val="25"/>
        </w:numPr>
        <w:jc w:val="both"/>
        <w:rPr>
          <w:color w:val="538135"/>
          <w:sz w:val="20"/>
        </w:rPr>
      </w:pPr>
      <w:r w:rsidRPr="002E6031">
        <w:rPr>
          <w:color w:val="538135"/>
          <w:sz w:val="20"/>
        </w:rPr>
        <w:t>Projet de lettre de mission conjointe IGAS/IGF relative à la réforme de la biologie médicale</w:t>
      </w:r>
    </w:p>
    <w:p w:rsidR="002E6031" w:rsidRDefault="002E6031" w:rsidP="00127D8C">
      <w:pPr>
        <w:pStyle w:val="Default"/>
        <w:numPr>
          <w:ilvl w:val="0"/>
          <w:numId w:val="25"/>
        </w:numPr>
        <w:jc w:val="both"/>
        <w:rPr>
          <w:color w:val="538135"/>
          <w:sz w:val="20"/>
        </w:rPr>
      </w:pPr>
      <w:r w:rsidRPr="002E6031">
        <w:rPr>
          <w:color w:val="538135"/>
          <w:sz w:val="20"/>
        </w:rPr>
        <w:t>Synthèse des retours sur la journée des référents ARS.</w:t>
      </w:r>
    </w:p>
    <w:p w:rsidR="00284306" w:rsidRDefault="00284306" w:rsidP="00C667AF">
      <w:pPr>
        <w:pStyle w:val="Default"/>
        <w:jc w:val="both"/>
        <w:rPr>
          <w:color w:val="538135"/>
          <w:sz w:val="20"/>
        </w:rPr>
      </w:pPr>
    </w:p>
    <w:p w:rsidR="00C667AF" w:rsidRPr="00127D8C" w:rsidRDefault="00C667AF" w:rsidP="00C667AF">
      <w:pPr>
        <w:pStyle w:val="Default"/>
        <w:jc w:val="both"/>
        <w:rPr>
          <w:color w:val="538135"/>
          <w:sz w:val="20"/>
        </w:rPr>
      </w:pPr>
    </w:p>
    <w:p w:rsidR="00590A97" w:rsidRPr="00F24AA7" w:rsidRDefault="00590A97" w:rsidP="00590A97">
      <w:pPr>
        <w:pStyle w:val="Default"/>
        <w:jc w:val="both"/>
        <w:rPr>
          <w:rStyle w:val="Lienhypertexte"/>
        </w:rPr>
      </w:pPr>
      <w:r>
        <w:rPr>
          <w:rStyle w:val="Lienhypertexte"/>
        </w:rPr>
        <w:fldChar w:fldCharType="begin"/>
      </w:r>
      <w:r>
        <w:rPr>
          <w:rStyle w:val="Lienhypertexte"/>
        </w:rPr>
        <w:instrText>HYPERLINK "https://peps.sante.gouv.fr/themes/missions/missions.html"</w:instrText>
      </w:r>
      <w:r>
        <w:rPr>
          <w:rStyle w:val="Lienhypertexte"/>
        </w:rPr>
        <w:fldChar w:fldCharType="separate"/>
      </w:r>
      <w:r>
        <w:rPr>
          <w:rStyle w:val="Lienhypertexte"/>
        </w:rPr>
        <w:t>N</w:t>
      </w:r>
      <w:r w:rsidRPr="00590A97">
        <w:rPr>
          <w:rStyle w:val="Lienhypertexte"/>
        </w:rPr>
        <w:t>ouvelles missions du pharmacien d'officine</w:t>
      </w:r>
    </w:p>
    <w:p w:rsidR="00590A97" w:rsidRPr="00590A97" w:rsidRDefault="00590A97" w:rsidP="00590A97">
      <w:pPr>
        <w:pStyle w:val="Default"/>
        <w:jc w:val="both"/>
        <w:rPr>
          <w:color w:val="538135"/>
          <w:sz w:val="20"/>
        </w:rPr>
      </w:pPr>
      <w:r>
        <w:rPr>
          <w:rStyle w:val="Lienhypertexte"/>
        </w:rPr>
        <w:fldChar w:fldCharType="end"/>
      </w:r>
      <w:r>
        <w:rPr>
          <w:color w:val="538135"/>
          <w:sz w:val="20"/>
        </w:rPr>
        <w:t xml:space="preserve">- </w:t>
      </w:r>
      <w:r w:rsidRPr="00590A97">
        <w:rPr>
          <w:color w:val="538135"/>
          <w:sz w:val="20"/>
        </w:rPr>
        <w:t>Version consolidée de l’arrêté modifié du 1er août 2016 déterminant la liste des tests, recueils et traitements de signaux biologiques qui ne constituent pas un examen de biologie médicale, les catégories de personnes pouvant les réaliser et les conditions de réalisation de certains de ces tests, recueils et traitements de signaux biologiques.</w:t>
      </w:r>
    </w:p>
    <w:p w:rsidR="00590A97" w:rsidRDefault="00590A97" w:rsidP="00590A97">
      <w:pPr>
        <w:pStyle w:val="Default"/>
        <w:jc w:val="both"/>
        <w:rPr>
          <w:color w:val="538135"/>
          <w:sz w:val="20"/>
        </w:rPr>
      </w:pPr>
      <w:r w:rsidRPr="00590A97">
        <w:rPr>
          <w:color w:val="538135"/>
          <w:sz w:val="20"/>
        </w:rPr>
        <w:t>La dernière modification, introduite par arrêté du 21 mai 2024, inscrit dans le droit commun la réalisation des TROD COVID-19 par les pharmaciens d'officine, qui avait été autorisée à titre dérogatoire dans le contexte de la crise sanitaire de la COVID-19 ; étend également l’autorisation des pharmaciens à réaliser les TROD des infections à VRS, seuls ou combinés aux TROD grippe et/ou COVID-19, quel que soit le type de prélèvement.</w:t>
      </w:r>
    </w:p>
    <w:p w:rsidR="00590A97" w:rsidRPr="00590A97" w:rsidRDefault="00590A97" w:rsidP="00590A97">
      <w:pPr>
        <w:pStyle w:val="Default"/>
        <w:jc w:val="both"/>
        <w:rPr>
          <w:color w:val="538135"/>
          <w:sz w:val="20"/>
        </w:rPr>
      </w:pPr>
      <w:r>
        <w:rPr>
          <w:color w:val="538135"/>
          <w:sz w:val="20"/>
        </w:rPr>
        <w:t xml:space="preserve">- </w:t>
      </w:r>
      <w:r w:rsidRPr="00590A97">
        <w:rPr>
          <w:color w:val="538135"/>
          <w:sz w:val="20"/>
        </w:rPr>
        <w:t>Arrêté du 6 mars 2020 relatif à l'autorisation du protocole de coopération « Prise en charge de l'odynophagie par l'infirmier diplômé d'État ou le pharmacien d'officine dans le cadre d'une structure pluri-professionnelle »</w:t>
      </w:r>
    </w:p>
    <w:p w:rsidR="00590A97" w:rsidRPr="00590A97" w:rsidRDefault="00590A97" w:rsidP="00590A97">
      <w:pPr>
        <w:pStyle w:val="Default"/>
        <w:jc w:val="both"/>
        <w:rPr>
          <w:color w:val="538135"/>
          <w:sz w:val="20"/>
        </w:rPr>
      </w:pPr>
      <w:r w:rsidRPr="00590A97">
        <w:rPr>
          <w:color w:val="538135"/>
          <w:sz w:val="20"/>
        </w:rPr>
        <w:t xml:space="preserve"> Remplacé par l’arrêté du 9 mars 2023 relatif à l’autorisation du protocole de coopération « prise en charge par le pharmacien d’officine ou l’infirmer des patients de 6 et 45 ans se présentant pour une odynophagie (douleur de gorge ressentie et augmentée lors de la déglutition) dans le cadre d’une structure d’exercice coordonné ou d’une communauté professionnelle territoriale de santé (CPTS) », modifié par l'arrêté du 17 août 2023 modifiant les arrêtés du 9 mars 2023 relatifs à l'autorisation du protocole de coopération « Prise en charge par le pharmacien d'officine ou l'infirmier diplômé d'Etat de la pollakiurie et des brûlures mictionnelles non fébriles chez la femme de 16 à 65 ans dans le cadre d'une structure d'exercice coordonné ou d'une communauté professionnelle territoriale de santé (CPTS) » et à l'autorisation du protocole de coopération « Prise en charge par le pharmacien d'officine ou l'infirmier des patients de 6 à 45 ans se présentant pour odynophagie (douleur de gorge ressentie ou augmentée lors de la déglutition) dans le cadre d'une structure d'exercice coordonné ou d'une communauté professionnelle territoriale de santé (CPTS) ».</w:t>
      </w:r>
    </w:p>
    <w:p w:rsidR="00590A97" w:rsidRPr="00590A97" w:rsidRDefault="00590A97" w:rsidP="00590A97">
      <w:pPr>
        <w:pStyle w:val="Default"/>
        <w:jc w:val="both"/>
        <w:rPr>
          <w:color w:val="538135"/>
          <w:sz w:val="20"/>
        </w:rPr>
      </w:pPr>
      <w:r w:rsidRPr="00590A97">
        <w:rPr>
          <w:color w:val="538135"/>
          <w:sz w:val="20"/>
        </w:rPr>
        <w:t xml:space="preserve"> Le protocole Prise en charge par le pharmacien d’officine ou l’infirmier des patients de 6 à 50 ans se présentant pour odynophagie (douleur de gorge ressentie ou augmentée lors de la déglutition) dans le cadre d’une structure d’exercice coordonné ou d’une communauté professionnelle territoriale de santé (CPTS) sur le site internet du ministère chargé de la santé (mars 2023)</w:t>
      </w:r>
    </w:p>
    <w:p w:rsidR="00590A97" w:rsidRDefault="00590A97" w:rsidP="00590A97">
      <w:pPr>
        <w:pStyle w:val="Default"/>
        <w:jc w:val="both"/>
        <w:rPr>
          <w:color w:val="538135"/>
          <w:sz w:val="20"/>
        </w:rPr>
      </w:pPr>
      <w:r w:rsidRPr="00590A97">
        <w:rPr>
          <w:color w:val="538135"/>
          <w:sz w:val="20"/>
        </w:rPr>
        <w:t xml:space="preserve"> Texte abrogé par : Arrêté du 17 juin 2024 relatif au protocole de coopération « Prise en charge par l'infirmier des patients de 6 à 50 ans se présentant pour odynophagie (douleur de gorge ressentie ou augmentée lors de la déglutition) dans le cadre d'une structure d'exercice coordonné ou d'une communauté professionnelle territoriale de santé (CPTS) »</w:t>
      </w:r>
    </w:p>
    <w:p w:rsidR="00590A97" w:rsidRPr="00590A97" w:rsidRDefault="00590A97" w:rsidP="00590A97">
      <w:pPr>
        <w:pStyle w:val="Default"/>
        <w:jc w:val="both"/>
        <w:rPr>
          <w:color w:val="538135"/>
          <w:sz w:val="20"/>
        </w:rPr>
      </w:pPr>
      <w:r>
        <w:rPr>
          <w:color w:val="538135"/>
          <w:sz w:val="20"/>
        </w:rPr>
        <w:t xml:space="preserve">- </w:t>
      </w:r>
      <w:r w:rsidRPr="00590A97">
        <w:rPr>
          <w:color w:val="538135"/>
          <w:sz w:val="20"/>
        </w:rPr>
        <w:t>Arrêté du 6 mars 2020 relatif à l'autorisation du protocole de coopération « Prise en charge de la pollakiurie et de la brûlure mictionnelle chez la femme de 16 à 65 ans par l'infirmier diplômé d'État et le pharmacien d'officine dans le cadre d'une structure pluri-professionnelle »</w:t>
      </w:r>
    </w:p>
    <w:p w:rsidR="00590A97" w:rsidRPr="00590A97" w:rsidRDefault="00590A97" w:rsidP="00590A97">
      <w:pPr>
        <w:pStyle w:val="Default"/>
        <w:jc w:val="both"/>
        <w:rPr>
          <w:color w:val="538135"/>
          <w:sz w:val="20"/>
        </w:rPr>
      </w:pPr>
      <w:r w:rsidRPr="00590A97">
        <w:rPr>
          <w:color w:val="538135"/>
          <w:sz w:val="20"/>
        </w:rPr>
        <w:t xml:space="preserve"> Remplacé par l’arrêté du 9 mars 2023 relatif à l'autorisation du protocole de coopération « Prise en charge par le pharmacien d'officine ou l'infirmier diplômé d'Etat de la pollakiurie et des brûlures mictionnelles non fébriles chez la femme de 16 à 65 ans dans le cadre d'une structure d'exercice coordonné ou d'une communauté professionnelle territoriale de santé (CPTS) », complété par l'arrêté du 17 août 2023 modifiant les arrêtés du 9 mars 2023 relatifs à l'autorisation du protocole de coopération « Prise en charge par le pharmacien d'officine ou l'infirmier diplômé d'Etat de la pollakiurie et des brûlures mictionnelles non fébriles chez la femme de 16 à 65 ans dans le cadre d'une structure d'exercice coordonné ou d'une communauté professionnelle territoriale de santé (CPTS) » et à l'autorisation du protocole de coopération « Prise en charge par le pharmacien d'officine ou l'infirmier des patients de 6 à 45 ans se présentant pour odynophagie (douleur de gorge ressentie ou augmentée lors de la déglutition) dans le cadre d'une structure d'exercice coordonné ou d'une communauté professionnelle territoriale de santé (CPTS) ».</w:t>
      </w:r>
    </w:p>
    <w:p w:rsidR="00590A97" w:rsidRPr="00590A97" w:rsidRDefault="00590A97" w:rsidP="00590A97">
      <w:pPr>
        <w:pStyle w:val="Default"/>
        <w:jc w:val="both"/>
        <w:rPr>
          <w:color w:val="538135"/>
          <w:sz w:val="20"/>
        </w:rPr>
      </w:pPr>
      <w:r w:rsidRPr="00590A97">
        <w:rPr>
          <w:color w:val="538135"/>
          <w:sz w:val="20"/>
        </w:rPr>
        <w:t xml:space="preserve"> Le protocole Prise en charge par le pharmacien d’officine ou l’infirmier diplômé d’Etat de la pollakiurie et des brûlures mictionnelles non fébriles chez la femme de 16 à 65 ans dans le cadre d’une structure d’exercice coordonné ou d’une communauté professionnelle territoriale de santé (CPTS) sur le site internet du ministère chargé de la santé (mars 2023)</w:t>
      </w:r>
    </w:p>
    <w:p w:rsidR="00590A97" w:rsidRDefault="00590A97" w:rsidP="00590A97">
      <w:pPr>
        <w:pStyle w:val="Default"/>
        <w:jc w:val="both"/>
        <w:rPr>
          <w:color w:val="538135"/>
          <w:sz w:val="20"/>
        </w:rPr>
      </w:pPr>
      <w:r w:rsidRPr="00590A97">
        <w:rPr>
          <w:color w:val="538135"/>
          <w:sz w:val="20"/>
        </w:rPr>
        <w:t xml:space="preserve"> Texte abrogé par : Arrêté du 17 juin 2024 relatif au protocole de coopération « Prise en charge par l'infirmier diplômé d'Etat de la pollakiurie et des brûlures mictionnelles non fébriles chez la femme de 16 à 65 ans dans le cadre d'une structure d'exercice coordonné ou d'une communauté professionnelle territoriale de santé (CPTS) »</w:t>
      </w:r>
    </w:p>
    <w:p w:rsidR="00590A97" w:rsidRPr="00590A97" w:rsidRDefault="00590A97" w:rsidP="00590A97">
      <w:pPr>
        <w:pStyle w:val="Default"/>
        <w:jc w:val="both"/>
        <w:rPr>
          <w:color w:val="538135"/>
          <w:sz w:val="20"/>
        </w:rPr>
      </w:pPr>
      <w:r>
        <w:rPr>
          <w:color w:val="538135"/>
          <w:sz w:val="20"/>
        </w:rPr>
        <w:lastRenderedPageBreak/>
        <w:t xml:space="preserve">- </w:t>
      </w:r>
      <w:r w:rsidRPr="00590A97">
        <w:rPr>
          <w:color w:val="538135"/>
          <w:sz w:val="20"/>
        </w:rPr>
        <w:t>Délivrance sans ordonnance de certains médicaments après réalisation d'un test rapide d'orientation diagnostique par les pharmaciens d'officine :</w:t>
      </w:r>
    </w:p>
    <w:p w:rsidR="00590A97" w:rsidRPr="00590A97" w:rsidRDefault="00590A97" w:rsidP="00590A97">
      <w:pPr>
        <w:pStyle w:val="Default"/>
        <w:numPr>
          <w:ilvl w:val="0"/>
          <w:numId w:val="24"/>
        </w:numPr>
        <w:jc w:val="both"/>
        <w:rPr>
          <w:color w:val="538135"/>
          <w:sz w:val="20"/>
        </w:rPr>
      </w:pPr>
      <w:r w:rsidRPr="00590A97">
        <w:rPr>
          <w:color w:val="538135"/>
          <w:sz w:val="20"/>
        </w:rPr>
        <w:t>Décret n° 2024-550 du 17 juin 2024 relatif à la délivrance sans ordonnance de certains médicaments, après réalisation d'un test rapide d'orientation diagnostique par les pharmaciens d'officine</w:t>
      </w:r>
    </w:p>
    <w:p w:rsidR="00590A97" w:rsidRPr="00590A97" w:rsidRDefault="00590A97" w:rsidP="00590A97">
      <w:pPr>
        <w:pStyle w:val="Default"/>
        <w:numPr>
          <w:ilvl w:val="0"/>
          <w:numId w:val="24"/>
        </w:numPr>
        <w:jc w:val="both"/>
        <w:rPr>
          <w:color w:val="538135"/>
          <w:sz w:val="20"/>
        </w:rPr>
      </w:pPr>
      <w:r w:rsidRPr="00590A97">
        <w:rPr>
          <w:color w:val="538135"/>
          <w:sz w:val="20"/>
        </w:rPr>
        <w:t>Arrêté du 17 juin 2024 relatif à la tarification des prestations effectuées par les pharmaciens mentionnée au 16° de l'article L. 162-16-1 du code de la sécurité sociale conformément à l'article 52 loi n° 2023-1250 de la loi du 26 décembre 2023 de financement de la sécurité sociale pour 2024 (10€ pour le TROD seul, 15€ avec dispensation du médicament)</w:t>
      </w:r>
    </w:p>
    <w:p w:rsidR="00590A97" w:rsidRDefault="00590A97" w:rsidP="00590A97">
      <w:pPr>
        <w:pStyle w:val="Default"/>
        <w:numPr>
          <w:ilvl w:val="0"/>
          <w:numId w:val="24"/>
        </w:numPr>
        <w:jc w:val="both"/>
        <w:rPr>
          <w:color w:val="538135"/>
          <w:sz w:val="20"/>
        </w:rPr>
      </w:pPr>
      <w:r w:rsidRPr="00590A97">
        <w:rPr>
          <w:color w:val="538135"/>
          <w:sz w:val="20"/>
        </w:rPr>
        <w:t>Arrêté du 17 juin 2024 fixant les modalités de délivrance de médicaments sans ordonnance après la réalisation d'un test rapide d'orientation diagnostique, les modalités de formation spécifique des pharmaciens d'officine en la matière et précisant les conditions de recours à une ordonnance de dispensation conditionnelle (angine bactérienne à streptocoque du groupe A et cystite aiguë non compliquée chez la femme)</w:t>
      </w:r>
    </w:p>
    <w:p w:rsidR="00590A97" w:rsidRPr="00590A97" w:rsidRDefault="00590A97" w:rsidP="00590A97">
      <w:pPr>
        <w:pStyle w:val="Default"/>
        <w:jc w:val="both"/>
        <w:rPr>
          <w:color w:val="538135"/>
          <w:sz w:val="20"/>
        </w:rPr>
      </w:pPr>
      <w:r w:rsidRPr="00590A97">
        <w:rPr>
          <w:color w:val="538135"/>
          <w:sz w:val="20"/>
        </w:rPr>
        <w:t>- Renforcement du rôle majeur du pharmacien d’officine en tant qu’acteur de santé publique : nouvelle convention :</w:t>
      </w:r>
    </w:p>
    <w:p w:rsidR="00590A97" w:rsidRDefault="00590A97" w:rsidP="00590A97">
      <w:pPr>
        <w:pStyle w:val="Default"/>
        <w:jc w:val="both"/>
        <w:rPr>
          <w:color w:val="538135"/>
          <w:sz w:val="20"/>
        </w:rPr>
      </w:pPr>
      <w:r w:rsidRPr="00590A97">
        <w:rPr>
          <w:color w:val="538135"/>
          <w:sz w:val="20"/>
        </w:rPr>
        <w:t xml:space="preserve"> Avenant 1 à la nouvelle convention</w:t>
      </w:r>
    </w:p>
    <w:p w:rsidR="00590A97" w:rsidRPr="00590A97" w:rsidRDefault="00590A97" w:rsidP="00590A97">
      <w:pPr>
        <w:pStyle w:val="Default"/>
        <w:jc w:val="both"/>
        <w:rPr>
          <w:color w:val="538135"/>
          <w:sz w:val="20"/>
        </w:rPr>
      </w:pPr>
      <w:r>
        <w:rPr>
          <w:color w:val="538135"/>
          <w:sz w:val="20"/>
        </w:rPr>
        <w:t xml:space="preserve">- </w:t>
      </w:r>
      <w:r w:rsidRPr="00590A97">
        <w:rPr>
          <w:color w:val="538135"/>
          <w:sz w:val="20"/>
        </w:rPr>
        <w:t>Les rendez-vous de prévention :</w:t>
      </w:r>
      <w:r>
        <w:rPr>
          <w:color w:val="538135"/>
          <w:sz w:val="20"/>
        </w:rPr>
        <w:t xml:space="preserve"> </w:t>
      </w:r>
      <w:r w:rsidRPr="00590A97">
        <w:rPr>
          <w:color w:val="538135"/>
          <w:sz w:val="20"/>
        </w:rPr>
        <w:t>Arrêté du 28 mai 2024 relatif aux effecteurs, au contenu et aux modalités de tarification des rendez-vous de prévention</w:t>
      </w:r>
    </w:p>
    <w:p w:rsidR="00590A97" w:rsidRPr="00590A97" w:rsidRDefault="00590A97" w:rsidP="00590A97">
      <w:pPr>
        <w:pStyle w:val="Default"/>
        <w:jc w:val="both"/>
        <w:rPr>
          <w:color w:val="538135"/>
          <w:sz w:val="20"/>
        </w:rPr>
      </w:pPr>
    </w:p>
    <w:p w:rsidR="00590A97" w:rsidRDefault="00590A97" w:rsidP="007C36D8">
      <w:pPr>
        <w:pStyle w:val="Default"/>
        <w:jc w:val="both"/>
        <w:rPr>
          <w:color w:val="538135"/>
          <w:sz w:val="20"/>
        </w:rPr>
      </w:pPr>
    </w:p>
    <w:p w:rsidR="00A67D48" w:rsidRPr="00F24AA7" w:rsidRDefault="00A67D48" w:rsidP="00A67D48">
      <w:pPr>
        <w:pStyle w:val="Default"/>
        <w:jc w:val="both"/>
        <w:rPr>
          <w:rStyle w:val="Lienhypertexte"/>
        </w:rPr>
      </w:pPr>
      <w:r>
        <w:rPr>
          <w:rStyle w:val="Lienhypertexte"/>
        </w:rPr>
        <w:fldChar w:fldCharType="begin"/>
      </w:r>
      <w:r>
        <w:rPr>
          <w:rStyle w:val="Lienhypertexte"/>
        </w:rPr>
        <w:instrText>HYPERLINK "https://peps.sante.gouv.fr/themes/veterinaire/veterinaire1.html"</w:instrText>
      </w:r>
      <w:r>
        <w:rPr>
          <w:rStyle w:val="Lienhypertexte"/>
        </w:rPr>
        <w:fldChar w:fldCharType="separate"/>
      </w:r>
      <w:r w:rsidRPr="00A67D48">
        <w:rPr>
          <w:rStyle w:val="Lienhypertexte"/>
        </w:rPr>
        <w:t>Pharmacie vétérinaire</w:t>
      </w:r>
    </w:p>
    <w:p w:rsidR="00A67D48" w:rsidRPr="00A67D48" w:rsidRDefault="00A67D48" w:rsidP="00A67D48">
      <w:pPr>
        <w:pStyle w:val="Default"/>
        <w:jc w:val="both"/>
        <w:rPr>
          <w:color w:val="538135"/>
          <w:sz w:val="20"/>
        </w:rPr>
      </w:pPr>
      <w:r>
        <w:rPr>
          <w:rStyle w:val="Lienhypertexte"/>
        </w:rPr>
        <w:fldChar w:fldCharType="end"/>
      </w:r>
      <w:r>
        <w:rPr>
          <w:color w:val="538135"/>
          <w:sz w:val="20"/>
        </w:rPr>
        <w:t xml:space="preserve">- </w:t>
      </w:r>
      <w:r w:rsidRPr="00A67D48">
        <w:rPr>
          <w:color w:val="538135"/>
          <w:sz w:val="20"/>
        </w:rPr>
        <w:t>Programmes sanitaires d’élevage et vente de médicaments vétérinaires par les groupements agréés (IGAS, 14/06/2024).</w:t>
      </w:r>
    </w:p>
    <w:p w:rsidR="00A67D48" w:rsidRDefault="00A67D48" w:rsidP="00A67D48">
      <w:pPr>
        <w:pStyle w:val="Default"/>
        <w:jc w:val="both"/>
        <w:rPr>
          <w:color w:val="538135"/>
          <w:sz w:val="20"/>
        </w:rPr>
      </w:pPr>
      <w:r w:rsidRPr="00A67D48">
        <w:rPr>
          <w:color w:val="538135"/>
          <w:sz w:val="20"/>
        </w:rPr>
        <w:t>La mise en place des programmes sanitaires d’élevage (PSE) en 1975 a été un jalon important dans les modes de prescription et distribution des médicaments vétérinaires pour les animaux de rente. Une mission conjointe du Conseil général de l’alimentation, de l’agriculture et des espaces ruraux et de l’Inspection générale des affaires sociales (Igas) a été chargée d’établir un état des lieux et de proposer leur évolution.</w:t>
      </w:r>
    </w:p>
    <w:p w:rsidR="00A67D48" w:rsidRPr="00774E1C" w:rsidRDefault="00A67D48" w:rsidP="00A67D48">
      <w:pPr>
        <w:pStyle w:val="Default"/>
        <w:jc w:val="both"/>
        <w:rPr>
          <w:color w:val="538135"/>
          <w:sz w:val="20"/>
        </w:rPr>
      </w:pPr>
    </w:p>
    <w:p w:rsidR="00A67D48" w:rsidRPr="00590A97" w:rsidRDefault="00A67D48" w:rsidP="007C36D8">
      <w:pPr>
        <w:pStyle w:val="Default"/>
        <w:jc w:val="both"/>
        <w:rPr>
          <w:color w:val="538135"/>
          <w:sz w:val="20"/>
        </w:rPr>
      </w:pPr>
    </w:p>
    <w:p w:rsidR="007C36D8" w:rsidRPr="00F24AA7" w:rsidRDefault="007C36D8" w:rsidP="007C36D8">
      <w:pPr>
        <w:pStyle w:val="Default"/>
        <w:jc w:val="both"/>
        <w:rPr>
          <w:rStyle w:val="Lienhypertexte"/>
        </w:rPr>
      </w:pPr>
      <w:r>
        <w:rPr>
          <w:rStyle w:val="Lienhypertexte"/>
        </w:rPr>
        <w:fldChar w:fldCharType="begin"/>
      </w:r>
      <w:r>
        <w:rPr>
          <w:rStyle w:val="Lienhypertexte"/>
        </w:rPr>
        <w:instrText>HYPERLINK "https://peps.sante.gouv.fr/themes/substitution/substitution.html"</w:instrText>
      </w:r>
      <w:r>
        <w:rPr>
          <w:rStyle w:val="Lienhypertexte"/>
        </w:rPr>
        <w:fldChar w:fldCharType="separate"/>
      </w:r>
      <w:r>
        <w:rPr>
          <w:rStyle w:val="Lienhypertexte"/>
        </w:rPr>
        <w:t>Prise en charge des addictions</w:t>
      </w:r>
    </w:p>
    <w:p w:rsidR="007C36D8" w:rsidRPr="007C36D8" w:rsidRDefault="007C36D8" w:rsidP="007C36D8">
      <w:pPr>
        <w:pStyle w:val="Default"/>
        <w:jc w:val="both"/>
        <w:rPr>
          <w:color w:val="538135"/>
          <w:sz w:val="20"/>
        </w:rPr>
      </w:pPr>
      <w:r>
        <w:rPr>
          <w:rStyle w:val="Lienhypertexte"/>
        </w:rPr>
        <w:fldChar w:fldCharType="end"/>
      </w:r>
      <w:r>
        <w:rPr>
          <w:color w:val="538135"/>
          <w:sz w:val="20"/>
        </w:rPr>
        <w:t xml:space="preserve">- </w:t>
      </w:r>
      <w:r w:rsidRPr="007C36D8">
        <w:rPr>
          <w:color w:val="538135"/>
          <w:sz w:val="20"/>
        </w:rPr>
        <w:t>Instruction n° DGCS/SD5B/SD1B/DSS/SD1A/DGS/SP2/SP3/2024/65 du 10 juin 2024 relative aux orientations de la campagne budgétaire, pour l'année 2024, des établissements et services médico-sociaux (ESMS) accueillant des personnes confrontées à des difficultés spécifiques : appartements de coordination thérapeutique (ACT), lits halte soins santé (LHSS), centres d'accueil et d'accompagnement à la réduction des risques pour les usagers de drogues (CAARUD), centres de soins, d'accompagnement et de prévention en addictologie (CSAPA), lits d'accueil médicalisé (LAM), équipes mobiles santé précarité (EMSP, LHSS mobiles ou de jour), équipes spécialisées de soins infirmiers (ESSIP) et « Un chez soi d’abord ».</w:t>
      </w:r>
    </w:p>
    <w:p w:rsidR="007C36D8" w:rsidRDefault="007C36D8" w:rsidP="007C36D8">
      <w:pPr>
        <w:pStyle w:val="Default"/>
        <w:jc w:val="both"/>
        <w:rPr>
          <w:color w:val="538135"/>
          <w:sz w:val="20"/>
        </w:rPr>
      </w:pPr>
      <w:r w:rsidRPr="007C36D8">
        <w:rPr>
          <w:color w:val="538135"/>
          <w:sz w:val="20"/>
        </w:rPr>
        <w:t xml:space="preserve">Résumé : La présente instruction notifie les dotations régionales limitatives modifiées pour les établissements et services médico-sociaux (ESMS) accueillant des personnes confrontées à des difficultés spécifiques au titre de 2024. Elle fixe les modalités de mise en </w:t>
      </w:r>
      <w:r w:rsidR="00EE781B">
        <w:rPr>
          <w:color w:val="538135"/>
          <w:sz w:val="20"/>
        </w:rPr>
        <w:t xml:space="preserve">œuvre </w:t>
      </w:r>
      <w:r w:rsidRPr="007C36D8">
        <w:rPr>
          <w:color w:val="538135"/>
          <w:sz w:val="20"/>
        </w:rPr>
        <w:t>des mesures nouvelles pour ces mêmes structures.</w:t>
      </w:r>
    </w:p>
    <w:p w:rsidR="00AE6EF4" w:rsidRDefault="00AE6EF4" w:rsidP="007C36D8">
      <w:pPr>
        <w:pStyle w:val="Default"/>
        <w:jc w:val="both"/>
        <w:rPr>
          <w:color w:val="538135"/>
          <w:sz w:val="20"/>
        </w:rPr>
      </w:pPr>
      <w:r>
        <w:rPr>
          <w:color w:val="538135"/>
          <w:sz w:val="20"/>
        </w:rPr>
        <w:t xml:space="preserve">- </w:t>
      </w:r>
      <w:r w:rsidRPr="00AE6EF4">
        <w:rPr>
          <w:color w:val="538135"/>
          <w:sz w:val="20"/>
        </w:rPr>
        <w:t>Traitements de substituti</w:t>
      </w:r>
      <w:r w:rsidR="00EE781B">
        <w:rPr>
          <w:color w:val="538135"/>
          <w:sz w:val="20"/>
        </w:rPr>
        <w:t>on aux opiacé</w:t>
      </w:r>
      <w:r w:rsidRPr="00AE6EF4">
        <w:rPr>
          <w:color w:val="538135"/>
          <w:sz w:val="20"/>
        </w:rPr>
        <w:t>s : une formation pour les pharmaciens (ARS Bourgogne-Franche-Comté, janvier 2023)</w:t>
      </w:r>
      <w:r>
        <w:rPr>
          <w:color w:val="538135"/>
          <w:sz w:val="20"/>
        </w:rPr>
        <w:t>.</w:t>
      </w:r>
    </w:p>
    <w:p w:rsidR="00EE781B" w:rsidRPr="00EE781B" w:rsidRDefault="00EE781B" w:rsidP="00EE781B">
      <w:pPr>
        <w:pStyle w:val="Default"/>
        <w:jc w:val="both"/>
        <w:rPr>
          <w:color w:val="538135"/>
          <w:sz w:val="20"/>
        </w:rPr>
      </w:pPr>
      <w:r>
        <w:rPr>
          <w:color w:val="538135"/>
          <w:sz w:val="20"/>
        </w:rPr>
        <w:t xml:space="preserve">- </w:t>
      </w:r>
      <w:r w:rsidRPr="00EE781B">
        <w:rPr>
          <w:color w:val="538135"/>
          <w:sz w:val="20"/>
        </w:rPr>
        <w:t>Naloxone à 1,26 mg par voie nasale accessible sans ordonnance (Ventizolve®) et surdose d’opioïde (Prescrire, 28/06/2024).</w:t>
      </w:r>
    </w:p>
    <w:p w:rsidR="00EE781B" w:rsidRDefault="00EE781B" w:rsidP="00EE781B">
      <w:pPr>
        <w:pStyle w:val="Default"/>
        <w:jc w:val="both"/>
        <w:rPr>
          <w:color w:val="538135"/>
          <w:sz w:val="20"/>
        </w:rPr>
      </w:pPr>
      <w:r w:rsidRPr="00EE781B">
        <w:rPr>
          <w:color w:val="538135"/>
          <w:sz w:val="20"/>
        </w:rPr>
        <w:t>Un autre spray nasal, avec un dosage différent de naloxone, sans progrès clinique démontré. Ce deuxième spray nasal à base de naloxone en France a l’avantage d’être accessible sans ordonnance, mais, mi-2024, seulement auprès des centres d’addictologie.</w:t>
      </w:r>
    </w:p>
    <w:p w:rsidR="007C36D8" w:rsidRPr="00774E1C" w:rsidRDefault="007C36D8" w:rsidP="007C36D8">
      <w:pPr>
        <w:pStyle w:val="Default"/>
        <w:jc w:val="both"/>
        <w:rPr>
          <w:color w:val="538135"/>
          <w:sz w:val="20"/>
        </w:rPr>
      </w:pPr>
    </w:p>
    <w:p w:rsidR="00284306" w:rsidRPr="00774E1C" w:rsidRDefault="00284306" w:rsidP="007C36D8">
      <w:pPr>
        <w:pStyle w:val="Default"/>
        <w:jc w:val="both"/>
        <w:rPr>
          <w:color w:val="538135"/>
          <w:sz w:val="20"/>
        </w:rPr>
      </w:pPr>
    </w:p>
    <w:p w:rsidR="004568FE" w:rsidRPr="00ED2E7C" w:rsidRDefault="002B5D87" w:rsidP="004568FE">
      <w:pPr>
        <w:pStyle w:val="Default"/>
        <w:jc w:val="both"/>
        <w:rPr>
          <w:color w:val="FF0000"/>
        </w:rPr>
      </w:pPr>
      <w:hyperlink r:id="rId9" w:history="1">
        <w:r w:rsidR="00F27632" w:rsidRPr="00117BB3">
          <w:rPr>
            <w:rStyle w:val="Lienhypertexte"/>
          </w:rPr>
          <w:t>Substances vénéneuses</w:t>
        </w:r>
      </w:hyperlink>
    </w:p>
    <w:p w:rsidR="003B629A" w:rsidRPr="00F15253" w:rsidRDefault="00F15253" w:rsidP="00F15253">
      <w:pPr>
        <w:pStyle w:val="Default"/>
        <w:jc w:val="both"/>
        <w:rPr>
          <w:color w:val="538135"/>
          <w:sz w:val="20"/>
        </w:rPr>
      </w:pPr>
      <w:r>
        <w:rPr>
          <w:color w:val="538135"/>
          <w:sz w:val="20"/>
        </w:rPr>
        <w:t xml:space="preserve">- </w:t>
      </w:r>
      <w:hyperlink r:id="rId10" w:anchor="psyclassement" w:history="1">
        <w:r w:rsidR="003B629A" w:rsidRPr="00F15253">
          <w:rPr>
            <w:color w:val="538135"/>
            <w:sz w:val="20"/>
          </w:rPr>
          <w:t>Liste des nouvelles substances psychotropes soumises à contrôle international à partir du 03/12/2024 (OICS, 07/06/2024)</w:t>
        </w:r>
      </w:hyperlink>
      <w:r w:rsidR="003B629A" w:rsidRPr="00F15253">
        <w:rPr>
          <w:color w:val="538135"/>
          <w:sz w:val="20"/>
        </w:rPr>
        <w:t>.</w:t>
      </w:r>
    </w:p>
    <w:p w:rsidR="003B629A" w:rsidRPr="00F15253" w:rsidRDefault="00F15253" w:rsidP="00F15253">
      <w:pPr>
        <w:pStyle w:val="Default"/>
        <w:jc w:val="both"/>
        <w:rPr>
          <w:color w:val="538135"/>
          <w:sz w:val="20"/>
        </w:rPr>
      </w:pPr>
      <w:r>
        <w:rPr>
          <w:color w:val="538135"/>
          <w:sz w:val="20"/>
        </w:rPr>
        <w:t xml:space="preserve">- </w:t>
      </w:r>
      <w:hyperlink r:id="rId11" w:anchor="svclassement" w:history="1">
        <w:r w:rsidR="003B629A" w:rsidRPr="00F15253">
          <w:rPr>
            <w:color w:val="538135"/>
            <w:sz w:val="20"/>
          </w:rPr>
          <w:t xml:space="preserve">Décision du 21/06/2024 </w:t>
        </w:r>
        <w:r w:rsidR="003B629A" w:rsidRPr="00F15253">
          <w:rPr>
            <w:i/>
            <w:iCs/>
            <w:color w:val="538135"/>
            <w:sz w:val="20"/>
          </w:rPr>
          <w:t>portant inscription sur les listes I et II des substances vénéneuses définies à l’article L.5132-6 du code de la santé publique</w:t>
        </w:r>
        <w:r w:rsidR="003B629A" w:rsidRPr="00F15253">
          <w:rPr>
            <w:color w:val="538135"/>
            <w:sz w:val="20"/>
          </w:rPr>
          <w:t>, inscrivant la cyproheptadine sur la liste I</w:t>
        </w:r>
      </w:hyperlink>
      <w:r w:rsidR="003B629A" w:rsidRPr="00F15253">
        <w:rPr>
          <w:color w:val="538135"/>
          <w:sz w:val="20"/>
        </w:rPr>
        <w:t>.</w:t>
      </w:r>
    </w:p>
    <w:p w:rsidR="003B629A" w:rsidRPr="00F15253" w:rsidRDefault="00F15253" w:rsidP="00F15253">
      <w:pPr>
        <w:pStyle w:val="Default"/>
        <w:jc w:val="both"/>
        <w:rPr>
          <w:color w:val="538135"/>
          <w:sz w:val="20"/>
        </w:rPr>
      </w:pPr>
      <w:r>
        <w:rPr>
          <w:color w:val="538135"/>
          <w:sz w:val="20"/>
        </w:rPr>
        <w:t xml:space="preserve">- </w:t>
      </w:r>
      <w:hyperlink r:id="rId12" w:anchor="svprescription" w:history="1">
        <w:r w:rsidR="003B629A" w:rsidRPr="00F15253">
          <w:rPr>
            <w:color w:val="538135"/>
            <w:sz w:val="20"/>
          </w:rPr>
          <w:t xml:space="preserve">Actualisation du chapitre 1.5.4 Prescription, prenant en compte la publication du décret n° 2024-550 du 17 juin 2024 </w:t>
        </w:r>
        <w:r w:rsidR="003B629A" w:rsidRPr="00F15253">
          <w:rPr>
            <w:i/>
            <w:iCs/>
            <w:color w:val="538135"/>
            <w:sz w:val="20"/>
          </w:rPr>
          <w:t>relatif à la délivrance sans ordonnance de certains médicaments, après réalisation d'un test rapide d'orientation diagnostique par les pharmaciens d'officine</w:t>
        </w:r>
        <w:r w:rsidR="003B629A" w:rsidRPr="00F15253">
          <w:rPr>
            <w:color w:val="538135"/>
            <w:sz w:val="20"/>
          </w:rPr>
          <w:t>, de ses deux arrêtés d'application et des deux arrêtés du même jour concernant la prise en charge protocolisée, par l'infirmier dans le cadre d'un exercice coordonné, de l'odynophagie et de la pollakiurie</w:t>
        </w:r>
      </w:hyperlink>
      <w:r w:rsidR="003B629A" w:rsidRPr="00F15253">
        <w:rPr>
          <w:color w:val="538135"/>
          <w:sz w:val="20"/>
        </w:rPr>
        <w:t>.</w:t>
      </w:r>
    </w:p>
    <w:p w:rsidR="003B629A" w:rsidRPr="00F15253" w:rsidRDefault="00F15253" w:rsidP="00F15253">
      <w:pPr>
        <w:pStyle w:val="Default"/>
        <w:jc w:val="both"/>
        <w:rPr>
          <w:color w:val="538135"/>
          <w:sz w:val="20"/>
        </w:rPr>
      </w:pPr>
      <w:r>
        <w:rPr>
          <w:color w:val="538135"/>
          <w:sz w:val="20"/>
        </w:rPr>
        <w:t xml:space="preserve">- </w:t>
      </w:r>
      <w:hyperlink r:id="rId13" w:anchor="svprescription" w:history="1">
        <w:r w:rsidR="003B629A" w:rsidRPr="00F15253">
          <w:rPr>
            <w:color w:val="538135"/>
            <w:sz w:val="20"/>
          </w:rPr>
          <w:t>Délivrance sans ordonnance d’antibiotiques suite à un test positif par les pharmaciens d’officine : publication des textes (CNOP, 20/06/2024)</w:t>
        </w:r>
      </w:hyperlink>
      <w:r w:rsidR="003B629A" w:rsidRPr="00F15253">
        <w:rPr>
          <w:color w:val="538135"/>
          <w:sz w:val="20"/>
        </w:rPr>
        <w:t>.</w:t>
      </w:r>
    </w:p>
    <w:p w:rsidR="003B629A" w:rsidRPr="00F15253" w:rsidRDefault="00F15253" w:rsidP="00F15253">
      <w:pPr>
        <w:pStyle w:val="Default"/>
        <w:jc w:val="both"/>
        <w:rPr>
          <w:color w:val="538135"/>
          <w:sz w:val="20"/>
        </w:rPr>
      </w:pPr>
      <w:r>
        <w:rPr>
          <w:color w:val="538135"/>
          <w:sz w:val="20"/>
        </w:rPr>
        <w:lastRenderedPageBreak/>
        <w:t xml:space="preserve">- </w:t>
      </w:r>
      <w:hyperlink r:id="rId14" w:anchor="cannabis-therapeutique" w:history="1">
        <w:r w:rsidR="003B629A" w:rsidRPr="00F15253">
          <w:rPr>
            <w:color w:val="538135"/>
            <w:sz w:val="20"/>
          </w:rPr>
          <w:t>Actualisation de la liste par région des structures de référence prenant en charge les indications thérapeutiques ou situations cliniques retenues pour l’expérimentation du cannabis à usage médical (ANSM, 06/06/2024)</w:t>
        </w:r>
      </w:hyperlink>
      <w:r w:rsidR="003B629A" w:rsidRPr="00F15253">
        <w:rPr>
          <w:color w:val="538135"/>
          <w:sz w:val="20"/>
        </w:rPr>
        <w:t>.</w:t>
      </w:r>
    </w:p>
    <w:p w:rsidR="003B629A" w:rsidRPr="00F15253" w:rsidRDefault="00F15253" w:rsidP="00F15253">
      <w:pPr>
        <w:pStyle w:val="Default"/>
        <w:jc w:val="both"/>
        <w:rPr>
          <w:color w:val="538135"/>
          <w:sz w:val="20"/>
        </w:rPr>
      </w:pPr>
      <w:r>
        <w:rPr>
          <w:color w:val="538135"/>
          <w:sz w:val="20"/>
        </w:rPr>
        <w:t xml:space="preserve">- </w:t>
      </w:r>
      <w:hyperlink r:id="rId15" w:anchor="cannabis-therapeutique" w:history="1">
        <w:r w:rsidR="003B629A" w:rsidRPr="00F15253">
          <w:rPr>
            <w:color w:val="538135"/>
            <w:sz w:val="20"/>
          </w:rPr>
          <w:t>Actualisation de la liste par régions des PUI et officines engagées dans l'expérimentation relative à l'utilisation du cannabis médical (ANSM, 04/06/2024)</w:t>
        </w:r>
      </w:hyperlink>
      <w:r w:rsidR="003B629A" w:rsidRPr="00F15253">
        <w:rPr>
          <w:color w:val="538135"/>
          <w:sz w:val="20"/>
        </w:rPr>
        <w:t>.</w:t>
      </w:r>
    </w:p>
    <w:p w:rsidR="003B629A" w:rsidRPr="00F15253" w:rsidRDefault="00F15253" w:rsidP="00F15253">
      <w:pPr>
        <w:pStyle w:val="Default"/>
        <w:jc w:val="both"/>
        <w:rPr>
          <w:color w:val="538135"/>
          <w:sz w:val="20"/>
        </w:rPr>
      </w:pPr>
      <w:r>
        <w:rPr>
          <w:color w:val="538135"/>
          <w:sz w:val="20"/>
        </w:rPr>
        <w:t xml:space="preserve">- </w:t>
      </w:r>
      <w:hyperlink r:id="rId16" w:anchor="biblio-europe" w:history="1">
        <w:r w:rsidR="003B629A" w:rsidRPr="00F15253">
          <w:rPr>
            <w:color w:val="538135"/>
            <w:sz w:val="20"/>
          </w:rPr>
          <w:t>Rapport européen sur les drogues 2024 : tendances et évolutions (EMCDDA, 11/06/2024, anglais).</w:t>
        </w:r>
        <w:r w:rsidR="003B629A" w:rsidRPr="00F15253">
          <w:rPr>
            <w:color w:val="538135"/>
            <w:sz w:val="20"/>
          </w:rPr>
          <w:br/>
        </w:r>
        <w:r w:rsidR="003B629A" w:rsidRPr="00F15253">
          <w:rPr>
            <w:color w:val="538135"/>
            <w:sz w:val="20"/>
          </w:rPr>
          <w:t>Les substances de synthèse à forte teneur, les nouveaux mélanges de drogues et l’évolution des modes de consommation constituent une menace croissante en Europe - Rapport européen sur les drogues 2024 : Faits marquants (EMCDDA, 11/06/2024, français)</w:t>
        </w:r>
      </w:hyperlink>
      <w:r w:rsidR="003B629A" w:rsidRPr="00F15253">
        <w:rPr>
          <w:color w:val="538135"/>
          <w:sz w:val="20"/>
        </w:rPr>
        <w:t>.</w:t>
      </w:r>
    </w:p>
    <w:p w:rsidR="003B629A" w:rsidRPr="00F15253" w:rsidRDefault="00F15253" w:rsidP="00F15253">
      <w:pPr>
        <w:pStyle w:val="Default"/>
        <w:jc w:val="both"/>
        <w:rPr>
          <w:color w:val="538135"/>
          <w:sz w:val="20"/>
        </w:rPr>
      </w:pPr>
      <w:r>
        <w:rPr>
          <w:color w:val="538135"/>
          <w:sz w:val="20"/>
        </w:rPr>
        <w:t xml:space="preserve">- </w:t>
      </w:r>
      <w:hyperlink r:id="rId17" w:anchor="biblio-france" w:history="1">
        <w:r w:rsidR="003B629A" w:rsidRPr="00F15253">
          <w:rPr>
            <w:color w:val="538135"/>
            <w:sz w:val="20"/>
          </w:rPr>
          <w:t>À compter du 10/07/2024 la cyproheptadine (Périactine 4mg) sera dispensée uniquement sur ordonnance (ANSM, 26/06/2024)</w:t>
        </w:r>
      </w:hyperlink>
      <w:r w:rsidR="003B629A" w:rsidRPr="00F15253">
        <w:rPr>
          <w:color w:val="538135"/>
          <w:sz w:val="20"/>
        </w:rPr>
        <w:t>.</w:t>
      </w:r>
    </w:p>
    <w:p w:rsidR="003B629A" w:rsidRPr="00F15253" w:rsidRDefault="00F15253" w:rsidP="00F15253">
      <w:pPr>
        <w:pStyle w:val="Default"/>
        <w:jc w:val="both"/>
        <w:rPr>
          <w:color w:val="538135"/>
          <w:sz w:val="20"/>
        </w:rPr>
      </w:pPr>
      <w:r>
        <w:rPr>
          <w:color w:val="538135"/>
          <w:sz w:val="20"/>
        </w:rPr>
        <w:t xml:space="preserve">- </w:t>
      </w:r>
      <w:hyperlink r:id="rId18" w:anchor="biblio-france" w:history="1">
        <w:r w:rsidR="003B629A" w:rsidRPr="00F15253">
          <w:rPr>
            <w:color w:val="538135"/>
            <w:sz w:val="20"/>
          </w:rPr>
          <w:t>DRAMES (Décès en Relation avec l'Abus de Médicaments Et de Substances) : résultats de l'enquête 2022 (ANSM, 29/05/2024)</w:t>
        </w:r>
      </w:hyperlink>
      <w:r w:rsidR="003B629A" w:rsidRPr="00F15253">
        <w:rPr>
          <w:color w:val="538135"/>
          <w:sz w:val="20"/>
        </w:rPr>
        <w:t>.</w:t>
      </w:r>
    </w:p>
    <w:p w:rsidR="003B629A" w:rsidRPr="00F15253" w:rsidRDefault="00F15253" w:rsidP="00F15253">
      <w:pPr>
        <w:pStyle w:val="Default"/>
        <w:jc w:val="both"/>
        <w:rPr>
          <w:color w:val="538135"/>
          <w:sz w:val="20"/>
        </w:rPr>
      </w:pPr>
      <w:r>
        <w:rPr>
          <w:color w:val="538135"/>
          <w:sz w:val="20"/>
        </w:rPr>
        <w:t xml:space="preserve">- </w:t>
      </w:r>
      <w:hyperlink r:id="rId19" w:anchor="biblio-france" w:history="1">
        <w:r w:rsidR="003B629A" w:rsidRPr="00F15253">
          <w:rPr>
            <w:color w:val="538135"/>
            <w:sz w:val="20"/>
          </w:rPr>
          <w:t>OSIAP (Ordonnances Suspectes, Indicateur d'Abus Possible) – Résultats de l’enquête 2022 (ANSM, 21/06/2024)</w:t>
        </w:r>
      </w:hyperlink>
      <w:r w:rsidR="003B629A" w:rsidRPr="00F15253">
        <w:rPr>
          <w:color w:val="538135"/>
          <w:sz w:val="20"/>
        </w:rPr>
        <w:t>.</w:t>
      </w:r>
    </w:p>
    <w:p w:rsidR="003B629A" w:rsidRPr="00F15253" w:rsidRDefault="00F15253" w:rsidP="00F15253">
      <w:pPr>
        <w:pStyle w:val="Default"/>
        <w:jc w:val="both"/>
        <w:rPr>
          <w:color w:val="538135"/>
          <w:sz w:val="20"/>
        </w:rPr>
      </w:pPr>
      <w:r>
        <w:rPr>
          <w:color w:val="538135"/>
          <w:sz w:val="20"/>
        </w:rPr>
        <w:t xml:space="preserve">- </w:t>
      </w:r>
      <w:hyperlink r:id="rId20" w:anchor="biblio-france" w:history="1">
        <w:r w:rsidR="003B629A" w:rsidRPr="00F15253">
          <w:rPr>
            <w:color w:val="538135"/>
            <w:sz w:val="20"/>
          </w:rPr>
          <w:t>Les niveaux d'usage des drogues illicites en France en 2023 (OFDT, 26/06/2024, Tendances n° 123)</w:t>
        </w:r>
      </w:hyperlink>
      <w:r w:rsidR="003B629A" w:rsidRPr="00F15253">
        <w:rPr>
          <w:color w:val="538135"/>
          <w:sz w:val="20"/>
        </w:rPr>
        <w:t>.</w:t>
      </w:r>
    </w:p>
    <w:p w:rsidR="003B629A" w:rsidRPr="00F15253" w:rsidRDefault="00F15253" w:rsidP="00F15253">
      <w:pPr>
        <w:pStyle w:val="Default"/>
        <w:jc w:val="both"/>
        <w:rPr>
          <w:color w:val="538135"/>
          <w:sz w:val="20"/>
        </w:rPr>
      </w:pPr>
      <w:r>
        <w:rPr>
          <w:color w:val="538135"/>
          <w:sz w:val="20"/>
        </w:rPr>
        <w:t xml:space="preserve">- </w:t>
      </w:r>
      <w:hyperlink r:id="rId21" w:anchor="biblio-canna" w:history="1">
        <w:r w:rsidR="003B629A" w:rsidRPr="00F15253">
          <w:rPr>
            <w:color w:val="538135"/>
            <w:sz w:val="20"/>
          </w:rPr>
          <w:t>L’ANSM inscrit de nouveaux cannabinoïdes sur la liste des stupéfiants (ANSM, actualisation du 04/06/2024). Cette actualisation exclut de la liste des stupéfiants les cannabinoïdes basés sur un noyau chimique benzo[c]chromène récemment listés suivants : CBNA (acide cannabinolique), THCVA (acide tétrahydrocannabivarique) et THCV (tétrahydrocannabivarine), THCA (acide tétrahydrocannabinolique), sous réserve d'une teneur ne dépassant pas 0,3%</w:t>
        </w:r>
      </w:hyperlink>
      <w:r w:rsidR="003B629A" w:rsidRPr="00F15253">
        <w:rPr>
          <w:color w:val="538135"/>
          <w:sz w:val="20"/>
        </w:rPr>
        <w:t>.</w:t>
      </w:r>
    </w:p>
    <w:p w:rsidR="003B629A" w:rsidRPr="00F15253" w:rsidRDefault="00F15253" w:rsidP="00F15253">
      <w:pPr>
        <w:pStyle w:val="Default"/>
        <w:jc w:val="both"/>
        <w:rPr>
          <w:color w:val="538135"/>
          <w:sz w:val="20"/>
        </w:rPr>
      </w:pPr>
      <w:r>
        <w:rPr>
          <w:color w:val="538135"/>
          <w:sz w:val="20"/>
        </w:rPr>
        <w:t xml:space="preserve">- </w:t>
      </w:r>
      <w:hyperlink r:id="rId22" w:anchor="biblio-cath" w:history="1">
        <w:r w:rsidR="003B629A" w:rsidRPr="00F15253">
          <w:rPr>
            <w:color w:val="538135"/>
            <w:sz w:val="20"/>
          </w:rPr>
          <w:t>Cocaïne et sport : risques et conduite à tenir (Mildeca, 05/06/2024)</w:t>
        </w:r>
      </w:hyperlink>
      <w:r w:rsidR="003B629A" w:rsidRPr="00F15253">
        <w:rPr>
          <w:color w:val="538135"/>
          <w:sz w:val="20"/>
        </w:rPr>
        <w:t>.</w:t>
      </w:r>
    </w:p>
    <w:p w:rsidR="00263E21" w:rsidRDefault="00263E21" w:rsidP="004B1C7D">
      <w:pPr>
        <w:pStyle w:val="Default"/>
        <w:rPr>
          <w:color w:val="538135"/>
          <w:sz w:val="20"/>
        </w:rPr>
      </w:pPr>
    </w:p>
    <w:p w:rsidR="00D82BEE" w:rsidRPr="00774E1C" w:rsidRDefault="00D82BEE" w:rsidP="00263E21">
      <w:pPr>
        <w:pStyle w:val="Default"/>
        <w:jc w:val="both"/>
        <w:rPr>
          <w:color w:val="538135"/>
          <w:sz w:val="20"/>
        </w:rPr>
      </w:pPr>
    </w:p>
    <w:p w:rsidR="00CC56E9" w:rsidRPr="00672CE5" w:rsidRDefault="00CC56E9" w:rsidP="00672CE5">
      <w:pPr>
        <w:pStyle w:val="PEPS"/>
      </w:pPr>
      <w:r w:rsidRPr="00672CE5">
        <w:t>Manuel des formalités administratives :</w:t>
      </w:r>
    </w:p>
    <w:p w:rsidR="00523F15" w:rsidRPr="00126647" w:rsidRDefault="002B5D87" w:rsidP="00672CE5">
      <w:pPr>
        <w:pStyle w:val="PEPS"/>
        <w:rPr>
          <w:rFonts w:ascii="Calibri" w:eastAsia="Calibri" w:hAnsi="Calibri" w:cs="Times New Roman"/>
          <w:b w:val="0"/>
          <w:color w:val="auto"/>
          <w:sz w:val="22"/>
          <w:szCs w:val="21"/>
          <w:lang w:eastAsia="en-US"/>
        </w:rPr>
      </w:pPr>
      <w:hyperlink r:id="rId23" w:history="1">
        <w:r w:rsidR="00AC503D" w:rsidRPr="00E146CA">
          <w:rPr>
            <w:rStyle w:val="Lienhypertexte"/>
            <w:rFonts w:ascii="Calibri" w:eastAsia="Calibri" w:hAnsi="Calibri" w:cs="Times New Roman"/>
            <w:b w:val="0"/>
            <w:sz w:val="22"/>
            <w:szCs w:val="21"/>
            <w:lang w:eastAsia="en-US"/>
          </w:rPr>
          <w:t>https://peps.sante.gouv.fr/outils/guide_proced/guide.html</w:t>
        </w:r>
      </w:hyperlink>
    </w:p>
    <w:p w:rsidR="005142E8" w:rsidRDefault="005142E8" w:rsidP="00672CE5">
      <w:pPr>
        <w:pStyle w:val="Textebrut"/>
      </w:pPr>
    </w:p>
    <w:p w:rsidR="00F15253" w:rsidRPr="00672CE5" w:rsidRDefault="00F15253" w:rsidP="00672CE5">
      <w:pPr>
        <w:pStyle w:val="Textebrut"/>
      </w:pPr>
    </w:p>
    <w:p w:rsidR="00AD13E8" w:rsidRDefault="00AD13E8" w:rsidP="00672CE5">
      <w:pPr>
        <w:pStyle w:val="PEPS"/>
      </w:pPr>
      <w:r w:rsidRPr="00947196">
        <w:t>Textes en projet :</w:t>
      </w:r>
    </w:p>
    <w:p w:rsidR="00EA7ACB" w:rsidRDefault="002B5D87" w:rsidP="00EA7ACB">
      <w:pPr>
        <w:pStyle w:val="PEPS"/>
        <w:rPr>
          <w:rFonts w:ascii="Calibri" w:eastAsia="Calibri" w:hAnsi="Calibri" w:cs="Times New Roman"/>
          <w:b w:val="0"/>
          <w:color w:val="auto"/>
          <w:sz w:val="22"/>
          <w:szCs w:val="21"/>
          <w:lang w:eastAsia="en-US"/>
        </w:rPr>
      </w:pPr>
      <w:hyperlink r:id="rId24" w:history="1">
        <w:r w:rsidR="00EA7ACB">
          <w:rPr>
            <w:rStyle w:val="Lienhypertexte"/>
            <w:rFonts w:ascii="Calibri" w:eastAsia="Calibri" w:hAnsi="Calibri" w:cs="Times New Roman"/>
            <w:b w:val="0"/>
            <w:sz w:val="22"/>
            <w:szCs w:val="21"/>
            <w:lang w:eastAsia="en-US"/>
          </w:rPr>
          <w:t>https://peps.sante.gouv.fr/textes_projets/projets.html</w:t>
        </w:r>
      </w:hyperlink>
    </w:p>
    <w:p w:rsidR="00430E44" w:rsidRPr="00126647" w:rsidRDefault="00430E44" w:rsidP="00672CE5">
      <w:pPr>
        <w:pStyle w:val="PEPS"/>
        <w:rPr>
          <w:rFonts w:ascii="Calibri" w:eastAsia="Calibri" w:hAnsi="Calibri" w:cs="Times New Roman"/>
          <w:b w:val="0"/>
          <w:color w:val="auto"/>
          <w:sz w:val="22"/>
          <w:szCs w:val="21"/>
          <w:lang w:eastAsia="en-US"/>
        </w:rPr>
      </w:pPr>
    </w:p>
    <w:p w:rsidR="00BE2FBF" w:rsidRPr="00BE2FBF" w:rsidRDefault="00BE2FBF" w:rsidP="00BE2FBF">
      <w:pPr>
        <w:pStyle w:val="PEPS"/>
        <w:rPr>
          <w:rFonts w:ascii="Calibri" w:eastAsia="Calibri" w:hAnsi="Calibri" w:cs="Times New Roman"/>
          <w:b w:val="0"/>
          <w:color w:val="auto"/>
          <w:sz w:val="22"/>
          <w:szCs w:val="21"/>
          <w:lang w:eastAsia="en-US"/>
        </w:rPr>
      </w:pPr>
      <w:r w:rsidRPr="00BE2FBF">
        <w:rPr>
          <w:rFonts w:ascii="Calibri" w:eastAsia="Calibri" w:hAnsi="Calibri" w:cs="Times New Roman"/>
          <w:b w:val="0"/>
          <w:color w:val="auto"/>
          <w:sz w:val="22"/>
          <w:szCs w:val="21"/>
          <w:lang w:eastAsia="en-US"/>
        </w:rPr>
        <w:t>Projet de décret relatif aux conditions de détermination des territoires au sein desquels l’accès au médicament pour la population n’est pas assuré de manière satisfaisante (version 07/06/2024).</w:t>
      </w:r>
    </w:p>
    <w:p w:rsidR="00402BA6" w:rsidRDefault="00BE2FBF" w:rsidP="00BE2FBF">
      <w:pPr>
        <w:pStyle w:val="PEPS"/>
        <w:rPr>
          <w:rFonts w:ascii="Calibri" w:eastAsia="Calibri" w:hAnsi="Calibri" w:cs="Times New Roman"/>
          <w:b w:val="0"/>
          <w:color w:val="auto"/>
          <w:sz w:val="22"/>
          <w:szCs w:val="21"/>
          <w:lang w:eastAsia="en-US"/>
        </w:rPr>
      </w:pPr>
      <w:r w:rsidRPr="00BE2FBF">
        <w:rPr>
          <w:rFonts w:ascii="Calibri" w:eastAsia="Calibri" w:hAnsi="Calibri" w:cs="Times New Roman"/>
          <w:b w:val="0"/>
          <w:color w:val="auto"/>
          <w:sz w:val="22"/>
          <w:szCs w:val="21"/>
          <w:lang w:eastAsia="en-US"/>
        </w:rPr>
        <w:t>Projet d'arrêté relatif aux conditions de détermination des territoires au sein desquels l’accès au médicament pour la population n’est pas assuré de manière satisfaisante (version 07/06/2024).</w:t>
      </w:r>
    </w:p>
    <w:p w:rsidR="00565832" w:rsidRDefault="00565832" w:rsidP="00BE2FBF">
      <w:pPr>
        <w:pStyle w:val="PEPS"/>
        <w:rPr>
          <w:rFonts w:ascii="Calibri" w:eastAsia="Calibri" w:hAnsi="Calibri" w:cs="Times New Roman"/>
          <w:b w:val="0"/>
          <w:color w:val="auto"/>
          <w:sz w:val="22"/>
          <w:szCs w:val="21"/>
          <w:lang w:eastAsia="en-US"/>
        </w:rPr>
      </w:pPr>
      <w:r w:rsidRPr="00565832">
        <w:rPr>
          <w:rFonts w:ascii="Calibri" w:eastAsia="Calibri" w:hAnsi="Calibri" w:cs="Times New Roman"/>
          <w:b w:val="0"/>
          <w:color w:val="auto"/>
          <w:sz w:val="22"/>
          <w:szCs w:val="21"/>
          <w:lang w:eastAsia="en-US"/>
        </w:rPr>
        <w:t>Diapositive assurance maladie concernant l’aide aux officines en difficulté dans les territoires fragiles (10/06/2024)</w:t>
      </w:r>
    </w:p>
    <w:p w:rsidR="00CC3AF8" w:rsidRDefault="00CC3AF8" w:rsidP="00BE2FBF">
      <w:pPr>
        <w:pStyle w:val="PEPS"/>
        <w:rPr>
          <w:rFonts w:ascii="Calibri" w:eastAsia="Calibri" w:hAnsi="Calibri" w:cs="Times New Roman"/>
          <w:b w:val="0"/>
          <w:color w:val="auto"/>
          <w:sz w:val="22"/>
          <w:szCs w:val="21"/>
          <w:lang w:eastAsia="en-US"/>
        </w:rPr>
      </w:pPr>
    </w:p>
    <w:p w:rsidR="00CC3AF8" w:rsidRDefault="00CC3AF8" w:rsidP="00BE2FBF">
      <w:pPr>
        <w:pStyle w:val="PEPS"/>
        <w:rPr>
          <w:rFonts w:ascii="Calibri" w:eastAsia="Calibri" w:hAnsi="Calibri" w:cs="Times New Roman"/>
          <w:b w:val="0"/>
          <w:color w:val="auto"/>
          <w:sz w:val="22"/>
          <w:szCs w:val="21"/>
          <w:lang w:eastAsia="en-US"/>
        </w:rPr>
      </w:pPr>
      <w:r>
        <w:rPr>
          <w:rFonts w:ascii="Calibri" w:eastAsia="Calibri" w:hAnsi="Calibri" w:cs="Times New Roman"/>
          <w:b w:val="0"/>
          <w:color w:val="auto"/>
          <w:sz w:val="22"/>
          <w:szCs w:val="21"/>
          <w:lang w:eastAsia="en-US"/>
        </w:rPr>
        <w:t>Premiers éléments relatifs à un état des lieux de la réforme de la biologie médicale de 2010 en vue de futures évolutions législatives et réglementaires.</w:t>
      </w:r>
    </w:p>
    <w:p w:rsidR="00CC3AF8" w:rsidRDefault="00CC3AF8" w:rsidP="00BE2FBF">
      <w:pPr>
        <w:pStyle w:val="PEPS"/>
        <w:rPr>
          <w:rFonts w:ascii="Calibri" w:eastAsia="Calibri" w:hAnsi="Calibri" w:cs="Times New Roman"/>
          <w:b w:val="0"/>
          <w:color w:val="auto"/>
          <w:sz w:val="22"/>
          <w:szCs w:val="21"/>
          <w:lang w:eastAsia="en-US"/>
        </w:rPr>
      </w:pPr>
    </w:p>
    <w:p w:rsidR="00BE2FBF" w:rsidRPr="00126647" w:rsidRDefault="00BE2FBF" w:rsidP="00BE2FBF">
      <w:pPr>
        <w:pStyle w:val="PEPS"/>
        <w:rPr>
          <w:rFonts w:ascii="Calibri" w:eastAsia="Calibri" w:hAnsi="Calibri" w:cs="Times New Roman"/>
          <w:b w:val="0"/>
          <w:color w:val="auto"/>
          <w:sz w:val="22"/>
          <w:szCs w:val="21"/>
          <w:lang w:eastAsia="en-US"/>
        </w:rPr>
      </w:pPr>
    </w:p>
    <w:p w:rsidR="00100315" w:rsidRPr="00126647" w:rsidRDefault="00100315" w:rsidP="00126647">
      <w:pPr>
        <w:pStyle w:val="PEPS"/>
        <w:rPr>
          <w:rFonts w:ascii="Calibri" w:eastAsia="Calibri" w:hAnsi="Calibri" w:cs="Times New Roman"/>
          <w:b w:val="0"/>
          <w:color w:val="auto"/>
          <w:sz w:val="22"/>
          <w:szCs w:val="21"/>
          <w:lang w:eastAsia="en-US"/>
        </w:rPr>
      </w:pPr>
    </w:p>
    <w:p w:rsidR="00930CE0" w:rsidRDefault="00930CE0" w:rsidP="00672CE5">
      <w:pPr>
        <w:pStyle w:val="PEPS"/>
      </w:pPr>
      <w:r>
        <w:t>Actualité réglementaire</w:t>
      </w:r>
      <w:r w:rsidRPr="00947196">
        <w:t> :</w:t>
      </w:r>
    </w:p>
    <w:p w:rsidR="00AC503D" w:rsidRDefault="002B5D87" w:rsidP="00AC503D">
      <w:pPr>
        <w:pStyle w:val="PEPS"/>
        <w:rPr>
          <w:rFonts w:ascii="Calibri" w:eastAsia="Calibri" w:hAnsi="Calibri" w:cs="Times New Roman"/>
          <w:b w:val="0"/>
          <w:color w:val="auto"/>
          <w:sz w:val="22"/>
          <w:szCs w:val="21"/>
          <w:lang w:eastAsia="en-US"/>
        </w:rPr>
      </w:pPr>
      <w:hyperlink r:id="rId25" w:history="1">
        <w:r w:rsidR="00AC503D" w:rsidRPr="00E146CA">
          <w:rPr>
            <w:rStyle w:val="Lienhypertexte"/>
            <w:rFonts w:ascii="Calibri" w:eastAsia="Calibri" w:hAnsi="Calibri" w:cs="Times New Roman"/>
            <w:b w:val="0"/>
            <w:sz w:val="22"/>
            <w:szCs w:val="21"/>
            <w:lang w:eastAsia="en-US"/>
          </w:rPr>
          <w:t>https://peps.sante.gouv.fr/outils/docu/texto.xlsm</w:t>
        </w:r>
      </w:hyperlink>
    </w:p>
    <w:p w:rsidR="00100315" w:rsidRDefault="00100315" w:rsidP="00672CE5">
      <w:pPr>
        <w:pStyle w:val="PEPS"/>
        <w:rPr>
          <w:rFonts w:ascii="Calibri" w:eastAsia="Calibri" w:hAnsi="Calibri" w:cs="Times New Roman"/>
          <w:b w:val="0"/>
          <w:color w:val="auto"/>
          <w:sz w:val="22"/>
          <w:szCs w:val="21"/>
          <w:lang w:eastAsia="en-US"/>
        </w:rPr>
      </w:pPr>
    </w:p>
    <w:p w:rsidR="00B06A3D" w:rsidRPr="00B06A3D" w:rsidRDefault="00B06A3D" w:rsidP="00B06A3D">
      <w:pPr>
        <w:pStyle w:val="PEPS"/>
        <w:rPr>
          <w:rFonts w:ascii="Calibri" w:eastAsia="Calibri" w:hAnsi="Calibri" w:cs="Times New Roman"/>
          <w:b w:val="0"/>
          <w:color w:val="auto"/>
          <w:sz w:val="22"/>
          <w:szCs w:val="21"/>
          <w:lang w:eastAsia="en-US"/>
        </w:rPr>
      </w:pPr>
      <w:r w:rsidRPr="00B06A3D">
        <w:rPr>
          <w:rFonts w:ascii="Calibri" w:eastAsia="Calibri" w:hAnsi="Calibri" w:cs="Times New Roman"/>
          <w:b w:val="0"/>
          <w:color w:val="auto"/>
          <w:sz w:val="22"/>
          <w:szCs w:val="21"/>
          <w:lang w:eastAsia="en-US"/>
        </w:rPr>
        <w:t>Dissolution de l'Assemblée nationale : quelles conséquences pour les textes en cours ? (CNOP, 13/06/2024).</w:t>
      </w:r>
    </w:p>
    <w:p w:rsidR="00B06A3D" w:rsidRPr="00B06A3D" w:rsidRDefault="00B06A3D" w:rsidP="00B06A3D">
      <w:pPr>
        <w:pStyle w:val="PEPS"/>
        <w:rPr>
          <w:rFonts w:ascii="Calibri" w:eastAsia="Calibri" w:hAnsi="Calibri" w:cs="Times New Roman"/>
          <w:b w:val="0"/>
          <w:color w:val="auto"/>
          <w:sz w:val="22"/>
          <w:szCs w:val="21"/>
          <w:lang w:eastAsia="en-US"/>
        </w:rPr>
      </w:pPr>
      <w:r w:rsidRPr="00B06A3D">
        <w:rPr>
          <w:rFonts w:ascii="Calibri" w:eastAsia="Calibri" w:hAnsi="Calibri" w:cs="Times New Roman"/>
          <w:b w:val="0"/>
          <w:color w:val="auto"/>
          <w:sz w:val="22"/>
          <w:szCs w:val="21"/>
          <w:lang w:eastAsia="en-US"/>
        </w:rPr>
        <w:t>Par décret du 9 juin 2024, le président de la République a prononcé la dissolution de l'Assemblée nationale. Fin de vie, ruptures d’approvisionnement, sécurité des professionnels de santé : tour d’horizon de l’impact de cette décision sur les textes législatifs en cours, notamment sur ceux qui concernent les pharmaciens</w:t>
      </w:r>
    </w:p>
    <w:p w:rsidR="00B06A3D" w:rsidRDefault="002B5D87" w:rsidP="00672CE5">
      <w:pPr>
        <w:pStyle w:val="PEPS"/>
        <w:rPr>
          <w:rFonts w:ascii="Calibri" w:eastAsia="Calibri" w:hAnsi="Calibri" w:cs="Times New Roman"/>
          <w:b w:val="0"/>
          <w:color w:val="auto"/>
          <w:sz w:val="22"/>
          <w:szCs w:val="21"/>
          <w:lang w:eastAsia="en-US"/>
        </w:rPr>
      </w:pPr>
      <w:hyperlink r:id="rId26" w:history="1">
        <w:r w:rsidR="00B06A3D" w:rsidRPr="00AB0CD4">
          <w:rPr>
            <w:rStyle w:val="Lienhypertexte"/>
            <w:rFonts w:ascii="Calibri" w:eastAsia="Calibri" w:hAnsi="Calibri" w:cs="Times New Roman"/>
            <w:b w:val="0"/>
            <w:sz w:val="22"/>
            <w:szCs w:val="21"/>
            <w:lang w:eastAsia="en-US"/>
          </w:rPr>
          <w:t>https://www.ordre.pharmacien.fr/les-communications/focus-sur/les-actualites/dissolution-de-l-assemblee-nationale-quelles-consequences-pour-les-textes-en-cours</w:t>
        </w:r>
      </w:hyperlink>
    </w:p>
    <w:p w:rsidR="00B06A3D" w:rsidRPr="00126647" w:rsidRDefault="00B06A3D" w:rsidP="00672CE5">
      <w:pPr>
        <w:pStyle w:val="PEPS"/>
        <w:rPr>
          <w:rFonts w:ascii="Calibri" w:eastAsia="Calibri" w:hAnsi="Calibri" w:cs="Times New Roman"/>
          <w:b w:val="0"/>
          <w:color w:val="auto"/>
          <w:sz w:val="22"/>
          <w:szCs w:val="21"/>
          <w:lang w:eastAsia="en-US"/>
        </w:rPr>
      </w:pPr>
    </w:p>
    <w:p w:rsidR="005F38B3" w:rsidRDefault="005F38B3" w:rsidP="005F38B3">
      <w:pPr>
        <w:pStyle w:val="Textebrut"/>
      </w:pPr>
      <w:r>
        <w:t>Décret n° 2024-499 du 30 mai 2024 relatif à la participation des assurés aux frais liés à la vaccination contre les infections à papillomavirus humains, la grippe, la rougeole, les oreillons et la rubéole, à l'acquisition de préservatifs et à certaines consultations de prévention.</w:t>
      </w:r>
    </w:p>
    <w:p w:rsidR="005F38B3" w:rsidRDefault="005F38B3" w:rsidP="005F38B3">
      <w:pPr>
        <w:pStyle w:val="Textebrut"/>
      </w:pPr>
      <w:r w:rsidRPr="005F38B3">
        <w:lastRenderedPageBreak/>
        <w:t>Notice : le décret précise les cas dans lesquels la participation des assurés est supprimée pour les frais relatifs à la vaccination contre les infections à papillomavirus humains, la grippe, la rougeole, les oreillons et la rubéole, les frais relatifs aux préservatifs internes et externes pour les assurés de moins de 26 ans et pour les frais relatifs aux rendez-vous de prévention aux âges clés de la vie</w:t>
      </w:r>
    </w:p>
    <w:p w:rsidR="00FA4972" w:rsidRDefault="002B5D87" w:rsidP="005F38B3">
      <w:pPr>
        <w:pStyle w:val="Textebrut"/>
      </w:pPr>
      <w:hyperlink r:id="rId27" w:history="1">
        <w:r w:rsidR="005F38B3" w:rsidRPr="00287A00">
          <w:rPr>
            <w:rStyle w:val="Lienhypertexte"/>
          </w:rPr>
          <w:t>https://www.legifrance.gouv.fr/jorf/id/JORFTEXT000049629987</w:t>
        </w:r>
      </w:hyperlink>
    </w:p>
    <w:p w:rsidR="005F38B3" w:rsidRDefault="005F38B3" w:rsidP="005F38B3">
      <w:pPr>
        <w:pStyle w:val="Textebrut"/>
      </w:pPr>
    </w:p>
    <w:p w:rsidR="005F38B3" w:rsidRDefault="005F38B3" w:rsidP="005F38B3">
      <w:pPr>
        <w:pStyle w:val="Textebrut"/>
      </w:pPr>
      <w:r>
        <w:t>Arrêté du 30 mai 2024 portant ouverture des épreuves de vérification des connaissances mentionnées aux articles L. 4111-2-I et L. 4221-12 du code de la santé publique</w:t>
      </w:r>
    </w:p>
    <w:p w:rsidR="005F38B3" w:rsidRDefault="002B5D87" w:rsidP="005F38B3">
      <w:pPr>
        <w:pStyle w:val="Textebrut"/>
      </w:pPr>
      <w:hyperlink r:id="rId28" w:history="1">
        <w:r w:rsidR="005F38B3" w:rsidRPr="00287A00">
          <w:rPr>
            <w:rStyle w:val="Lienhypertexte"/>
          </w:rPr>
          <w:t>https://www.legifrance.gouv.fr/jorf/id/JORFTEXT000049631434</w:t>
        </w:r>
      </w:hyperlink>
    </w:p>
    <w:p w:rsidR="005F38B3" w:rsidRDefault="005F38B3" w:rsidP="005F38B3">
      <w:pPr>
        <w:pStyle w:val="Textebrut"/>
      </w:pPr>
    </w:p>
    <w:p w:rsidR="005C17EF" w:rsidRDefault="005C17EF" w:rsidP="005C17EF">
      <w:pPr>
        <w:pStyle w:val="Textebrut"/>
      </w:pPr>
      <w:r>
        <w:t>Décision du 03/06/2024 portant modification de la liste des substances classées comme stupéfiants (ANSM, 04/06/2024)</w:t>
      </w:r>
    </w:p>
    <w:p w:rsidR="005C17EF" w:rsidRDefault="002B5D87" w:rsidP="005C17EF">
      <w:pPr>
        <w:pStyle w:val="Textebrut"/>
      </w:pPr>
      <w:hyperlink r:id="rId29" w:history="1">
        <w:r w:rsidR="005C17EF" w:rsidRPr="00287A00">
          <w:rPr>
            <w:rStyle w:val="Lienhypertexte"/>
          </w:rPr>
          <w:t>https://ansm.sante.fr/actualites/decision-du-03-06-2024-portant-modification-de-la-liste-des-substances-classees-comme-stupefiants</w:t>
        </w:r>
      </w:hyperlink>
    </w:p>
    <w:p w:rsidR="005C17EF" w:rsidRDefault="005C17EF" w:rsidP="005C17EF">
      <w:pPr>
        <w:pStyle w:val="Textebrut"/>
      </w:pPr>
      <w:r>
        <w:t xml:space="preserve">Pour mémoire : Décision du 22/05/2024 portant modification de la liste des substances classées comme stupéfiants (ANSM, 24/05/2024) </w:t>
      </w:r>
    </w:p>
    <w:p w:rsidR="005F38B3" w:rsidRDefault="002B5D87" w:rsidP="005C17EF">
      <w:pPr>
        <w:pStyle w:val="Textebrut"/>
      </w:pPr>
      <w:hyperlink r:id="rId30" w:history="1">
        <w:r w:rsidR="005C17EF" w:rsidRPr="00287A00">
          <w:rPr>
            <w:rStyle w:val="Lienhypertexte"/>
          </w:rPr>
          <w:t>https://ansm.sante.fr/actualites/decision-du-22-05-2024-portant-modification-de-la-liste-des-substances-classees-comme-stupefiants</w:t>
        </w:r>
      </w:hyperlink>
    </w:p>
    <w:p w:rsidR="005C17EF" w:rsidRDefault="005C17EF" w:rsidP="005C17EF">
      <w:pPr>
        <w:pStyle w:val="Textebrut"/>
      </w:pPr>
    </w:p>
    <w:p w:rsidR="00363798" w:rsidRDefault="00363798" w:rsidP="00363798">
      <w:pPr>
        <w:pStyle w:val="Textebrut"/>
      </w:pPr>
      <w:r>
        <w:t>Décision du 28/05/2024 fixant les règles auxquelles se conforment les ERSA [Etablissements de ravitaillement sanitaire du service de santé des armées] pour effectuer le déconditionnement et le reconditionnement des spécialités pharmaceutiques bénéficiant d’une AMM prévue à l’article L. 5121-8 du CSP (ANSM, 04/06/2024)</w:t>
      </w:r>
      <w:r w:rsidR="003822F6">
        <w:t>.</w:t>
      </w:r>
    </w:p>
    <w:p w:rsidR="005C17EF" w:rsidRDefault="002B5D87" w:rsidP="00363798">
      <w:pPr>
        <w:pStyle w:val="Textebrut"/>
      </w:pPr>
      <w:hyperlink r:id="rId31" w:history="1">
        <w:r w:rsidR="00363798" w:rsidRPr="00287A00">
          <w:rPr>
            <w:rStyle w:val="Lienhypertexte"/>
          </w:rPr>
          <w:t>https://ansm.sante.fr/actualites/decision-du-28-05-2024-fixant-les-regles-auxquelles-se-conforment-les-ersa-pour-effectuer-le-deconditionnement-et-le-reconditionnement-des-specialites-pharmaceutiques-beneficiant-dune-amm-prevue-a-larticle-l-5121-8-du-csp</w:t>
        </w:r>
      </w:hyperlink>
    </w:p>
    <w:p w:rsidR="00363798" w:rsidRDefault="00363798" w:rsidP="00363798">
      <w:pPr>
        <w:pStyle w:val="Textebrut"/>
      </w:pPr>
    </w:p>
    <w:p w:rsidR="00DC40C7" w:rsidRDefault="00DC40C7" w:rsidP="00DC40C7">
      <w:pPr>
        <w:pStyle w:val="Textebrut"/>
      </w:pPr>
      <w:r>
        <w:t>Arrêté du 3 juin 2024 fixant la liste des personnes autorisées à exercer en France les fonctions de biologiste médical dans un domaine de spécialisation en application des dispositions de l'article L. 6213-2-1 du code de la santé publique (Domaines de spécialisation : « médecine moléculaire – génétique et pharmacologie » et « hématologie et immunologie »)</w:t>
      </w:r>
    </w:p>
    <w:p w:rsidR="00DC40C7" w:rsidRDefault="002B5D87" w:rsidP="00DC40C7">
      <w:pPr>
        <w:pStyle w:val="Textebrut"/>
      </w:pPr>
      <w:hyperlink r:id="rId32" w:history="1">
        <w:r w:rsidR="00DC40C7" w:rsidRPr="00287A00">
          <w:rPr>
            <w:rStyle w:val="Lienhypertexte"/>
          </w:rPr>
          <w:t>https://www.legifrance.gouv.fr/jorf/id/JORFTEXT000049666154</w:t>
        </w:r>
      </w:hyperlink>
    </w:p>
    <w:p w:rsidR="00DC40C7" w:rsidRDefault="00DC40C7" w:rsidP="00DC40C7">
      <w:pPr>
        <w:pStyle w:val="Textebrut"/>
      </w:pPr>
      <w:r>
        <w:t>Arrêté du 3 juin 2024 fixant la liste des personnes autorisées à exercer en France les fonctions de biologiste médical dans un domaine de spécialisation en application des dispositions de l'article L. 6213-2 (1°) du code de la santé publique (Domaine de spécialisation : « médecine moléculaire - génétique et pharmacologie »)</w:t>
      </w:r>
    </w:p>
    <w:p w:rsidR="00363798" w:rsidRDefault="002B5D87" w:rsidP="00DC40C7">
      <w:pPr>
        <w:pStyle w:val="Textebrut"/>
      </w:pPr>
      <w:hyperlink r:id="rId33" w:history="1">
        <w:r w:rsidR="00DC40C7" w:rsidRPr="00287A00">
          <w:rPr>
            <w:rStyle w:val="Lienhypertexte"/>
          </w:rPr>
          <w:t>https://www.legifrance.gouv.fr/jorf/id/JORFTEXT000049666157</w:t>
        </w:r>
      </w:hyperlink>
    </w:p>
    <w:p w:rsidR="00DC40C7" w:rsidRDefault="00DC40C7" w:rsidP="00DC40C7">
      <w:pPr>
        <w:pStyle w:val="Textebrut"/>
      </w:pPr>
      <w:r>
        <w:t>Arrêté du 3 juin 2024 fixant la liste des personnes autorisées à exercer en France les fonctions de biologiste médical dans un domaine de spécialisation en application des dispositions de l'article L. 6213-2 (4°) du code de la santé publique (Domaine de spécialisation : « radio toxicologie » au service de protection radiologique des armées (SPRA))</w:t>
      </w:r>
    </w:p>
    <w:p w:rsidR="00DC40C7" w:rsidRDefault="002B5D87" w:rsidP="00DC40C7">
      <w:pPr>
        <w:pStyle w:val="Textebrut"/>
      </w:pPr>
      <w:hyperlink r:id="rId34" w:history="1">
        <w:r w:rsidR="00DC40C7" w:rsidRPr="00287A00">
          <w:rPr>
            <w:rStyle w:val="Lienhypertexte"/>
          </w:rPr>
          <w:t>https://www.legifrance.gouv.fr/jorf/id/JORFTEXT000049666160</w:t>
        </w:r>
      </w:hyperlink>
    </w:p>
    <w:p w:rsidR="00DC40C7" w:rsidRDefault="00DC40C7" w:rsidP="00DC40C7">
      <w:pPr>
        <w:pStyle w:val="Textebrut"/>
      </w:pPr>
    </w:p>
    <w:p w:rsidR="00DC40C7" w:rsidRDefault="0049544E" w:rsidP="00DC40C7">
      <w:pPr>
        <w:pStyle w:val="Textebrut"/>
      </w:pPr>
      <w:r w:rsidRPr="0049544E">
        <w:t>Décision n° 474127 du 24/05/2024 du conseil d’Etat concernant les LBM et les conditions d’exercice d'une activité d'anatomie et cytologie pathologiques : "Un médecin spécialiste qualifié en anatomie et cytologie pathologiques peut être désigné comme coresponsable d’un laboratoire de biologie médicale privé, alors même qu’il ne peut en être le représentant légal, qualité qu’une telle désignation ne lui confère pas"</w:t>
      </w:r>
    </w:p>
    <w:p w:rsidR="0049544E" w:rsidRDefault="002B5D87" w:rsidP="00DC40C7">
      <w:pPr>
        <w:pStyle w:val="Textebrut"/>
      </w:pPr>
      <w:hyperlink r:id="rId35" w:history="1">
        <w:r w:rsidR="0049544E" w:rsidRPr="00287A00">
          <w:rPr>
            <w:rStyle w:val="Lienhypertexte"/>
          </w:rPr>
          <w:t>https://peps.sante.gouv.fr/actu/2024/24_ce-474127_anapath-coresponsable-lbm_24052024.docx</w:t>
        </w:r>
      </w:hyperlink>
    </w:p>
    <w:p w:rsidR="0049544E" w:rsidRDefault="0049544E" w:rsidP="00DC40C7">
      <w:pPr>
        <w:pStyle w:val="Textebrut"/>
      </w:pPr>
    </w:p>
    <w:p w:rsidR="00F72993" w:rsidRDefault="00F72993" w:rsidP="00F72993">
      <w:pPr>
        <w:pStyle w:val="Textebrut"/>
      </w:pPr>
      <w:r>
        <w:t>Note d’information n° DGOS/PHARE/RI2/DGS/DSS/2024/83 du 6 juin 2024 relative aux modalités de mise en oeuvre de la campagne 2024-2025 de prévention des bronchiolites à virus respiratoire syncitial (VRS).</w:t>
      </w:r>
    </w:p>
    <w:p w:rsidR="0049544E" w:rsidRDefault="00F72993" w:rsidP="00F72993">
      <w:pPr>
        <w:pStyle w:val="Textebrut"/>
      </w:pPr>
      <w:r>
        <w:t>Résumé : Cette note d’information précise les mesures applicables aux établissements de santé en vue de la campagne 2024-2025 de prévention des bronchiolites à VRS</w:t>
      </w:r>
    </w:p>
    <w:p w:rsidR="00F72993" w:rsidRDefault="002B5D87" w:rsidP="00F72993">
      <w:pPr>
        <w:pStyle w:val="Textebrut"/>
      </w:pPr>
      <w:hyperlink r:id="rId36" w:history="1">
        <w:r w:rsidR="00F72993" w:rsidRPr="00884B97">
          <w:rPr>
            <w:rStyle w:val="Lienhypertexte"/>
          </w:rPr>
          <w:t>https://peps.sante.gouv.fr/outils/docu/textes_texto/24_note_2024-83_beyfortus.pdf</w:t>
        </w:r>
      </w:hyperlink>
    </w:p>
    <w:p w:rsidR="00F72993" w:rsidRDefault="00F72993" w:rsidP="00F72993">
      <w:pPr>
        <w:pStyle w:val="Textebrut"/>
      </w:pPr>
    </w:p>
    <w:p w:rsidR="00F72993" w:rsidRDefault="00F72993" w:rsidP="00F72993">
      <w:pPr>
        <w:pStyle w:val="Textebrut"/>
      </w:pPr>
      <w:r>
        <w:t>Instruction interministérielle n° DGS/CCS/UDP/DGOS/DGCS/DGT/DGSCGC/DGEC/DJEPVA/DS/DGESCO/DIHAL/2024/70 du 27 mai 2024 relative à la gestion sanitaire des vagues de chaleur en France métropolitaine.</w:t>
      </w:r>
    </w:p>
    <w:p w:rsidR="00F72993" w:rsidRDefault="00F72993" w:rsidP="00F72993">
      <w:pPr>
        <w:pStyle w:val="Textebrut"/>
      </w:pPr>
      <w:r>
        <w:t>Résumé : La présente instruction a pour objet de présenter les modalités actualisées d’organisation mises en oeuvre pour préparer et gérer les impacts sanitaires liés à la survenue des vagues de chaleur, afin de protéger les populations. Elle précise l’organisation et les dispositifs de suivi et de gestion mis en oeuvre pour suivre l’impact sanitaire de vagues de chaleur. Elle rappelle également le périmètre d’intervention des services mobilisés au titre de la protection sanitaire des populations en cas de vague de chaleur</w:t>
      </w:r>
    </w:p>
    <w:p w:rsidR="00F72993" w:rsidRDefault="002B5D87" w:rsidP="00F72993">
      <w:pPr>
        <w:pStyle w:val="Textebrut"/>
      </w:pPr>
      <w:hyperlink r:id="rId37" w:history="1">
        <w:r w:rsidR="00F72993" w:rsidRPr="00884B97">
          <w:rPr>
            <w:rStyle w:val="Lienhypertexte"/>
          </w:rPr>
          <w:t>https://peps.sante.gouv.fr/actu/2024/24_instruction_2024-70_vagues-chaleur.pdf</w:t>
        </w:r>
      </w:hyperlink>
    </w:p>
    <w:p w:rsidR="00F72993" w:rsidRDefault="00F72993" w:rsidP="00F72993">
      <w:pPr>
        <w:pStyle w:val="Textebrut"/>
      </w:pPr>
    </w:p>
    <w:p w:rsidR="00D26CD3" w:rsidRDefault="00D26CD3" w:rsidP="00D26CD3">
      <w:pPr>
        <w:pStyle w:val="Textebrut"/>
      </w:pPr>
      <w:r>
        <w:t>Décision ANSM du 28/05/2024 modifiant la décision du 29/12/2015 modifiée relative aux bonnes pratiques de fabrication.</w:t>
      </w:r>
    </w:p>
    <w:p w:rsidR="00D26CD3" w:rsidRDefault="00D26CD3" w:rsidP="00D26CD3">
      <w:pPr>
        <w:pStyle w:val="Textebrut"/>
      </w:pPr>
      <w:r>
        <w:t>La ligne directrice particulière intitulée « LD.1. Fabrication des médicaments stériles » figurant dans la partie « Annexes » du Guide des bonnes pratiques de fabrication telle qu’issue de la décision du 29 décembre 2015 modifiée susvisée est remplacée par l’annexe 1 telle qu’annexée à la présente décision</w:t>
      </w:r>
    </w:p>
    <w:p w:rsidR="00D26CD3" w:rsidRDefault="002B5D87" w:rsidP="00D26CD3">
      <w:pPr>
        <w:pStyle w:val="Textebrut"/>
      </w:pPr>
      <w:hyperlink r:id="rId38" w:history="1">
        <w:r w:rsidR="00D26CD3" w:rsidRPr="00AB0CD4">
          <w:rPr>
            <w:rStyle w:val="Lienhypertexte"/>
          </w:rPr>
          <w:t>https://ansm.sante.fr/actualites/decision-du-28-05-2024-modifiant-la-decision-du-29-12-2015-modifiee-relative-aux-bonnes-pratiques-de-fabrication</w:t>
        </w:r>
      </w:hyperlink>
    </w:p>
    <w:p w:rsidR="00D26CD3" w:rsidRDefault="00D26CD3" w:rsidP="00D26CD3">
      <w:pPr>
        <w:pStyle w:val="Textebrut"/>
      </w:pPr>
      <w:r>
        <w:t>L’annexe n’étant pas publiée, vous retrouverez les BPF complètes et actualisées ici :</w:t>
      </w:r>
    </w:p>
    <w:p w:rsidR="00F72993" w:rsidRDefault="002B5D87" w:rsidP="00D26CD3">
      <w:pPr>
        <w:pStyle w:val="Textebrut"/>
      </w:pPr>
      <w:hyperlink r:id="rId39" w:history="1">
        <w:r w:rsidR="00D26CD3" w:rsidRPr="00AB0CD4">
          <w:rPr>
            <w:rStyle w:val="Lienhypertexte"/>
          </w:rPr>
          <w:t>https://ansm.sante.fr/uploads/2024/06/13/20240613-guide-bpf-2024-2.pdf</w:t>
        </w:r>
      </w:hyperlink>
    </w:p>
    <w:p w:rsidR="00D26CD3" w:rsidRDefault="00D26CD3" w:rsidP="00D26CD3">
      <w:pPr>
        <w:pStyle w:val="Textebrut"/>
      </w:pPr>
    </w:p>
    <w:p w:rsidR="00734025" w:rsidRDefault="00734025" w:rsidP="00734025">
      <w:pPr>
        <w:pStyle w:val="Textebrut"/>
      </w:pPr>
      <w:r>
        <w:t>Note d’information interministérielle n° DGOS/RI2/DSS/1C/2024/85 du 13 juin 2024 relative à l'évolution des modalités de prise en charge en sus des prestations d’hospitalisation, à titre dérogatoire et transitoire, des spécialités pharmaceutiques à base d’immunoglobulines humaines faisant l’objet d’une autorisation d’importation dans un contexte de tensions d’approvisionnement des spécialités équivalentes.</w:t>
      </w:r>
    </w:p>
    <w:p w:rsidR="00734025" w:rsidRDefault="00734025" w:rsidP="00734025">
      <w:pPr>
        <w:pStyle w:val="Textebrut"/>
      </w:pPr>
      <w:r>
        <w:t>Résumé : Lors de tensions d’approvisionnement concernant une spécialité commercialisée en France, l’Agence nationale de sécurité du médicament et des produits de santé (ANSM) peut accorder une autorisation d’importation pour une spécialité non destinée initialement au marché français. Cette note d’information précise les modalités de prise en charge des spécialités à base d’immunoglobulines polyvalentes humaines faisant l’objet d’une autorisation d’importation pour pallier les tensions d’approvisionnement d’une spécialité dont une ou plusieurs des indications thérapeutiques sont inscrites sur la liste prévue à l’article L. 162-22-7 du Code de la sécurité sociale (dite « liste en sus ») et qui bénéficient à ce titre d’une prise en charge en sus des prestations</w:t>
      </w:r>
    </w:p>
    <w:p w:rsidR="00D26CD3" w:rsidRDefault="00734025" w:rsidP="00734025">
      <w:pPr>
        <w:pStyle w:val="Textebrut"/>
      </w:pPr>
      <w:r>
        <w:t>d’hospitalisation</w:t>
      </w:r>
    </w:p>
    <w:p w:rsidR="00734025" w:rsidRDefault="002B5D87" w:rsidP="00734025">
      <w:pPr>
        <w:pStyle w:val="Textebrut"/>
      </w:pPr>
      <w:hyperlink r:id="rId40" w:history="1">
        <w:r w:rsidR="00F669DB" w:rsidRPr="006F6D2F">
          <w:rPr>
            <w:rStyle w:val="Lienhypertexte"/>
          </w:rPr>
          <w:t>https://peps.sante.gouv.fr/outils/docu/textes_texto/24_note_2024-85_immunoglobulines.pdf</w:t>
        </w:r>
      </w:hyperlink>
    </w:p>
    <w:p w:rsidR="00F669DB" w:rsidRDefault="00F669DB" w:rsidP="00734025">
      <w:pPr>
        <w:pStyle w:val="Textebrut"/>
      </w:pPr>
    </w:p>
    <w:p w:rsidR="00361E55" w:rsidRDefault="00361E55" w:rsidP="00361E55">
      <w:pPr>
        <w:pStyle w:val="Textebrut"/>
      </w:pPr>
      <w:r>
        <w:t>Décret n° 2024-550 du 17 juin 2024 relatif à la délivrance sans ordonnance de certains médicaments, après réalisation d'un test rapide d'orientation diagnostique par les pharmaciens d'officine.</w:t>
      </w:r>
    </w:p>
    <w:p w:rsidR="00361E55" w:rsidRDefault="00361E55" w:rsidP="00361E55">
      <w:pPr>
        <w:pStyle w:val="Textebrut"/>
      </w:pPr>
      <w:r>
        <w:t>Entrée en vigueur : le texte entre en vigueur le lendemain de sa publication.</w:t>
      </w:r>
    </w:p>
    <w:p w:rsidR="00361E55" w:rsidRDefault="00361E55" w:rsidP="00361E55">
      <w:pPr>
        <w:pStyle w:val="Textebrut"/>
      </w:pPr>
      <w:r>
        <w:t>Notice : le décret précise les conditions de mise en œuvre de la nouvelle compétence de délivrance sans ordonnance de certains médicaments après la réalisation d'un test rapide d'orientation diagnostique des pharmaciens d'officine. Il inscrit également le remboursement des médicaments ainsi délivrés</w:t>
      </w:r>
    </w:p>
    <w:p w:rsidR="00361E55" w:rsidRDefault="002B5D87" w:rsidP="00361E55">
      <w:pPr>
        <w:pStyle w:val="Textebrut"/>
      </w:pPr>
      <w:hyperlink r:id="rId41" w:history="1">
        <w:r w:rsidR="00361E55" w:rsidRPr="006F6D2F">
          <w:rPr>
            <w:rStyle w:val="Lienhypertexte"/>
          </w:rPr>
          <w:t>https://www.legifrance.gouv.fr/jorf/id/JORFTEXT000049734265</w:t>
        </w:r>
      </w:hyperlink>
    </w:p>
    <w:p w:rsidR="00361E55" w:rsidRDefault="00361E55" w:rsidP="00361E55">
      <w:pPr>
        <w:pStyle w:val="Textebrut"/>
      </w:pPr>
      <w:r>
        <w:t>Arrêté du 17 juin 2024 relatif à la tarification des prestations effectuées par les pharmaciens mentionnée au 16° de l'article L. 162-16-1 du code de la sécurité sociale conformément à l'article 52 loi n° 2023-1250 de la loi du 26 décembre 2023 de financement de la sécurité sociale pour 2024 (10€ pour le TROD seul, 15€ avec dispensation du médicament)</w:t>
      </w:r>
    </w:p>
    <w:p w:rsidR="00361E55" w:rsidRDefault="002B5D87" w:rsidP="00361E55">
      <w:pPr>
        <w:pStyle w:val="Textebrut"/>
      </w:pPr>
      <w:hyperlink r:id="rId42" w:history="1">
        <w:r w:rsidR="00361E55" w:rsidRPr="006F6D2F">
          <w:rPr>
            <w:rStyle w:val="Lienhypertexte"/>
          </w:rPr>
          <w:t>https://www.legifrance.gouv.fr/jorf/id/JORFTEXT000049734339</w:t>
        </w:r>
      </w:hyperlink>
    </w:p>
    <w:p w:rsidR="00361E55" w:rsidRDefault="00361E55" w:rsidP="00361E55">
      <w:pPr>
        <w:pStyle w:val="Textebrut"/>
      </w:pPr>
      <w:r>
        <w:t>Arrêté du 17 juin 2024 fixant les modalités de délivrance de médicaments sans ordonnance après la réalisation d'un test rapide d'orientation diagnostique, les modalités de formation spécifique des pharmaciens d'officine en la matière et précisant les conditions de recours à une ordonnance de dispensation conditionnelle (angine bactérienne à streptocoque du groupe A et cystite aiguë non compliquée chez la femme)</w:t>
      </w:r>
    </w:p>
    <w:p w:rsidR="00361E55" w:rsidRDefault="002B5D87" w:rsidP="00361E55">
      <w:pPr>
        <w:pStyle w:val="Textebrut"/>
      </w:pPr>
      <w:hyperlink r:id="rId43" w:history="1">
        <w:r w:rsidR="00361E55" w:rsidRPr="006F6D2F">
          <w:rPr>
            <w:rStyle w:val="Lienhypertexte"/>
          </w:rPr>
          <w:t>https://www.legifrance.gouv.fr/jorf/id/JORFTEXT000049734400</w:t>
        </w:r>
      </w:hyperlink>
    </w:p>
    <w:p w:rsidR="005C6980" w:rsidRDefault="005C6980" w:rsidP="00814D59">
      <w:pPr>
        <w:pStyle w:val="Textebrut"/>
      </w:pPr>
    </w:p>
    <w:p w:rsidR="00F15253" w:rsidRDefault="00F15253" w:rsidP="00814D59">
      <w:pPr>
        <w:pStyle w:val="Textebrut"/>
      </w:pPr>
    </w:p>
    <w:p w:rsidR="00814D59" w:rsidRDefault="00814D59" w:rsidP="00814D59">
      <w:pPr>
        <w:pStyle w:val="Textebrut"/>
      </w:pPr>
      <w:r>
        <w:t>Délivrance sans ordonnance d’antibiotiques suite à un test positif par les pharmaciens d’officine : publication des textes (CNOP, 20/06/2024).</w:t>
      </w:r>
    </w:p>
    <w:p w:rsidR="00814D59" w:rsidRDefault="00814D59" w:rsidP="00814D59">
      <w:pPr>
        <w:pStyle w:val="Textebrut"/>
      </w:pPr>
      <w:r>
        <w:t>Le décret relatif à la délivrance sans ordonnance de certains médicaments après réalisation d'un test rapide d'orientation diagnostique (TROD) par les pharmaciens d'officine est entré en vigueur le 19 juin 2024. Un arrêté fixe les modalités de délivrance et de formation, précisant les conditions de recours à une ordonnance de dispensation conditionnelle. L’Ordre national des pharmaciens avait été consulté sur les deux projets de textes</w:t>
      </w:r>
    </w:p>
    <w:p w:rsidR="00361E55" w:rsidRDefault="002B5D87" w:rsidP="00814D59">
      <w:pPr>
        <w:pStyle w:val="Textebrut"/>
      </w:pPr>
      <w:hyperlink r:id="rId44" w:history="1">
        <w:r w:rsidR="00814D59" w:rsidRPr="0075011E">
          <w:rPr>
            <w:rStyle w:val="Lienhypertexte"/>
          </w:rPr>
          <w:t>https://www.ordre.pharmacien.fr/les-communications/focus-sur/les-actualites/delivrance-sans-ordonnance-d-antibiotiques-suite-a-un-test-positif-par-les-pharmaciens-d-officine-publication-des-textes</w:t>
        </w:r>
      </w:hyperlink>
    </w:p>
    <w:p w:rsidR="002B7127" w:rsidRDefault="002B7127" w:rsidP="002B7127">
      <w:pPr>
        <w:pStyle w:val="Textebrut"/>
      </w:pPr>
      <w:r>
        <w:t>TROD angine et cystite : la prescription des antibiotiques, c’est (presque) parti ! (Le Quotidien du pharmacien, 18/06/2024).</w:t>
      </w:r>
    </w:p>
    <w:p w:rsidR="002B7127" w:rsidRDefault="002B7127" w:rsidP="002B7127">
      <w:pPr>
        <w:pStyle w:val="Textebrut"/>
      </w:pPr>
      <w:r>
        <w:t>La prescription d’antibiotiques par les pharmaciens après réalisation d’un TROD cystite ou angine est publiée au « Journal officiel ». Pour les pharmaciens formés, c’est désormais le moment de se lancer, en suivant les modalités</w:t>
      </w:r>
    </w:p>
    <w:p w:rsidR="002B7127" w:rsidRDefault="002B5D87" w:rsidP="002B7127">
      <w:pPr>
        <w:pStyle w:val="Textebrut"/>
      </w:pPr>
      <w:hyperlink r:id="rId45" w:history="1">
        <w:r w:rsidR="002B7127" w:rsidRPr="006F6D2F">
          <w:rPr>
            <w:rStyle w:val="Lienhypertexte"/>
          </w:rPr>
          <w:t>https://www.lequotidiendupharmacien.fr/exercice-pro/trod-angine-et-cystite-la-prescription-des-antibiotiques-cest-presque-parti</w:t>
        </w:r>
      </w:hyperlink>
    </w:p>
    <w:p w:rsidR="002B7127" w:rsidRDefault="002B7127" w:rsidP="002B7127">
      <w:pPr>
        <w:pStyle w:val="Textebrut"/>
      </w:pPr>
      <w:r>
        <w:t>Angines et cystites : les pharmaciens peuvent délivrer sous certaines conditions des antibiotiques sans ordonnance (service-public.fr, 20/06/2024).</w:t>
      </w:r>
    </w:p>
    <w:p w:rsidR="002B7127" w:rsidRDefault="002B7127" w:rsidP="002B7127">
      <w:pPr>
        <w:pStyle w:val="Textebrut"/>
      </w:pPr>
      <w:r>
        <w:t>Vous pouvez désormais obtenir des antibiotiques sans ordonnance auprès de votre pharmacien, en cas d'angine ou de cystite. Service-Public.fr fait le point sur cette nouvelle mesure, prévue dans la loi de financement de la Sécurité sociale 2024 et entrée en vigueur le 19 juin 2024</w:t>
      </w:r>
    </w:p>
    <w:p w:rsidR="002B7127" w:rsidRDefault="002B5D87" w:rsidP="002B7127">
      <w:pPr>
        <w:pStyle w:val="Textebrut"/>
      </w:pPr>
      <w:hyperlink r:id="rId46" w:history="1">
        <w:r w:rsidR="002B7127" w:rsidRPr="0075011E">
          <w:rPr>
            <w:rStyle w:val="Lienhypertexte"/>
          </w:rPr>
          <w:t>https://www.service-public.fr/particuliers/actualites/A17229</w:t>
        </w:r>
      </w:hyperlink>
    </w:p>
    <w:p w:rsidR="002B7127" w:rsidRDefault="002B7127" w:rsidP="002B7127">
      <w:pPr>
        <w:pStyle w:val="Textebrut"/>
      </w:pPr>
    </w:p>
    <w:p w:rsidR="00361E55" w:rsidRDefault="00361E55" w:rsidP="00361E55">
      <w:pPr>
        <w:pStyle w:val="Textebrut"/>
      </w:pPr>
      <w:r>
        <w:t>Les deux arrêtés suivants abrogent et remplacent les arrêtés du 9 mars 2023 communs aux infirmiers et pharmaciens pour les limiter aux infirmiers :</w:t>
      </w:r>
    </w:p>
    <w:p w:rsidR="00361E55" w:rsidRDefault="00361E55" w:rsidP="00361E55">
      <w:pPr>
        <w:pStyle w:val="Textebrut"/>
      </w:pPr>
      <w:r>
        <w:t>Arrêté du 17 juin 2024 relatif au protocole de coopération « Prise en charge par l'infirmier des patients de 6 à 50 ans se présentant pour odynophagie (douleur de gorge ressentie ou augmentée lors de la déglutition) dans le cadre d'une structure d'exercice coordonné ou d'une communauté professionnelle territoriale de santé (CPTS) »</w:t>
      </w:r>
    </w:p>
    <w:p w:rsidR="00361E55" w:rsidRDefault="002B5D87" w:rsidP="00361E55">
      <w:pPr>
        <w:pStyle w:val="Textebrut"/>
      </w:pPr>
      <w:hyperlink r:id="rId47" w:history="1">
        <w:r w:rsidR="00361E55" w:rsidRPr="006F6D2F">
          <w:rPr>
            <w:rStyle w:val="Lienhypertexte"/>
          </w:rPr>
          <w:t>https://www.legifrance.gouv.fr/jorf/id/JORFTEXT000049734354</w:t>
        </w:r>
      </w:hyperlink>
    </w:p>
    <w:p w:rsidR="00361E55" w:rsidRDefault="00361E55" w:rsidP="00361E55">
      <w:pPr>
        <w:pStyle w:val="Textebrut"/>
      </w:pPr>
      <w:r>
        <w:t>Arrêté du 17 juin 2024 relatif au protocole de coopération « Prise en charge par l'infirmier diplômé d'Etat de la pollakiurie et des brûlures mictionnelles non fébriles chez la femme de 16 à 65 ans dans le cadre d'une structure d'exercice coordonné ou d'une communauté professionnelle territoriale de santé (CPTS) »</w:t>
      </w:r>
    </w:p>
    <w:p w:rsidR="00DC40C7" w:rsidRDefault="002B5D87" w:rsidP="00361E55">
      <w:pPr>
        <w:pStyle w:val="Textebrut"/>
      </w:pPr>
      <w:hyperlink r:id="rId48" w:history="1">
        <w:r w:rsidR="00361E55" w:rsidRPr="006F6D2F">
          <w:rPr>
            <w:rStyle w:val="Lienhypertexte"/>
          </w:rPr>
          <w:t>https://www.legifrance.gouv.fr/jorf/id/JORFTEXT000049734366</w:t>
        </w:r>
      </w:hyperlink>
    </w:p>
    <w:p w:rsidR="00361E55" w:rsidRDefault="00361E55" w:rsidP="00361E55">
      <w:pPr>
        <w:pStyle w:val="Textebrut"/>
      </w:pPr>
    </w:p>
    <w:p w:rsidR="006D4AC4" w:rsidRDefault="006D4AC4" w:rsidP="006D4AC4">
      <w:pPr>
        <w:pStyle w:val="Textebrut"/>
      </w:pPr>
      <w:r>
        <w:t>Décret n° 2024-568 du 20 juin 2024 visant à améliorer l'encadrement des centres de santé.</w:t>
      </w:r>
    </w:p>
    <w:p w:rsidR="006D4AC4" w:rsidRDefault="006D4AC4" w:rsidP="006D4AC4">
      <w:pPr>
        <w:pStyle w:val="Textebrut"/>
      </w:pPr>
      <w:r>
        <w:t>Publics concernés : centres de santé ; agences régionales de santé ; professionnels de santé, ordres professionnels ; caisses primaires de l'assurance maladie.</w:t>
      </w:r>
    </w:p>
    <w:p w:rsidR="006D4AC4" w:rsidRDefault="006D4AC4" w:rsidP="006D4AC4">
      <w:pPr>
        <w:pStyle w:val="Textebrut"/>
      </w:pPr>
      <w:r>
        <w:t>Objet : diverses mesures visant à améliorer l'encadrement des centres de santé et en particulier des centres ayant une activité dentaire, ophtalmologique ou orthoptique (mise en œuvre d'un agrément préalable, mise en œuvre d'un comité médical ou dentaire, certification des comptes).</w:t>
      </w:r>
    </w:p>
    <w:p w:rsidR="006D4AC4" w:rsidRDefault="006D4AC4" w:rsidP="006D4AC4">
      <w:pPr>
        <w:pStyle w:val="Textebrut"/>
      </w:pPr>
      <w:r>
        <w:t>Notice : le décret a pour objet de préciser la procédure d'agrément des centres de santé ayant une activité dentaire, ophtalmologique ou orthoptique, la mise en place du comité médical ou du comité dentaire, le barème des amendes administratives et d'autres mesures ayant pour objectif de lutter contre les dérives en centres en santé en application de la loi du 19 mai 2023</w:t>
      </w:r>
    </w:p>
    <w:p w:rsidR="006D4AC4" w:rsidRDefault="002B5D87" w:rsidP="006D4AC4">
      <w:pPr>
        <w:pStyle w:val="Textebrut"/>
      </w:pPr>
      <w:hyperlink r:id="rId49" w:history="1">
        <w:r w:rsidR="006D4AC4" w:rsidRPr="0075011E">
          <w:rPr>
            <w:rStyle w:val="Lienhypertexte"/>
          </w:rPr>
          <w:t>https://www.legifrance.gouv.fr/jorf/id/JORFTEXT000049757421</w:t>
        </w:r>
      </w:hyperlink>
    </w:p>
    <w:p w:rsidR="006D4AC4" w:rsidRDefault="006D4AC4" w:rsidP="006D4AC4">
      <w:pPr>
        <w:pStyle w:val="Textebrut"/>
      </w:pPr>
      <w:r>
        <w:t>Arrêté du 20 juin 2024 modifiant l'arrêté du 27 février 2018 relatif aux centres de santé</w:t>
      </w:r>
    </w:p>
    <w:p w:rsidR="006D4AC4" w:rsidRDefault="002B5D87" w:rsidP="006D4AC4">
      <w:pPr>
        <w:pStyle w:val="Textebrut"/>
      </w:pPr>
      <w:hyperlink r:id="rId50" w:history="1">
        <w:r w:rsidR="006D4AC4" w:rsidRPr="0075011E">
          <w:rPr>
            <w:rStyle w:val="Lienhypertexte"/>
          </w:rPr>
          <w:t>https://www.legifrance.gouv.fr/jorf/id/JORFTEXT000049757928</w:t>
        </w:r>
      </w:hyperlink>
    </w:p>
    <w:p w:rsidR="00F15253" w:rsidRDefault="00F15253" w:rsidP="0090785A">
      <w:pPr>
        <w:pStyle w:val="Textebrut"/>
      </w:pPr>
    </w:p>
    <w:p w:rsidR="0090785A" w:rsidRDefault="0090785A" w:rsidP="0090785A">
      <w:pPr>
        <w:pStyle w:val="Textebrut"/>
      </w:pPr>
      <w:r>
        <w:t>Communiqué du 21/06/2024 - Loi visant à améliorer l’encadrement des centres de santé : publication des textes d’application.</w:t>
      </w:r>
    </w:p>
    <w:p w:rsidR="0090785A" w:rsidRDefault="0090785A" w:rsidP="0090785A">
      <w:pPr>
        <w:pStyle w:val="Textebrut"/>
      </w:pPr>
      <w:r>
        <w:lastRenderedPageBreak/>
        <w:t>Le ministère chargé de la Santé et de la Prévention annonce la publication ce jour au Journal officiel des textes d’application de la loi du 19 mai 2023 visant à améliorer l’encadrement des centres de santé pour renforcer la sécurité des patients</w:t>
      </w:r>
    </w:p>
    <w:p w:rsidR="006D4AC4" w:rsidRDefault="002B5D87" w:rsidP="0090785A">
      <w:pPr>
        <w:pStyle w:val="Textebrut"/>
      </w:pPr>
      <w:hyperlink r:id="rId51" w:history="1">
        <w:r w:rsidR="0090785A" w:rsidRPr="00D90BA7">
          <w:rPr>
            <w:rStyle w:val="Lienhypertexte"/>
          </w:rPr>
          <w:t>https://sante.gouv.fr/actualites/presse/communiques-de-presse/article/loi-visant-a-ameliorer-l-encadrement-des-centres-de-sante-publication-des</w:t>
        </w:r>
      </w:hyperlink>
    </w:p>
    <w:p w:rsidR="0090785A" w:rsidRDefault="0090785A" w:rsidP="0090785A">
      <w:pPr>
        <w:pStyle w:val="Textebrut"/>
      </w:pPr>
    </w:p>
    <w:p w:rsidR="004B52F1" w:rsidRDefault="004B52F1" w:rsidP="004B52F1">
      <w:pPr>
        <w:pStyle w:val="Textebrut"/>
      </w:pPr>
      <w:r>
        <w:t>Arrêté du 18 juin 2024 portant modification de l'annexe de l'arrêté du 15 juillet 2021 fixant la liste des laboratoires de biologie médicale de référence (annule et remplace la liste modifiée annexée à l’arrêté du 15/07/2021)</w:t>
      </w:r>
    </w:p>
    <w:p w:rsidR="006D4AC4" w:rsidRDefault="002B5D87" w:rsidP="004B52F1">
      <w:pPr>
        <w:pStyle w:val="Textebrut"/>
      </w:pPr>
      <w:hyperlink r:id="rId52" w:history="1">
        <w:r w:rsidR="004B52F1" w:rsidRPr="00192D49">
          <w:rPr>
            <w:rStyle w:val="Lienhypertexte"/>
          </w:rPr>
          <w:t>https://www.legifrance.gouv.fr/jorf/id/JORFTEXT000049765073</w:t>
        </w:r>
      </w:hyperlink>
    </w:p>
    <w:p w:rsidR="004B52F1" w:rsidRDefault="004B52F1" w:rsidP="004B52F1">
      <w:pPr>
        <w:pStyle w:val="Textebrut"/>
      </w:pPr>
    </w:p>
    <w:p w:rsidR="00AD75C8" w:rsidRDefault="00AD75C8" w:rsidP="00AD75C8">
      <w:pPr>
        <w:pStyle w:val="Textebrut"/>
      </w:pPr>
      <w:r>
        <w:t>Arrêté du 18 juin 2024 modifiant l'arrêté du 1er juin 2015 déterminant les recommandations de bonnes pratiques relatives aux modalités d'accès, de prise en charge des femmes enceintes et des couples, d'organisation et de fonctionnement des centres pluridisciplinaires de diagnostic prénatal en matière de diagnostic prénatal et de diagnostic préimplantatoire (annule et remplace l’annexe de l’arrêté du 01/06/2015)</w:t>
      </w:r>
    </w:p>
    <w:p w:rsidR="004B52F1" w:rsidRDefault="002B5D87" w:rsidP="00AD75C8">
      <w:pPr>
        <w:pStyle w:val="Textebrut"/>
      </w:pPr>
      <w:hyperlink r:id="rId53" w:history="1">
        <w:r w:rsidR="00AD75C8" w:rsidRPr="00192D49">
          <w:rPr>
            <w:rStyle w:val="Lienhypertexte"/>
          </w:rPr>
          <w:t>https://www.legifrance.gouv.fr/jorf/id/JORFTEXT000049765083</w:t>
        </w:r>
      </w:hyperlink>
    </w:p>
    <w:p w:rsidR="00AD75C8" w:rsidRDefault="00AD75C8" w:rsidP="00AD75C8">
      <w:pPr>
        <w:pStyle w:val="Textebrut"/>
      </w:pPr>
    </w:p>
    <w:p w:rsidR="008444E9" w:rsidRDefault="008444E9" w:rsidP="008444E9">
      <w:pPr>
        <w:pStyle w:val="Textebrut"/>
      </w:pPr>
      <w:r>
        <w:t>Arrêté du 18 juin 2024 fixant la liste des substances et méthodes dont la détention est interdite en application de l'article L. 232-26 du code du sport</w:t>
      </w:r>
      <w:r w:rsidR="002D173A">
        <w:t xml:space="preserve"> (abroge et remplace l’arrêté du 01/07/2021 de même objet)</w:t>
      </w:r>
    </w:p>
    <w:p w:rsidR="008444E9" w:rsidRDefault="002B5D87" w:rsidP="008444E9">
      <w:pPr>
        <w:pStyle w:val="Textebrut"/>
      </w:pPr>
      <w:hyperlink r:id="rId54" w:history="1">
        <w:r w:rsidR="008444E9" w:rsidRPr="00CF2CE3">
          <w:rPr>
            <w:rStyle w:val="Lienhypertexte"/>
          </w:rPr>
          <w:t>https://www.legifrance.gouv.fr/jorf/id/JORFTEXT000049780515</w:t>
        </w:r>
      </w:hyperlink>
    </w:p>
    <w:p w:rsidR="008444E9" w:rsidRDefault="008444E9" w:rsidP="008444E9">
      <w:pPr>
        <w:pStyle w:val="Textebrut"/>
      </w:pPr>
    </w:p>
    <w:p w:rsidR="008444E9" w:rsidRDefault="008444E9" w:rsidP="008444E9">
      <w:pPr>
        <w:pStyle w:val="Textebrut"/>
      </w:pPr>
      <w:r>
        <w:t>Arrêté du 14 juin 2024 fixant la liste des personnes autorisées à exercer en France la profession de médecin dans la spécialité « biologie médicale (médecin) » en application des dispositions de l'article L. 4111-2 (I) du code de la santé publique et du IV de l'article 83 de la loi n° 2006-1640 du 21 décembre 2006 de financement de la sécurité sociale pour 2007 modifiée</w:t>
      </w:r>
    </w:p>
    <w:p w:rsidR="00AD75C8" w:rsidRDefault="002B5D87" w:rsidP="008444E9">
      <w:pPr>
        <w:pStyle w:val="Textebrut"/>
      </w:pPr>
      <w:hyperlink r:id="rId55" w:history="1">
        <w:r w:rsidR="008444E9" w:rsidRPr="00CF2CE3">
          <w:rPr>
            <w:rStyle w:val="Lienhypertexte"/>
          </w:rPr>
          <w:t>https://www.legifrance.gouv.fr/jorf/id/JORFTEXT000049780632</w:t>
        </w:r>
      </w:hyperlink>
    </w:p>
    <w:p w:rsidR="008444E9" w:rsidRDefault="008444E9" w:rsidP="008444E9">
      <w:pPr>
        <w:pStyle w:val="Textebrut"/>
      </w:pPr>
    </w:p>
    <w:p w:rsidR="008A4324" w:rsidRDefault="008A4324" w:rsidP="008A4324">
      <w:pPr>
        <w:pStyle w:val="Textebrut"/>
      </w:pPr>
      <w:r>
        <w:t>Décision ANSM du 21/06/2024 portant inscription sur les listes I et II des substances vénéneuses définies à l’article L.5132-6 du code de la santé publique</w:t>
      </w:r>
    </w:p>
    <w:p w:rsidR="008A4324" w:rsidRDefault="002B5D87" w:rsidP="008A4324">
      <w:pPr>
        <w:pStyle w:val="Textebrut"/>
      </w:pPr>
      <w:hyperlink r:id="rId56" w:history="1">
        <w:r w:rsidR="008A4324" w:rsidRPr="00E5642A">
          <w:rPr>
            <w:rStyle w:val="Lienhypertexte"/>
          </w:rPr>
          <w:t>https://ansm.sante.fr/actualites/decision-du-21-06-2024-portant-inscription-sur-les-listes-i-et-ii-des-substances-veneneuses-definies-a-larticle-l-5132-6-du-code-de-la-sante-publique</w:t>
        </w:r>
      </w:hyperlink>
    </w:p>
    <w:p w:rsidR="008A4324" w:rsidRDefault="008A4324" w:rsidP="008A4324">
      <w:pPr>
        <w:pStyle w:val="Textebrut"/>
      </w:pPr>
      <w:r>
        <w:t>À compter du 10/07/2024 la cyproheptadine (Périactine 4mg) sera dispensée uniquement sur ordonnance (ANSM, 26/06/2024).</w:t>
      </w:r>
    </w:p>
    <w:p w:rsidR="008A4324" w:rsidRDefault="008A4324" w:rsidP="008A4324">
      <w:pPr>
        <w:pStyle w:val="Textebrut"/>
      </w:pPr>
      <w:r>
        <w:t>Dans la continuité de nos actions en faveur du bon usage du médicament et afin d’empêcher son détournement pour la prise de poids à des fins esthétiques, nous faisons évoluer les conditions de prescription et de délivrance de la cyproheptadine (Périactine 4mg). À compter du 10/07/2024, ce médicament ne sera accessible que sur ordonnance (liste I)</w:t>
      </w:r>
    </w:p>
    <w:p w:rsidR="008444E9" w:rsidRDefault="002B5D87" w:rsidP="008A4324">
      <w:pPr>
        <w:pStyle w:val="Textebrut"/>
      </w:pPr>
      <w:hyperlink r:id="rId57" w:history="1">
        <w:r w:rsidR="008A4324" w:rsidRPr="00E5642A">
          <w:rPr>
            <w:rStyle w:val="Lienhypertexte"/>
          </w:rPr>
          <w:t>https://ansm.sante.fr/actualites/a-compter-du-10-07-2024-la-cyproheptadine-periactine-4mg-sera-dispensee-uniquement-sur-ordonnance</w:t>
        </w:r>
      </w:hyperlink>
    </w:p>
    <w:p w:rsidR="008A4324" w:rsidRDefault="008A4324" w:rsidP="008A4324">
      <w:pPr>
        <w:pStyle w:val="Textebrut"/>
      </w:pPr>
    </w:p>
    <w:p w:rsidR="004B52F1" w:rsidRDefault="004B52F1" w:rsidP="004B52F1">
      <w:pPr>
        <w:pStyle w:val="Textebrut"/>
      </w:pPr>
    </w:p>
    <w:p w:rsidR="00C73E01" w:rsidRPr="0089584B" w:rsidRDefault="002B5D87" w:rsidP="00C73E01">
      <w:pPr>
        <w:pStyle w:val="PEPS"/>
      </w:pPr>
      <w:hyperlink r:id="rId58" w:history="1">
        <w:r w:rsidR="00C73E01" w:rsidRPr="0089584B">
          <w:t>Actualités</w:t>
        </w:r>
      </w:hyperlink>
      <w:r w:rsidR="00C73E01">
        <w:t xml:space="preserve"> Covid-19</w:t>
      </w:r>
      <w:r w:rsidR="00C73E01" w:rsidRPr="0089584B">
        <w:t> :</w:t>
      </w:r>
    </w:p>
    <w:p w:rsidR="00C73E01" w:rsidRDefault="00C73E01" w:rsidP="00C73E01">
      <w:pPr>
        <w:pStyle w:val="Textebrut"/>
      </w:pPr>
    </w:p>
    <w:p w:rsidR="00AC503D" w:rsidRDefault="00AC503D" w:rsidP="00AC503D">
      <w:pPr>
        <w:pStyle w:val="Textebrut"/>
      </w:pPr>
      <w:r>
        <w:t>Vous retrouverez tout sur ce sujet sur la page d’actualités du PEPPS dédiée :</w:t>
      </w:r>
    </w:p>
    <w:p w:rsidR="00C73E01" w:rsidRDefault="002B5D87" w:rsidP="00AC503D">
      <w:pPr>
        <w:pStyle w:val="Textebrut"/>
      </w:pPr>
      <w:hyperlink r:id="rId59" w:history="1">
        <w:r w:rsidR="00AC503D" w:rsidRPr="009D7C82">
          <w:rPr>
            <w:rStyle w:val="Lienhypertexte"/>
          </w:rPr>
          <w:t>https://peps.sante.gouv.fr/actu/ncov/actus_2019-ncov.html</w:t>
        </w:r>
      </w:hyperlink>
    </w:p>
    <w:p w:rsidR="00C73E01" w:rsidRDefault="00C73E01" w:rsidP="00F8571B">
      <w:pPr>
        <w:pStyle w:val="Textebrut"/>
      </w:pPr>
    </w:p>
    <w:p w:rsidR="00C91214" w:rsidRDefault="00C91214" w:rsidP="00C91214">
      <w:pPr>
        <w:pStyle w:val="Textebrut"/>
      </w:pPr>
      <w:r>
        <w:t>Arrêté du 29 mai 2024 modifiant l'arrêté du 12 juillet 2017 fixant les listes des infections transmissibles prescrivant ou portant interdiction de certaines opérations funéraires mentionnées à l'article R. 2213-2-1 du code général des collectivités territoriales et modifant l'arrêté du 1er juin 2021 prescrivant les mesures générales nécessaires à la gestion de la sortie de crise sanitaire</w:t>
      </w:r>
    </w:p>
    <w:p w:rsidR="00AC503D" w:rsidRDefault="002B5D87" w:rsidP="00C91214">
      <w:pPr>
        <w:pStyle w:val="Textebrut"/>
      </w:pPr>
      <w:hyperlink r:id="rId60" w:history="1">
        <w:r w:rsidR="00C91214" w:rsidRPr="00884B97">
          <w:rPr>
            <w:rStyle w:val="Lienhypertexte"/>
          </w:rPr>
          <w:t>https://www.legifrance.gouv.fr/jorf/id/JORFTEXT000049699195</w:t>
        </w:r>
      </w:hyperlink>
    </w:p>
    <w:p w:rsidR="00C91214" w:rsidRDefault="00C91214" w:rsidP="00C91214">
      <w:pPr>
        <w:pStyle w:val="Textebrut"/>
      </w:pPr>
    </w:p>
    <w:p w:rsidR="00734025" w:rsidRDefault="00734025" w:rsidP="00734025">
      <w:pPr>
        <w:pStyle w:val="Textebrut"/>
      </w:pPr>
      <w:r>
        <w:t>Analyse de risque liée aux variants émergents de SARS-COV-2 (SpF, 10/06/2024)</w:t>
      </w:r>
    </w:p>
    <w:p w:rsidR="00C91214" w:rsidRDefault="002B5D87" w:rsidP="00734025">
      <w:pPr>
        <w:pStyle w:val="Textebrut"/>
      </w:pPr>
      <w:hyperlink r:id="rId61" w:history="1">
        <w:r w:rsidR="00734025" w:rsidRPr="00DD3059">
          <w:rPr>
            <w:rStyle w:val="Lienhypertexte"/>
          </w:rPr>
          <w:t>https://www.santepubliquefrance.fr/media/files/01-maladies-et-traumatismes/maladies-et-infections-respiratoires/infection-a-coronavirus/analyse-de-risque-liee-aux-variants-emergents-de-sars-cov-2-10-06-24</w:t>
        </w:r>
      </w:hyperlink>
    </w:p>
    <w:p w:rsidR="00734025" w:rsidRDefault="00734025" w:rsidP="00734025">
      <w:pPr>
        <w:pStyle w:val="Textebrut"/>
      </w:pPr>
    </w:p>
    <w:p w:rsidR="00F669DB" w:rsidRDefault="00F669DB" w:rsidP="00734025">
      <w:pPr>
        <w:pStyle w:val="Textebrut"/>
      </w:pPr>
      <w:r w:rsidRPr="00F669DB">
        <w:t>MARS n°2024_08 du 18/06/2024 - Covid-19 : Interruption des commandes pendant la période inter-campagnes et arrêt du téléservice vaccin Covid</w:t>
      </w:r>
    </w:p>
    <w:p w:rsidR="00F669DB" w:rsidRDefault="002B5D87" w:rsidP="00734025">
      <w:pPr>
        <w:pStyle w:val="Textebrut"/>
      </w:pPr>
      <w:hyperlink r:id="rId62" w:history="1">
        <w:r w:rsidR="00F669DB" w:rsidRPr="006F6D2F">
          <w:rPr>
            <w:rStyle w:val="Lienhypertexte"/>
          </w:rPr>
          <w:t>https://peps.sante.gouv.fr/actu/ncov/24_mars_2024-08.pdf</w:t>
        </w:r>
      </w:hyperlink>
    </w:p>
    <w:p w:rsidR="00734025" w:rsidRDefault="00F669DB" w:rsidP="00734025">
      <w:pPr>
        <w:pStyle w:val="Textebrut"/>
      </w:pPr>
      <w:r w:rsidRPr="00F669DB">
        <w:t>DGS-URGENT n°2024-09 du 18/06/2024 - Covid-19 : Interruption des commandes pendant la période inter-campagnes et arrêt du téléservice vaccin Covid</w:t>
      </w:r>
    </w:p>
    <w:p w:rsidR="00F669DB" w:rsidRDefault="002B5D87" w:rsidP="00734025">
      <w:pPr>
        <w:pStyle w:val="Textebrut"/>
      </w:pPr>
      <w:hyperlink r:id="rId63" w:history="1">
        <w:r w:rsidR="00F669DB" w:rsidRPr="006F6D2F">
          <w:rPr>
            <w:rStyle w:val="Lienhypertexte"/>
          </w:rPr>
          <w:t>https://sante.gouv.fr/IMG/pdf/dgs-urgent__09_-_covid-19_-_interruption_des_commandes_et_arret_du_teleservice_vaccin_covid.pdf</w:t>
        </w:r>
      </w:hyperlink>
    </w:p>
    <w:p w:rsidR="00F669DB" w:rsidRDefault="00F669DB" w:rsidP="00734025">
      <w:pPr>
        <w:pStyle w:val="Textebrut"/>
      </w:pPr>
    </w:p>
    <w:p w:rsidR="00686B44" w:rsidRDefault="00686B44" w:rsidP="00686B44">
      <w:pPr>
        <w:pStyle w:val="Textebrut"/>
      </w:pPr>
      <w:r>
        <w:t>Téléservice Vaccin Covid : fermeture définitive le 28 juin (CNOP, 20/06/2024).</w:t>
      </w:r>
    </w:p>
    <w:p w:rsidR="00686B44" w:rsidRDefault="00686B44" w:rsidP="00686B44">
      <w:pPr>
        <w:pStyle w:val="Textebrut"/>
      </w:pPr>
      <w:r>
        <w:t>Conçu pour faciliter la gestion des campagnes de vaccination en temps de crise sanitaire, le téléservice Vaccin Covid, développé par l’Assurance Maladie, a permis d’enregistrer plus de 163 millions d’injections contre le Covid-19 depuis son ouverture le 4 janvier 2021. Cette période de crise étant désormais révolue, les autorités sanitaires ont décidé l’arrêt définitif de cet outil qui n’a pas été conçu pour un suivi vaccinal de routine</w:t>
      </w:r>
    </w:p>
    <w:p w:rsidR="00686B44" w:rsidRDefault="002B5D87" w:rsidP="00686B44">
      <w:pPr>
        <w:pStyle w:val="Textebrut"/>
      </w:pPr>
      <w:hyperlink r:id="rId64" w:history="1">
        <w:r w:rsidR="00686B44" w:rsidRPr="0075011E">
          <w:rPr>
            <w:rStyle w:val="Lienhypertexte"/>
          </w:rPr>
          <w:t>https://www.ordre.pharmacien.fr/les-communications/focus-sur/les-actualites/teleservice-vaccin-covid-fermeture-definitive-le-28-juin</w:t>
        </w:r>
      </w:hyperlink>
    </w:p>
    <w:p w:rsidR="00574F90" w:rsidRDefault="00574F90" w:rsidP="00574F90">
      <w:pPr>
        <w:pStyle w:val="Textebrut"/>
      </w:pPr>
      <w:r>
        <w:t>Arrêt total du téléservice Vaccin Covid à partir du 28 juin (ameli.fr, 21/06/2024).</w:t>
      </w:r>
    </w:p>
    <w:p w:rsidR="00574F90" w:rsidRDefault="00574F90" w:rsidP="00574F90">
      <w:pPr>
        <w:pStyle w:val="Textebrut"/>
      </w:pPr>
      <w:r>
        <w:t>Le téléservice Vaccin Covid a été conçu pour faciliter la gestion des campagnes de vaccination en période de crise sanitaire. Cette période étant finie, les autorités sanitaires ont décidé l’arrêt définitif de cet outil, qui n’a pas été conçu pour un suivi vaccinal de routine</w:t>
      </w:r>
    </w:p>
    <w:p w:rsidR="00686B44" w:rsidRDefault="002B5D87" w:rsidP="00574F90">
      <w:pPr>
        <w:pStyle w:val="Textebrut"/>
      </w:pPr>
      <w:hyperlink r:id="rId65" w:history="1">
        <w:r w:rsidR="00574F90" w:rsidRPr="0075011E">
          <w:rPr>
            <w:rStyle w:val="Lienhypertexte"/>
          </w:rPr>
          <w:t>https://www.ameli.fr/pharmacien/actualites/arret-total-du-teleservice-vaccin-covid-partir-du-28-juin</w:t>
        </w:r>
      </w:hyperlink>
    </w:p>
    <w:p w:rsidR="00574F90" w:rsidRDefault="00574F90" w:rsidP="00574F90">
      <w:pPr>
        <w:pStyle w:val="Textebrut"/>
      </w:pPr>
    </w:p>
    <w:p w:rsidR="00574F90" w:rsidRDefault="00574F90" w:rsidP="00574F90">
      <w:pPr>
        <w:pStyle w:val="Textebrut"/>
      </w:pPr>
      <w:r>
        <w:t>Covid-19 : le téléservice « Attestation de vaccination » sera fermé à partir du 2 septembre 2024 (ameli.fr, 21/06/2024).</w:t>
      </w:r>
    </w:p>
    <w:p w:rsidR="00574F90" w:rsidRDefault="00574F90" w:rsidP="00574F90">
      <w:pPr>
        <w:pStyle w:val="Textebrut"/>
      </w:pPr>
      <w:r>
        <w:t>L’attestation de vaccination contre le Covid-19 est produite à partir des données enregistrées par les professionnels de santé dans le téléservice Vaccin Covid. Cet outil, qui facilitait la gestion des campagnes de vaccination en période de crise sanitaire, sera définitivement fermé le 28 juin 2024</w:t>
      </w:r>
    </w:p>
    <w:p w:rsidR="00574F90" w:rsidRDefault="002B5D87" w:rsidP="00574F90">
      <w:pPr>
        <w:pStyle w:val="Textebrut"/>
      </w:pPr>
      <w:hyperlink r:id="rId66" w:history="1">
        <w:r w:rsidR="00574F90" w:rsidRPr="0075011E">
          <w:rPr>
            <w:rStyle w:val="Lienhypertexte"/>
          </w:rPr>
          <w:t>https://www.ameli.fr/assure/actualites/covid-19-le-teleservice-attestation-de-vaccination-sera-ferme-partir-du-2-septembre-2024</w:t>
        </w:r>
      </w:hyperlink>
    </w:p>
    <w:p w:rsidR="00574F90" w:rsidRDefault="00574F90" w:rsidP="00574F90">
      <w:pPr>
        <w:pStyle w:val="Textebrut"/>
      </w:pPr>
    </w:p>
    <w:p w:rsidR="00A73AB0" w:rsidRDefault="00A73AB0" w:rsidP="00A73AB0">
      <w:pPr>
        <w:pStyle w:val="Textebrut"/>
      </w:pPr>
      <w:r>
        <w:t>COVID-19 en France. Point au 19 juin 2024 (SpF, 19/06/2024)</w:t>
      </w:r>
    </w:p>
    <w:p w:rsidR="00574F90" w:rsidRDefault="002B5D87" w:rsidP="00A73AB0">
      <w:pPr>
        <w:pStyle w:val="Textebrut"/>
      </w:pPr>
      <w:hyperlink r:id="rId67" w:history="1">
        <w:r w:rsidR="00A73AB0" w:rsidRPr="00D90BA7">
          <w:rPr>
            <w:rStyle w:val="Lienhypertexte"/>
          </w:rPr>
          <w:t>https://www.santepubliquefrance.fr/maladies-et-traumatismes/maladies-et-infections-respiratoires/infection-a-coronavirus/documents/bulletin-national/covid-19-en-france.-point-au-19-juin-2024</w:t>
        </w:r>
      </w:hyperlink>
    </w:p>
    <w:p w:rsidR="00A73AB0" w:rsidRDefault="00A73AB0" w:rsidP="00A73AB0">
      <w:pPr>
        <w:pStyle w:val="Textebrut"/>
      </w:pPr>
    </w:p>
    <w:p w:rsidR="00A73AB0" w:rsidRDefault="00A73AB0" w:rsidP="00A73AB0">
      <w:pPr>
        <w:pStyle w:val="Textebrut"/>
      </w:pPr>
    </w:p>
    <w:p w:rsidR="00AC503D" w:rsidRDefault="00AC503D" w:rsidP="00F8571B">
      <w:pPr>
        <w:pStyle w:val="Textebrut"/>
      </w:pPr>
    </w:p>
    <w:p w:rsidR="00126647" w:rsidRDefault="00126647" w:rsidP="00F8571B">
      <w:pPr>
        <w:pStyle w:val="Textebrut"/>
      </w:pPr>
    </w:p>
    <w:p w:rsidR="00107ABA" w:rsidRPr="0089584B" w:rsidRDefault="002B5D87" w:rsidP="0089584B">
      <w:pPr>
        <w:pStyle w:val="PEPS"/>
      </w:pPr>
      <w:hyperlink r:id="rId68" w:history="1">
        <w:r w:rsidR="00930CE0" w:rsidRPr="0089584B">
          <w:t>Autres actualités</w:t>
        </w:r>
      </w:hyperlink>
      <w:r w:rsidR="00930CE0" w:rsidRPr="0089584B">
        <w:t> :</w:t>
      </w:r>
    </w:p>
    <w:p w:rsidR="00AC503D" w:rsidRDefault="00AC503D" w:rsidP="00AC503D">
      <w:pPr>
        <w:pStyle w:val="Textebrut"/>
      </w:pPr>
      <w:r>
        <w:t>En ligne sur la page d’actualités du PEPPS :</w:t>
      </w:r>
    </w:p>
    <w:p w:rsidR="00AC503D" w:rsidRDefault="002B5D87" w:rsidP="00AC503D">
      <w:pPr>
        <w:pStyle w:val="Textebrut"/>
      </w:pPr>
      <w:hyperlink r:id="rId69" w:history="1">
        <w:r w:rsidR="00AC503D" w:rsidRPr="002859B7">
          <w:rPr>
            <w:rStyle w:val="Lienhypertexte"/>
          </w:rPr>
          <w:t>https://peps.sante.gouv.fr/actu/actualites.html</w:t>
        </w:r>
      </w:hyperlink>
    </w:p>
    <w:p w:rsidR="00930CE0" w:rsidRDefault="00930CE0" w:rsidP="00F8571B">
      <w:pPr>
        <w:pStyle w:val="Textebrut"/>
      </w:pPr>
    </w:p>
    <w:p w:rsidR="00CA5184" w:rsidRDefault="00CA5184" w:rsidP="00CA5184">
      <w:pPr>
        <w:pStyle w:val="Textebrut"/>
      </w:pPr>
      <w:r w:rsidRPr="00A82D5A">
        <w:rPr>
          <w:b/>
        </w:rPr>
        <w:t>Les pays de l’Union européenne se disputent les médecins étrangers</w:t>
      </w:r>
      <w:r>
        <w:t xml:space="preserve"> (Mediapart, 22/05/2024).</w:t>
      </w:r>
    </w:p>
    <w:p w:rsidR="00CA5184" w:rsidRDefault="00CA5184" w:rsidP="00CA5184">
      <w:pPr>
        <w:pStyle w:val="Textebrut"/>
      </w:pPr>
      <w:r>
        <w:t>Pour faire face à une pénurie généralisée de médecins en Europe, les pays membres sont en concurrence pour recruter les personnes diplômées à l’étranger. Quand l’Allemagne facilite leur intégration, la France les maintient dans la précarité</w:t>
      </w:r>
    </w:p>
    <w:p w:rsidR="00CA5184" w:rsidRDefault="002B5D87" w:rsidP="00CA5184">
      <w:pPr>
        <w:pStyle w:val="Textebrut"/>
      </w:pPr>
      <w:hyperlink r:id="rId70" w:history="1">
        <w:r w:rsidR="00CA5184" w:rsidRPr="000310E9">
          <w:rPr>
            <w:rStyle w:val="Lienhypertexte"/>
          </w:rPr>
          <w:t>https://www.mediapart.fr/journal/international/220524/les-pays-de-l-union-europeenne-se-disputent-les-medecins-etrangers</w:t>
        </w:r>
      </w:hyperlink>
    </w:p>
    <w:p w:rsidR="00CA5184" w:rsidRDefault="00CA5184" w:rsidP="00CA5184">
      <w:pPr>
        <w:pStyle w:val="Textebrut"/>
      </w:pPr>
    </w:p>
    <w:p w:rsidR="00BE2AD0" w:rsidRDefault="00F84288" w:rsidP="00BE2AD0">
      <w:pPr>
        <w:pStyle w:val="Textebrut"/>
      </w:pPr>
      <w:r w:rsidRPr="00A82D5A">
        <w:rPr>
          <w:b/>
        </w:rPr>
        <w:t>MINSANTE n°2024_06</w:t>
      </w:r>
      <w:r w:rsidRPr="00F84288">
        <w:t xml:space="preserve"> du 03/06/2024 : </w:t>
      </w:r>
      <w:r w:rsidRPr="00A82D5A">
        <w:rPr>
          <w:b/>
        </w:rPr>
        <w:t>Infections invasives à méningocoque W chez des personnes de retour de pèlerinage de La Mecque et résistance à la Ciprofloxacine</w:t>
      </w:r>
    </w:p>
    <w:p w:rsidR="00F84288" w:rsidRDefault="002B5D87" w:rsidP="00BE2AD0">
      <w:pPr>
        <w:pStyle w:val="Textebrut"/>
      </w:pPr>
      <w:hyperlink r:id="rId71" w:history="1">
        <w:r w:rsidR="00F84288" w:rsidRPr="00287A00">
          <w:rPr>
            <w:rStyle w:val="Lienhypertexte"/>
          </w:rPr>
          <w:t>https://peps.sante.gouv.fr/actu/2024/24_minsante-ccs_2024-06.pdf</w:t>
        </w:r>
      </w:hyperlink>
    </w:p>
    <w:p w:rsidR="00F84288" w:rsidRDefault="00F84288" w:rsidP="00BE2AD0">
      <w:pPr>
        <w:pStyle w:val="Textebrut"/>
      </w:pPr>
      <w:r w:rsidRPr="00A82D5A">
        <w:rPr>
          <w:b/>
        </w:rPr>
        <w:t>MARS n°2024_06</w:t>
      </w:r>
      <w:r w:rsidRPr="00F84288">
        <w:t xml:space="preserve"> du 03/06/2024 : Infections invasives à méningocoque W chez des personnes de retour de pèlerinage de La Mecque et résistance à la Ciprofloxacine</w:t>
      </w:r>
    </w:p>
    <w:p w:rsidR="00F84288" w:rsidRDefault="002B5D87" w:rsidP="00BE2AD0">
      <w:pPr>
        <w:pStyle w:val="Textebrut"/>
      </w:pPr>
      <w:hyperlink r:id="rId72" w:history="1">
        <w:r w:rsidR="00F84288" w:rsidRPr="00287A00">
          <w:rPr>
            <w:rStyle w:val="Lienhypertexte"/>
          </w:rPr>
          <w:t>https://peps.sante.gouv.fr/actu/2024/24_mars_2024-06.pdf</w:t>
        </w:r>
      </w:hyperlink>
    </w:p>
    <w:p w:rsidR="00F84288" w:rsidRDefault="00F84288" w:rsidP="00BE2AD0">
      <w:pPr>
        <w:pStyle w:val="Textebrut"/>
      </w:pPr>
    </w:p>
    <w:p w:rsidR="00F84288" w:rsidRDefault="00F84288" w:rsidP="00F84288">
      <w:pPr>
        <w:pStyle w:val="Textebrut"/>
      </w:pPr>
      <w:r>
        <w:t xml:space="preserve">Troisième édition de la </w:t>
      </w:r>
      <w:r w:rsidRPr="00A82D5A">
        <w:rPr>
          <w:b/>
        </w:rPr>
        <w:t>Semaine de la santé sexuelle</w:t>
      </w:r>
      <w:r>
        <w:t xml:space="preserve"> du 3 au 9 juin 2024, (Ministère du travail, de la santé et des solidarités, 03/06/2024)</w:t>
      </w:r>
    </w:p>
    <w:p w:rsidR="00F84288" w:rsidRDefault="00F84288" w:rsidP="00F84288">
      <w:pPr>
        <w:pStyle w:val="Textebrut"/>
      </w:pPr>
      <w:r>
        <w:t>Cette semaine est l’occasion pour tous les acteurs de la santé de communiquer auprès du plus grand nombre, afin de permettre à chacune et chacun de prendre des décisions éclairées et responsables dans la cadre d’une approche respectueuse de la sexualité.</w:t>
      </w:r>
    </w:p>
    <w:p w:rsidR="00F84288" w:rsidRDefault="002B5D87" w:rsidP="00F84288">
      <w:pPr>
        <w:pStyle w:val="Textebrut"/>
      </w:pPr>
      <w:hyperlink r:id="rId73" w:history="1">
        <w:r w:rsidR="00F84288" w:rsidRPr="00287A00">
          <w:rPr>
            <w:rStyle w:val="Lienhypertexte"/>
          </w:rPr>
          <w:t>https://sante.gouv.fr/actualites/presse/communiques-de-presse/article/troisieme-edition-de-la-semaine-de-la-sante-sexuelle-du-3-au-9-juin-2024</w:t>
        </w:r>
      </w:hyperlink>
    </w:p>
    <w:p w:rsidR="008C04B3" w:rsidRDefault="008C04B3" w:rsidP="008C04B3">
      <w:pPr>
        <w:pStyle w:val="Textebrut"/>
      </w:pPr>
      <w:r>
        <w:t>Semaine nationale de la santé sexuelle : prévention et accès à la contraception (ameli.fr, 04/06/2024).</w:t>
      </w:r>
    </w:p>
    <w:p w:rsidR="008C04B3" w:rsidRDefault="008C04B3" w:rsidP="008C04B3">
      <w:pPr>
        <w:pStyle w:val="Textebrut"/>
      </w:pPr>
      <w:r>
        <w:t>Du 3 au 9 juin 2024 se déroule la 3e édition de la Semaine nationale de la santé sexuelle, portée par le ministère de la Santé et de la prévention. Comme l'an dernier, cet événement met en lumière les 4 thématiques suivantes : la protection contre les infections sexuellement transmissibles, les moyens de contraception, le consentement et les maladies et dysfonctions sexuelles. L’occasion pour l’Assurance Maladie de faire le point sur les dispositifs mis en place en matière de santé sexuelle</w:t>
      </w:r>
    </w:p>
    <w:p w:rsidR="008C04B3" w:rsidRDefault="002B5D87" w:rsidP="008C04B3">
      <w:pPr>
        <w:pStyle w:val="Textebrut"/>
      </w:pPr>
      <w:hyperlink r:id="rId74" w:history="1">
        <w:r w:rsidR="008C04B3" w:rsidRPr="007D6353">
          <w:rPr>
            <w:rStyle w:val="Lienhypertexte"/>
          </w:rPr>
          <w:t>https://www.ameli.fr/assure/actualites/semaine-nationale-de-la-sante-sexuelle-prevention-et-acces-la-contraception</w:t>
        </w:r>
      </w:hyperlink>
    </w:p>
    <w:p w:rsidR="002F5590" w:rsidRDefault="002F5590" w:rsidP="002F5590">
      <w:pPr>
        <w:pStyle w:val="Textebrut"/>
      </w:pPr>
      <w:r>
        <w:t>Santé sexuelle : l’importance du dialogue et de l’information (Santé publique France, 06/06/2024).</w:t>
      </w:r>
    </w:p>
    <w:p w:rsidR="002F5590" w:rsidRDefault="002F5590" w:rsidP="002F5590">
      <w:pPr>
        <w:pStyle w:val="Textebrut"/>
      </w:pPr>
      <w:r>
        <w:t>A l’occasion de la semaine nationale de la santé sexuelle 2024, Santé publique France met à disposition plusieurs outils de prévention et rappelle l’importance de s’informer et de dialoguer pour limiter les situations pouvant dégrader sa santé sexuelle</w:t>
      </w:r>
    </w:p>
    <w:p w:rsidR="00F84288" w:rsidRDefault="002B5D87" w:rsidP="002F5590">
      <w:pPr>
        <w:pStyle w:val="Textebrut"/>
      </w:pPr>
      <w:hyperlink r:id="rId75" w:history="1">
        <w:r w:rsidR="002F5590" w:rsidRPr="00287A00">
          <w:rPr>
            <w:rStyle w:val="Lienhypertexte"/>
          </w:rPr>
          <w:t>https://www.santepubliquefrance.fr/les-actualites/2024/sante-sexuelle-l-importance-du-dialogue-et-de-l-information</w:t>
        </w:r>
      </w:hyperlink>
    </w:p>
    <w:p w:rsidR="002F5590" w:rsidRDefault="002F5590" w:rsidP="002F5590">
      <w:pPr>
        <w:pStyle w:val="Textebrut"/>
      </w:pPr>
    </w:p>
    <w:p w:rsidR="00F84288" w:rsidRDefault="00F84288" w:rsidP="00F84288">
      <w:pPr>
        <w:pStyle w:val="Textebrut"/>
      </w:pPr>
      <w:r>
        <w:t xml:space="preserve">Ouverture de la </w:t>
      </w:r>
      <w:r w:rsidRPr="00A82D5A">
        <w:rPr>
          <w:b/>
        </w:rPr>
        <w:t>Session 2024 des Épreuves de vérification des connaissances</w:t>
      </w:r>
      <w:r>
        <w:t xml:space="preserve"> (sante.gouv.fr, 03/06/2024)</w:t>
      </w:r>
    </w:p>
    <w:p w:rsidR="00F84288" w:rsidRDefault="00F84288" w:rsidP="00F84288">
      <w:pPr>
        <w:pStyle w:val="Textebrut"/>
      </w:pPr>
      <w:r>
        <w:t>Le Ministère du Travail, de la Santé et des Solidarités annonce l’ouverture de la session 2024 des Épreuves de vérification des connaissances (EVC). Ce concours, destiné aux médecins titulaires de diplômes obtenus hors de l’Union européenne, représente une étape cruciale pour leur intégration dans le système de santé français.</w:t>
      </w:r>
    </w:p>
    <w:p w:rsidR="00F84288" w:rsidRDefault="00F84288" w:rsidP="00F84288">
      <w:pPr>
        <w:pStyle w:val="Textebrut"/>
      </w:pPr>
      <w:r>
        <w:t>Nouveautés de la Session 2024 : Pour cette session, plusieurs innovations marquantes s’inscrivant dans le cadre de la loi du 27 décembre 2023 visant à améliorer l’accès aux soins par l’engagement territorial des professionnels ont été introduites afin de répondre aux besoins croissants en personnel médical et de renforcer la qualité des soins offerts sur tout le territoire : recrutement sur une liste de postes publiée et augmentation significative du nombre de postes.</w:t>
      </w:r>
    </w:p>
    <w:p w:rsidR="00F84288" w:rsidRDefault="002B5D87" w:rsidP="00F84288">
      <w:pPr>
        <w:pStyle w:val="Textebrut"/>
      </w:pPr>
      <w:hyperlink r:id="rId76" w:history="1">
        <w:r w:rsidR="00F84288" w:rsidRPr="00287A00">
          <w:rPr>
            <w:rStyle w:val="Lienhypertexte"/>
          </w:rPr>
          <w:t>https://sante.gouv.fr/actualites/presse/communiques-de-presse/article/ouverture-de-la-session-2024-des-epreuves-de-verification-des-connaissances</w:t>
        </w:r>
      </w:hyperlink>
    </w:p>
    <w:p w:rsidR="00F84288" w:rsidRDefault="00F84288" w:rsidP="00F84288">
      <w:pPr>
        <w:pStyle w:val="Textebrut"/>
      </w:pPr>
      <w:r>
        <w:t>Pour mémoire : Arrêté du 30 mai 2024 portant ouverture des épreuves de vérification des connaissances mentionnées aux articles L. 4111-2-I et L. 4221-12 du code de la santé publique</w:t>
      </w:r>
    </w:p>
    <w:p w:rsidR="00F84288" w:rsidRDefault="002B5D87" w:rsidP="00F84288">
      <w:pPr>
        <w:pStyle w:val="Textebrut"/>
      </w:pPr>
      <w:hyperlink r:id="rId77" w:history="1">
        <w:r w:rsidR="00F84288" w:rsidRPr="00287A00">
          <w:rPr>
            <w:rStyle w:val="Lienhypertexte"/>
          </w:rPr>
          <w:t>https://www.legifrance.gouv.fr/jorf/id/JORFTEXT000049631434</w:t>
        </w:r>
      </w:hyperlink>
    </w:p>
    <w:p w:rsidR="00F84288" w:rsidRDefault="00F84288" w:rsidP="00F84288">
      <w:pPr>
        <w:pStyle w:val="Textebrut"/>
      </w:pPr>
    </w:p>
    <w:p w:rsidR="00F84288" w:rsidRDefault="00F84288" w:rsidP="00F84288">
      <w:pPr>
        <w:pStyle w:val="Textebrut"/>
      </w:pPr>
      <w:r w:rsidRPr="00A82D5A">
        <w:rPr>
          <w:b/>
        </w:rPr>
        <w:t>Infections à Mycoplasma pneumoniae en France : point de situation</w:t>
      </w:r>
      <w:r>
        <w:t xml:space="preserve"> au 24 mars 2024, (Santé publique France, 31/5/2024)</w:t>
      </w:r>
    </w:p>
    <w:p w:rsidR="00F84288" w:rsidRDefault="002B5D87" w:rsidP="00F84288">
      <w:pPr>
        <w:pStyle w:val="Textebrut"/>
      </w:pPr>
      <w:hyperlink r:id="rId78" w:history="1">
        <w:r w:rsidR="00F84288" w:rsidRPr="00287A00">
          <w:rPr>
            <w:rStyle w:val="Lienhypertexte"/>
          </w:rPr>
          <w:t>https://www.santepubliquefrance.fr/content/download/629983/4300390?version=3</w:t>
        </w:r>
      </w:hyperlink>
    </w:p>
    <w:p w:rsidR="00F84288" w:rsidRDefault="00F84288" w:rsidP="00F84288">
      <w:pPr>
        <w:pStyle w:val="Textebrut"/>
      </w:pPr>
    </w:p>
    <w:p w:rsidR="000E29F2" w:rsidRDefault="000E29F2" w:rsidP="000E29F2">
      <w:pPr>
        <w:pStyle w:val="Textebrut"/>
      </w:pPr>
      <w:r>
        <w:t xml:space="preserve">Les </w:t>
      </w:r>
      <w:r w:rsidRPr="00A82D5A">
        <w:rPr>
          <w:b/>
        </w:rPr>
        <w:t>usages de substances psychoactives chez les adolescents en Outre-mer</w:t>
      </w:r>
      <w:r>
        <w:t xml:space="preserve"> (Observatoire français des drogues et des tendances addictives, 03/06/2024)</w:t>
      </w:r>
      <w:r w:rsidR="006C4D53">
        <w:t>.</w:t>
      </w:r>
    </w:p>
    <w:p w:rsidR="000E29F2" w:rsidRDefault="000E29F2" w:rsidP="000E29F2">
      <w:pPr>
        <w:pStyle w:val="Textebrut"/>
      </w:pPr>
      <w:r>
        <w:lastRenderedPageBreak/>
        <w:t>L’Enquête nationale en collège et en lycée chez les adolescents sur la santé et les substances (EnCLASS) a interrogé en 2022-2023 un échantillon représentatif des élèves scolarisés dans les établissements scolaires du second degré sur leur santé, leurs habitudes de vie et leurs éventuelles consommations de substances psychoactives. Cette note présente les résultats EnCLASS 2022-2023 concernant les usages de tabac, d’alcool, de cannabis et d’autres drogues illicites en Guadeloupe, en Martinique, en Guyane et à La Réunion. Elle expose les niveaux d’usage des collégiens, puis ceux des lycéens, en s’attachant systématiquement à comparer les prévalences les plus récentes de chacun des territoires vis-à-vis de ceux de l’Hexagone et à apprécier leur évolution dans le temps.</w:t>
      </w:r>
    </w:p>
    <w:p w:rsidR="00F84288" w:rsidRDefault="002B5D87" w:rsidP="000E29F2">
      <w:pPr>
        <w:pStyle w:val="Textebrut"/>
      </w:pPr>
      <w:hyperlink r:id="rId79" w:history="1">
        <w:r w:rsidR="000E29F2" w:rsidRPr="00287A00">
          <w:rPr>
            <w:rStyle w:val="Lienhypertexte"/>
          </w:rPr>
          <w:t>https://www.ofdt.fr/BDD/publications/docs/ENCLASS_DROM_2024.pdf</w:t>
        </w:r>
      </w:hyperlink>
    </w:p>
    <w:p w:rsidR="000E29F2" w:rsidRDefault="000E29F2" w:rsidP="000E29F2">
      <w:pPr>
        <w:pStyle w:val="Textebrut"/>
      </w:pPr>
    </w:p>
    <w:p w:rsidR="000E29F2" w:rsidRDefault="000E29F2" w:rsidP="000E29F2">
      <w:pPr>
        <w:pStyle w:val="Textebrut"/>
      </w:pPr>
      <w:r>
        <w:t xml:space="preserve">Analyse juridique de l’ARS ARA du jugement du TA de Dijon en date du 23/04/2024, intéressant en matière de </w:t>
      </w:r>
      <w:r w:rsidRPr="00A82D5A">
        <w:rPr>
          <w:b/>
        </w:rPr>
        <w:t>responsabilité de l'État pour inaction fautive dans l’exercice des pouvoirs d’inspection</w:t>
      </w:r>
      <w:r>
        <w:t xml:space="preserve"> des services vétérinaires.</w:t>
      </w:r>
    </w:p>
    <w:p w:rsidR="000E29F2" w:rsidRDefault="000E29F2" w:rsidP="000E29F2">
      <w:pPr>
        <w:pStyle w:val="Textebrut"/>
      </w:pPr>
      <w:r>
        <w:t>Cette décision prend place dans un mouvement jurisprudentiel plus large qui a vocation à s’appliquer aux agences régionales de santé et qui a déjà abouti à la caractérisation de fautes dans l’exercice des pouvoirs d’inspection et de police sanitaire de la puissance publique</w:t>
      </w:r>
    </w:p>
    <w:p w:rsidR="000E29F2" w:rsidRDefault="002B5D87" w:rsidP="000E29F2">
      <w:pPr>
        <w:pStyle w:val="Textebrut"/>
      </w:pPr>
      <w:hyperlink r:id="rId80" w:history="1">
        <w:r w:rsidR="000E29F2" w:rsidRPr="00287A00">
          <w:rPr>
            <w:rStyle w:val="Lienhypertexte"/>
          </w:rPr>
          <w:t>https://peps.sante.gouv.fr/actu/2024/24_ars-ara_analyse-jugement-ta-inaction-fautive-inspection_30052024.pdf</w:t>
        </w:r>
      </w:hyperlink>
    </w:p>
    <w:p w:rsidR="000E29F2" w:rsidRDefault="000E29F2" w:rsidP="000E29F2">
      <w:pPr>
        <w:pStyle w:val="Textebrut"/>
      </w:pPr>
    </w:p>
    <w:p w:rsidR="004A2444" w:rsidRDefault="004A2444" w:rsidP="004A2444">
      <w:pPr>
        <w:pStyle w:val="Textebrut"/>
      </w:pPr>
      <w:r w:rsidRPr="00A82D5A">
        <w:rPr>
          <w:b/>
        </w:rPr>
        <w:t>La santé des patients en danger</w:t>
      </w:r>
      <w:r>
        <w:t xml:space="preserve"> (</w:t>
      </w:r>
      <w:r w:rsidRPr="00A82D5A">
        <w:rPr>
          <w:b/>
        </w:rPr>
        <w:t>Conseil national de l’Ordre des médecins</w:t>
      </w:r>
      <w:r>
        <w:t>, 03/06/2024)</w:t>
      </w:r>
    </w:p>
    <w:p w:rsidR="004A2444" w:rsidRDefault="004A2444" w:rsidP="004A2444">
      <w:pPr>
        <w:pStyle w:val="Textebrut"/>
      </w:pPr>
      <w:r>
        <w:t>Le Conseil national de l’Ordre des médecins exprime son soutien à la grève des pharmaciens qui s’est déroulée le 30 mai dernier.</w:t>
      </w:r>
    </w:p>
    <w:p w:rsidR="000E29F2" w:rsidRDefault="002B5D87" w:rsidP="004A2444">
      <w:pPr>
        <w:pStyle w:val="Textebrut"/>
      </w:pPr>
      <w:hyperlink r:id="rId81" w:history="1">
        <w:r w:rsidR="004A2444" w:rsidRPr="00287A00">
          <w:rPr>
            <w:rStyle w:val="Lienhypertexte"/>
          </w:rPr>
          <w:t>https://www.conseil-national.medecin.fr/publications/communiques-presse/sante-patients-danger</w:t>
        </w:r>
      </w:hyperlink>
    </w:p>
    <w:p w:rsidR="004A2444" w:rsidRDefault="004A2444" w:rsidP="004A2444">
      <w:pPr>
        <w:pStyle w:val="Textebrut"/>
      </w:pPr>
    </w:p>
    <w:p w:rsidR="005C17EF" w:rsidRDefault="005C17EF" w:rsidP="005C17EF">
      <w:pPr>
        <w:pStyle w:val="Textebrut"/>
      </w:pPr>
      <w:r w:rsidRPr="00A82D5A">
        <w:rPr>
          <w:b/>
        </w:rPr>
        <w:t>Chikungunya, dengue et zika - Données de la surveillance renforcée</w:t>
      </w:r>
      <w:r>
        <w:t xml:space="preserve"> en France hexagonale 2024 (Santé publique France, 05/06/2024). </w:t>
      </w:r>
    </w:p>
    <w:p w:rsidR="005C17EF" w:rsidRDefault="005C17EF" w:rsidP="005C17EF">
      <w:pPr>
        <w:pStyle w:val="Textebrut"/>
      </w:pPr>
      <w:r>
        <w:t>Cas importés de dengue, chikungunya et Zika en France hexagonale :</w:t>
      </w:r>
    </w:p>
    <w:p w:rsidR="005C17EF" w:rsidRDefault="005C17EF" w:rsidP="005C17EF">
      <w:pPr>
        <w:pStyle w:val="Textebrut"/>
      </w:pPr>
      <w:r>
        <w:t>Du 1er janvier au 30 avril 2024, ont été notifiés par la Déclaration Obligatoire (données non consolidées) : 2 166 cas importés de dengue dont 82% contractées en Martinique ou en Guadeloupe et 5% en Guyane, départements où sévit une épidémie importante. Lors des 5 dernières années, le nombre moyen de cas importés de dengue signalés par déclaration obligatoire était de 128 entre le 1er janvier et le 30 avril ; 5 cas importés de chikungunya ; 2 cas importés de zika.</w:t>
      </w:r>
    </w:p>
    <w:p w:rsidR="005C17EF" w:rsidRDefault="005C17EF" w:rsidP="005C17EF">
      <w:pPr>
        <w:pStyle w:val="Textebrut"/>
      </w:pPr>
      <w:r>
        <w:t>Du 1er mai 2024 au mardi 4 juin 2024, ont été identifiés en France hexagonale : 417 cas importés de dengue, dont 357 dans les départements où l’implantation d’Aedes albopictus a été documentée, 273 (65%) revenaient de Guadeloupe et Martinique ; 2 cas importé de chikungunya (n=2 dans les départements colonisés par Aedes albopictus) ; Aucun cas importé de Zika.</w:t>
      </w:r>
    </w:p>
    <w:p w:rsidR="005C17EF" w:rsidRDefault="005C17EF" w:rsidP="005C17EF">
      <w:pPr>
        <w:pStyle w:val="Textebrut"/>
      </w:pPr>
      <w:r>
        <w:t>Episodes de transmission autochtone de dengue, chikungunya et Zika : au 04/06/2024, aucun épisode de transmission autochtone n’a été détecté.</w:t>
      </w:r>
    </w:p>
    <w:p w:rsidR="004A2444" w:rsidRDefault="002B5D87" w:rsidP="005C17EF">
      <w:pPr>
        <w:pStyle w:val="Textebrut"/>
      </w:pPr>
      <w:hyperlink r:id="rId82" w:history="1">
        <w:r w:rsidR="005C17EF" w:rsidRPr="00287A00">
          <w:rPr>
            <w:rStyle w:val="Lienhypertexte"/>
          </w:rPr>
          <w:t>https://www.santepubliquefrance.fr/maladies-et-traumatismes/maladies-a-transmission-vectorielle/chikungunya/articles/donnees-en-france-metropolitaine/chikungunya-dengue-et-zika-donnees-de-la-surveillance-renforcee-en-france-hexagonale-2024</w:t>
        </w:r>
      </w:hyperlink>
    </w:p>
    <w:p w:rsidR="005C17EF" w:rsidRDefault="005C17EF" w:rsidP="005C17EF">
      <w:pPr>
        <w:pStyle w:val="Textebrut"/>
      </w:pPr>
    </w:p>
    <w:p w:rsidR="005C17EF" w:rsidRDefault="005C17EF" w:rsidP="005C17EF">
      <w:pPr>
        <w:pStyle w:val="Textebrut"/>
      </w:pPr>
      <w:r>
        <w:t xml:space="preserve">La </w:t>
      </w:r>
      <w:r w:rsidRPr="00A82D5A">
        <w:rPr>
          <w:b/>
        </w:rPr>
        <w:t>nouvelle liste des « never events », événements liés à des erreurs médicamenteuses évitables et graves</w:t>
      </w:r>
      <w:r>
        <w:t>, a été publiée dans le Bulletin officiel santé du 31 mai 2024. Cette mise à jour fait suite à des signalements d’erreurs impliquant des médicaments à marge thérapeutique étroite que nous continuons de recevoir et pour lesquelles nous avons identifié de nouvelles situations à risques.</w:t>
      </w:r>
    </w:p>
    <w:p w:rsidR="005C17EF" w:rsidRDefault="005C17EF" w:rsidP="005C17EF">
      <w:pPr>
        <w:pStyle w:val="Textebrut"/>
      </w:pPr>
      <w:r>
        <w:t>Pour prévenir ces situations, la liste à l’attention des établissements de santé a été actualisée et complétée.</w:t>
      </w:r>
    </w:p>
    <w:p w:rsidR="005C17EF" w:rsidRDefault="005C17EF" w:rsidP="005C17EF">
      <w:pPr>
        <w:pStyle w:val="Textebrut"/>
      </w:pPr>
      <w:r>
        <w:t>Voici les « never events » qui ont été ajoutés à la liste préexistante :</w:t>
      </w:r>
    </w:p>
    <w:p w:rsidR="005C17EF" w:rsidRDefault="005C17EF" w:rsidP="005C17EF">
      <w:pPr>
        <w:pStyle w:val="Textebrut"/>
      </w:pPr>
      <w:r>
        <w:t>-</w:t>
      </w:r>
      <w:r>
        <w:tab/>
        <w:t>Surdosage en lidocaïne par voie intraveineuse (notamment du fait de la confusion entre concentration et quantité totale de lidocaïne) ;</w:t>
      </w:r>
    </w:p>
    <w:p w:rsidR="005C17EF" w:rsidRDefault="005C17EF" w:rsidP="005C17EF">
      <w:pPr>
        <w:pStyle w:val="Textebrut"/>
      </w:pPr>
      <w:r>
        <w:t>-</w:t>
      </w:r>
      <w:r>
        <w:tab/>
        <w:t>Erreur d’utilisation de la colchicine : non-respect des schémas posologiques et/ou des contre-indications, notamment en cas d’interactions médicamenteuses et d’insuffisance rénale ou hépatique ;</w:t>
      </w:r>
    </w:p>
    <w:p w:rsidR="005C17EF" w:rsidRDefault="005C17EF" w:rsidP="005C17EF">
      <w:pPr>
        <w:pStyle w:val="Textebrut"/>
      </w:pPr>
      <w:r>
        <w:lastRenderedPageBreak/>
        <w:t>-</w:t>
      </w:r>
      <w:r>
        <w:tab/>
        <w:t>Erreur d’utilisation de la méthadone : non prise en compte des contre-indications, des interactions médicamenteuses et surdosages (notamment pendant la période d'initiation du traitement, de l'augmentation de dose ou de la reprise du traitement après une période d'arrêt) ;</w:t>
      </w:r>
    </w:p>
    <w:p w:rsidR="005C17EF" w:rsidRDefault="005C17EF" w:rsidP="005C17EF">
      <w:pPr>
        <w:pStyle w:val="Textebrut"/>
      </w:pPr>
      <w:r>
        <w:t>-</w:t>
      </w:r>
      <w:r>
        <w:tab/>
        <w:t>Mauvais usages de fluoropyrimidine (5-FU) : administration en l’absence de recherche pourtant obligatoire de déficit en dihydropyrimidine déshydrogénase (DPD).</w:t>
      </w:r>
    </w:p>
    <w:p w:rsidR="005C17EF" w:rsidRDefault="002B5D87" w:rsidP="005C17EF">
      <w:pPr>
        <w:pStyle w:val="Textebrut"/>
      </w:pPr>
      <w:hyperlink r:id="rId83" w:history="1">
        <w:r w:rsidR="005C17EF" w:rsidRPr="00287A00">
          <w:rPr>
            <w:rStyle w:val="Lienhypertexte"/>
          </w:rPr>
          <w:t>https://ansm.sante.fr/actualites/la-liste-des-never-events-est-actualisee</w:t>
        </w:r>
      </w:hyperlink>
    </w:p>
    <w:p w:rsidR="005C17EF" w:rsidRDefault="005C17EF" w:rsidP="005C17EF">
      <w:pPr>
        <w:pStyle w:val="Textebrut"/>
      </w:pPr>
    </w:p>
    <w:p w:rsidR="00363798" w:rsidRDefault="00363798" w:rsidP="00363798">
      <w:pPr>
        <w:pStyle w:val="Textebrut"/>
      </w:pPr>
      <w:r>
        <w:t xml:space="preserve">"Réduisons le volume" - </w:t>
      </w:r>
      <w:r w:rsidRPr="00A82D5A">
        <w:rPr>
          <w:b/>
        </w:rPr>
        <w:t>Guide du bon usage des médicaments après 65 ans</w:t>
      </w:r>
      <w:r>
        <w:t xml:space="preserve"> (</w:t>
      </w:r>
      <w:r w:rsidRPr="00A82D5A">
        <w:rPr>
          <w:b/>
        </w:rPr>
        <w:t>LEEM</w:t>
      </w:r>
      <w:r>
        <w:t>, 04/06/2024).</w:t>
      </w:r>
    </w:p>
    <w:p w:rsidR="00363798" w:rsidRDefault="00363798" w:rsidP="00363798">
      <w:pPr>
        <w:pStyle w:val="Textebrut"/>
      </w:pPr>
      <w:r>
        <w:t>Les médicaments sont faits pour soulager, prévenir, guérir. Mais utilisés de manière inappropriée, en trop grande quantité, ou sans suivre la durée indiquée, ils peuvent avoir des effets délétères sur la santé des individus, les dépenses de l’Assurance Maladie et l’environnement. On estime que la iatrogénie (interactions médicamenteuses) serait à l’origine de plus de 200 000 hospitalisations et d’une dizaine de milliers de décès prématurés par an en France.</w:t>
      </w:r>
    </w:p>
    <w:p w:rsidR="00363798" w:rsidRDefault="002B5D87" w:rsidP="00363798">
      <w:pPr>
        <w:pStyle w:val="Textebrut"/>
      </w:pPr>
      <w:hyperlink r:id="rId84" w:history="1">
        <w:r w:rsidR="00363798" w:rsidRPr="00287A00">
          <w:rPr>
            <w:rStyle w:val="Lienhypertexte"/>
          </w:rPr>
          <w:t>https://www.leem.org/publication/reduisons-le-volume-guide-du-bon-usage-des-medicaments-apres-65-ans</w:t>
        </w:r>
      </w:hyperlink>
    </w:p>
    <w:p w:rsidR="00363798" w:rsidRDefault="00363798" w:rsidP="00363798">
      <w:pPr>
        <w:pStyle w:val="Textebrut"/>
      </w:pPr>
      <w:r>
        <w:t>Le Leem présente un guide du bon usage du médicament pour les personnes âgées de 65 ans et plus.</w:t>
      </w:r>
    </w:p>
    <w:p w:rsidR="005C17EF" w:rsidRDefault="002B5D87" w:rsidP="00363798">
      <w:pPr>
        <w:pStyle w:val="Textebrut"/>
      </w:pPr>
      <w:hyperlink r:id="rId85" w:history="1">
        <w:r w:rsidR="00363798" w:rsidRPr="00287A00">
          <w:rPr>
            <w:rStyle w:val="Lienhypertexte"/>
          </w:rPr>
          <w:t>https://www.leem.org/sites/default/files/2024-06/Leaflet%20BUM_1.pdf</w:t>
        </w:r>
      </w:hyperlink>
    </w:p>
    <w:p w:rsidR="00363798" w:rsidRDefault="00363798" w:rsidP="00363798">
      <w:pPr>
        <w:pStyle w:val="Textebrut"/>
      </w:pPr>
    </w:p>
    <w:p w:rsidR="005A582A" w:rsidRDefault="005A582A" w:rsidP="005A582A">
      <w:pPr>
        <w:pStyle w:val="Textebrut"/>
      </w:pPr>
      <w:r w:rsidRPr="00F15253">
        <w:rPr>
          <w:b/>
        </w:rPr>
        <w:t>Extension des TROD réalisés à l’officine</w:t>
      </w:r>
      <w:r>
        <w:t xml:space="preserve"> (Ordre national des pharmaciens, 06/06/2024).</w:t>
      </w:r>
    </w:p>
    <w:p w:rsidR="005A582A" w:rsidRDefault="005A582A" w:rsidP="005A582A">
      <w:pPr>
        <w:pStyle w:val="Textebrut"/>
      </w:pPr>
      <w:r>
        <w:t>Un nouvel arrêté inscrit dans le droit commun la réalisation des TROD COVID-19 par les pharmaciens d'officine, qui avait été autorisée à titre dérogatoire dans le contexte de la crise sanitaire de la COVID-19. Il autorise également les pharmaciens à réaliser les TROD des infections à VRS, seuls ou combinés aux TROD grippe et/ou COVID-19, quel que soit le type de prélèvement</w:t>
      </w:r>
    </w:p>
    <w:p w:rsidR="000E29F2" w:rsidRDefault="002B5D87" w:rsidP="000E29F2">
      <w:pPr>
        <w:pStyle w:val="Textebrut"/>
      </w:pPr>
      <w:hyperlink r:id="rId86" w:history="1">
        <w:r w:rsidR="005A582A" w:rsidRPr="00287A00">
          <w:rPr>
            <w:rStyle w:val="Lienhypertexte"/>
          </w:rPr>
          <w:t>https://www.ordre.pharmacien.fr/les-communications/focus-sur/les-actualites/extension-des-trod-realises-a-l-officine</w:t>
        </w:r>
      </w:hyperlink>
    </w:p>
    <w:p w:rsidR="005A582A" w:rsidRDefault="005A582A" w:rsidP="000E29F2">
      <w:pPr>
        <w:pStyle w:val="Textebrut"/>
      </w:pPr>
    </w:p>
    <w:p w:rsidR="006C4D53" w:rsidRDefault="006C4D53" w:rsidP="006C4D53">
      <w:pPr>
        <w:pStyle w:val="Textebrut"/>
      </w:pPr>
      <w:r w:rsidRPr="00F15253">
        <w:rPr>
          <w:b/>
        </w:rPr>
        <w:t>Acide hyaluronique injectable : uniquement sur prescription</w:t>
      </w:r>
      <w:r>
        <w:t xml:space="preserve"> (CNOP, 06/06/2024).</w:t>
      </w:r>
    </w:p>
    <w:p w:rsidR="006C4D53" w:rsidRDefault="006C4D53" w:rsidP="006C4D53">
      <w:pPr>
        <w:pStyle w:val="Textebrut"/>
      </w:pPr>
      <w:r>
        <w:t>Suite aux travaux engagés en 2023 par le ministère de la Santé et de la Prévention, à l’occasion desquels l’Ordre national des pharmaciens avait été consulté, un nouveau décret vient restreindre l'accès aux produits injectables à base d'acide hyaluronique aux seuls professionnels de santé autorisés à les administrer et aux personnes munies d'une prescription médicale. Le texte concerne la mise à disposition des produits injectables (dispositifs médicaux et produits n'ayant pas de destination médicale) contenant de l'acide hyaluronique, que le pharmacien d'officine peut vendre au titre de l'arrêté du 15 février 2002 (5° et 26°). A compter du 1er juillet 2024, ces produits pourront être fournis exclusivement :</w:t>
      </w:r>
    </w:p>
    <w:p w:rsidR="006C4D53" w:rsidRDefault="006C4D53" w:rsidP="006C4D53">
      <w:pPr>
        <w:pStyle w:val="Textebrut"/>
      </w:pPr>
      <w:r>
        <w:t>-</w:t>
      </w:r>
      <w:r>
        <w:tab/>
        <w:t>aux médecins, pour leur usage professionnel ;</w:t>
      </w:r>
    </w:p>
    <w:p w:rsidR="006C4D53" w:rsidRDefault="006C4D53" w:rsidP="006C4D53">
      <w:pPr>
        <w:pStyle w:val="Textebrut"/>
      </w:pPr>
      <w:r>
        <w:t>-</w:t>
      </w:r>
      <w:r>
        <w:tab/>
        <w:t>aux patients, uniquement sur prescription.</w:t>
      </w:r>
    </w:p>
    <w:p w:rsidR="00F84288" w:rsidRDefault="006C4D53" w:rsidP="006C4D53">
      <w:pPr>
        <w:pStyle w:val="Textebrut"/>
      </w:pPr>
      <w:r>
        <w:t>Les dispositifs médicaux injectables contenant de l'acide hyaluronique peuvent également être mis à disposition, dans les mêmes conditions, aux chirurgiens-dentistes et à leurs patients (ne concerne pas les produits n’ayant pas de finalité médicale)</w:t>
      </w:r>
    </w:p>
    <w:p w:rsidR="006C4D53" w:rsidRDefault="002B5D87" w:rsidP="006C4D53">
      <w:pPr>
        <w:pStyle w:val="Textebrut"/>
      </w:pPr>
      <w:hyperlink r:id="rId87" w:history="1">
        <w:r w:rsidR="006C4D53" w:rsidRPr="00287A00">
          <w:rPr>
            <w:rStyle w:val="Lienhypertexte"/>
          </w:rPr>
          <w:t>https://www.ordre.pharmacien.fr/les-communications/focus-sur/les-actualites/acide-hyaluronique-injectable-uniquement-sur-prescription</w:t>
        </w:r>
      </w:hyperlink>
    </w:p>
    <w:p w:rsidR="006C4D53" w:rsidRDefault="006C4D53" w:rsidP="006C4D53">
      <w:pPr>
        <w:pStyle w:val="Textebrut"/>
      </w:pPr>
      <w:r>
        <w:t>Médecine esthétique : une prescription médicale obligatoire pour l’injection d’acide hyaluronique (ameli.fr, 06/06/2024)</w:t>
      </w:r>
    </w:p>
    <w:p w:rsidR="006C4D53" w:rsidRDefault="002B5D87" w:rsidP="006C4D53">
      <w:pPr>
        <w:pStyle w:val="Textebrut"/>
      </w:pPr>
      <w:hyperlink r:id="rId88" w:history="1">
        <w:r w:rsidR="006C4D53" w:rsidRPr="00287A00">
          <w:rPr>
            <w:rStyle w:val="Lienhypertexte"/>
          </w:rPr>
          <w:t>https://www.ameli.fr/bouches-du-rhone/assure/actualites/medecine-esthetique-une-prescription-medicale-obligatoire-pour-l-injection-d-acide-hyaluronique</w:t>
        </w:r>
      </w:hyperlink>
    </w:p>
    <w:p w:rsidR="006C4D53" w:rsidRDefault="006C4D53" w:rsidP="006C4D53">
      <w:pPr>
        <w:pStyle w:val="Textebrut"/>
      </w:pPr>
    </w:p>
    <w:p w:rsidR="006C4D53" w:rsidRDefault="006C4D53" w:rsidP="006C4D53">
      <w:pPr>
        <w:pStyle w:val="Textebrut"/>
      </w:pPr>
      <w:r w:rsidRPr="00F15253">
        <w:rPr>
          <w:b/>
        </w:rPr>
        <w:t>Diabète de type 2 : les thérapies non médicamenteuses d’abord</w:t>
      </w:r>
      <w:r>
        <w:t xml:space="preserve"> (</w:t>
      </w:r>
      <w:r w:rsidRPr="00F15253">
        <w:rPr>
          <w:b/>
        </w:rPr>
        <w:t>HAS</w:t>
      </w:r>
      <w:r>
        <w:t>, 06/06/2024)</w:t>
      </w:r>
    </w:p>
    <w:p w:rsidR="006C4D53" w:rsidRDefault="006C4D53" w:rsidP="006C4D53">
      <w:pPr>
        <w:pStyle w:val="Textebrut"/>
      </w:pPr>
      <w:r>
        <w:t xml:space="preserve">Plus de 3,8 millions de personnes étaient traitées pour un diabète en France en 2022. Chez l’adulte, dans plus de 90 % des cas, il s’agit d’un diabète de type 2. Cette maladie évolue au fil du temps et peut entraîner des complications cardiovasculaires et rénales parfois graves. Afin de garantir une prise en charge optimale des patients, la HAS met à jour ses recommandations à l’attention des professionnels de santé. Pour la première fois, elle positionne en 1re intention les thérapeutiques non médicamenteuses, dont l’activité physique. Les nouvelles </w:t>
      </w:r>
      <w:r>
        <w:lastRenderedPageBreak/>
        <w:t>classes médicamenteuses et leurs effets positifs sur la prévention des risques de complications sont aussi intégrées dans la stratégie de prise en charge.</w:t>
      </w:r>
    </w:p>
    <w:p w:rsidR="006C4D53" w:rsidRDefault="002B5D87" w:rsidP="006C4D53">
      <w:pPr>
        <w:pStyle w:val="Textebrut"/>
      </w:pPr>
      <w:hyperlink r:id="rId89" w:history="1">
        <w:r w:rsidR="006C4D53" w:rsidRPr="00287A00">
          <w:rPr>
            <w:rStyle w:val="Lienhypertexte"/>
          </w:rPr>
          <w:t>https://www.has-sante.fr/jcms/p_3520515/fr/diabete-de-type-2-les-therapies-non-medicamenteuses-d-abord</w:t>
        </w:r>
      </w:hyperlink>
    </w:p>
    <w:p w:rsidR="006C4D53" w:rsidRDefault="006C4D53" w:rsidP="006C4D53">
      <w:pPr>
        <w:pStyle w:val="Textebrut"/>
      </w:pPr>
    </w:p>
    <w:p w:rsidR="006C4D53" w:rsidRDefault="006C4D53" w:rsidP="006C4D53">
      <w:pPr>
        <w:pStyle w:val="Textebrut"/>
      </w:pPr>
      <w:r w:rsidRPr="006C4D53">
        <w:t xml:space="preserve">Gazette de l'Infectiologie: </w:t>
      </w:r>
      <w:r w:rsidRPr="00F15253">
        <w:rPr>
          <w:b/>
        </w:rPr>
        <w:t>La phagothérapie</w:t>
      </w:r>
      <w:r w:rsidRPr="006C4D53">
        <w:t>, ces virus qui nous font du bien</w:t>
      </w:r>
      <w:r>
        <w:t xml:space="preserve"> (SPILF, 06/06/2024)</w:t>
      </w:r>
    </w:p>
    <w:p w:rsidR="006C4D53" w:rsidRDefault="002B5D87" w:rsidP="006C4D53">
      <w:pPr>
        <w:pStyle w:val="Textebrut"/>
      </w:pPr>
      <w:hyperlink r:id="rId90" w:history="1">
        <w:r w:rsidR="006C4D53" w:rsidRPr="00287A00">
          <w:rPr>
            <w:rStyle w:val="Lienhypertexte"/>
          </w:rPr>
          <w:t>https://www.infectiologie.com/fr/actualites/gazette-de-l-infectiologie-la-phagotherapie-ces-virus-qui-nous-font-du-bien_-n.html</w:t>
        </w:r>
      </w:hyperlink>
    </w:p>
    <w:p w:rsidR="006C4D53" w:rsidRDefault="006C4D53" w:rsidP="006C4D53">
      <w:pPr>
        <w:pStyle w:val="Textebrut"/>
      </w:pPr>
    </w:p>
    <w:p w:rsidR="006C4D53" w:rsidRDefault="006C4D53" w:rsidP="006C4D53">
      <w:pPr>
        <w:pStyle w:val="Textebrut"/>
      </w:pPr>
      <w:r w:rsidRPr="00F15253">
        <w:rPr>
          <w:b/>
        </w:rPr>
        <w:t>Dengue</w:t>
      </w:r>
      <w:r w:rsidR="002F5590" w:rsidRPr="00F15253">
        <w:rPr>
          <w:b/>
        </w:rPr>
        <w:t xml:space="preserve"> – Fiche du groupe SPILF</w:t>
      </w:r>
      <w:r w:rsidR="002F5590">
        <w:t xml:space="preserve"> émergences (SPILF, 06/06/2024)</w:t>
      </w:r>
    </w:p>
    <w:p w:rsidR="002F5590" w:rsidRDefault="002B5D87" w:rsidP="006C4D53">
      <w:pPr>
        <w:pStyle w:val="Textebrut"/>
      </w:pPr>
      <w:hyperlink r:id="rId91" w:history="1">
        <w:r w:rsidR="002F5590" w:rsidRPr="00287A00">
          <w:rPr>
            <w:rStyle w:val="Lienhypertexte"/>
          </w:rPr>
          <w:t>https://www.infectiologie.com/fr/actualites/dengue_-n.html</w:t>
        </w:r>
      </w:hyperlink>
    </w:p>
    <w:p w:rsidR="002F5590" w:rsidRDefault="002F5590" w:rsidP="006C4D53">
      <w:pPr>
        <w:pStyle w:val="Textebrut"/>
      </w:pPr>
    </w:p>
    <w:p w:rsidR="002F5590" w:rsidRDefault="002F5590" w:rsidP="002F5590">
      <w:pPr>
        <w:pStyle w:val="Textebrut"/>
      </w:pPr>
      <w:r w:rsidRPr="00F15253">
        <w:rPr>
          <w:b/>
        </w:rPr>
        <w:t>Lissage chimique des cheveux et risques pour la santé</w:t>
      </w:r>
      <w:r>
        <w:t xml:space="preserve"> (Académie nationale de médecine, 06/06/2024)</w:t>
      </w:r>
    </w:p>
    <w:p w:rsidR="002F5590" w:rsidRDefault="002B5D87" w:rsidP="002F5590">
      <w:pPr>
        <w:pStyle w:val="Textebrut"/>
      </w:pPr>
      <w:hyperlink r:id="rId92" w:history="1">
        <w:r w:rsidR="002F5590" w:rsidRPr="00287A00">
          <w:rPr>
            <w:rStyle w:val="Lienhypertexte"/>
          </w:rPr>
          <w:t>https://www.academie-medecine.fr/lissage-chimique-des-cheveux-et-risques-pour-la-sante/</w:t>
        </w:r>
      </w:hyperlink>
    </w:p>
    <w:p w:rsidR="002F5590" w:rsidRDefault="002F5590" w:rsidP="002F5590">
      <w:pPr>
        <w:pStyle w:val="Textebrut"/>
      </w:pPr>
    </w:p>
    <w:p w:rsidR="002F5590" w:rsidRDefault="002F5590" w:rsidP="002F5590">
      <w:pPr>
        <w:pStyle w:val="Textebrut"/>
      </w:pPr>
      <w:r w:rsidRPr="00F15253">
        <w:rPr>
          <w:b/>
        </w:rPr>
        <w:t>Baromètre d’opinion sur le don de gamètes</w:t>
      </w:r>
      <w:r>
        <w:t xml:space="preserve"> : Les Français de mieux en mieux informés, les jeunes moins prêts à donner (ABM, 05/06/2024).</w:t>
      </w:r>
    </w:p>
    <w:p w:rsidR="002F5590" w:rsidRDefault="002F5590" w:rsidP="002F5590">
      <w:pPr>
        <w:pStyle w:val="Textebrut"/>
      </w:pPr>
      <w:r>
        <w:t>La loi du 2 août 2021 relative à la bioéthique a fait évoluer le cadre juridique de l’assistance médicale à la procréation (AMP) [également dénommée procréation médicalement assistée (PMA)], en élargissant son accès aux couples de femmes et aux femmes non mariées. Dans le cadre de son action de sensibilisation et d’information, l’Agence de la biomédecine a réalisé son baromètre* annuel d’opinion sur la perception du don de gamètes par les Français en avril 2024. Il livre trois enseignements principaux :</w:t>
      </w:r>
    </w:p>
    <w:p w:rsidR="002F5590" w:rsidRDefault="002F5590" w:rsidP="002F5590">
      <w:pPr>
        <w:pStyle w:val="Textebrut"/>
      </w:pPr>
      <w:r>
        <w:t>-</w:t>
      </w:r>
      <w:r>
        <w:tab/>
        <w:t>Les Français se sentent de mieux en mieux informés sur le don de gamètes,</w:t>
      </w:r>
    </w:p>
    <w:p w:rsidR="002F5590" w:rsidRDefault="002F5590" w:rsidP="002F5590">
      <w:pPr>
        <w:pStyle w:val="Textebrut"/>
      </w:pPr>
      <w:r>
        <w:t>-</w:t>
      </w:r>
      <w:r>
        <w:tab/>
        <w:t>Les jeunes de 18-24 ans se montrent plus en retrait que le reste de la population sur le sujet : ils se sentent globalement moins informés, moins favorables et donc moins prêts à donner,</w:t>
      </w:r>
    </w:p>
    <w:p w:rsidR="002F5590" w:rsidRDefault="002F5590" w:rsidP="002F5590">
      <w:pPr>
        <w:pStyle w:val="Textebrut"/>
      </w:pPr>
      <w:r>
        <w:t>-</w:t>
      </w:r>
      <w:r>
        <w:tab/>
        <w:t>L’information et la sensibilisation restent les clés de la mobilisation des donneurs.</w:t>
      </w:r>
    </w:p>
    <w:p w:rsidR="002F5590" w:rsidRDefault="002B5D87" w:rsidP="002F5590">
      <w:pPr>
        <w:pStyle w:val="Textebrut"/>
      </w:pPr>
      <w:hyperlink r:id="rId93" w:history="1">
        <w:r w:rsidR="002F5590" w:rsidRPr="00287A00">
          <w:rPr>
            <w:rStyle w:val="Lienhypertexte"/>
          </w:rPr>
          <w:t>https://presse.agence-biomedecine.fr/barometre-dopinion-sur-le-don-de-gametes-les-francais-de-mieux-en-mieux-informes-les-jeunes-moins-prets-a-donner/</w:t>
        </w:r>
      </w:hyperlink>
    </w:p>
    <w:p w:rsidR="002F5590" w:rsidRDefault="002F5590" w:rsidP="002F5590">
      <w:pPr>
        <w:pStyle w:val="Textebrut"/>
      </w:pPr>
    </w:p>
    <w:p w:rsidR="002F5590" w:rsidRDefault="002F5590" w:rsidP="002F5590">
      <w:pPr>
        <w:pStyle w:val="Textebrut"/>
      </w:pPr>
      <w:r w:rsidRPr="00F15253">
        <w:rPr>
          <w:b/>
        </w:rPr>
        <w:t>Financiarisation de la santé : biologistes médicaux</w:t>
      </w:r>
      <w:r>
        <w:t xml:space="preserve"> (</w:t>
      </w:r>
      <w:r w:rsidRPr="00F15253">
        <w:rPr>
          <w:b/>
        </w:rPr>
        <w:t>senat.fr</w:t>
      </w:r>
      <w:r>
        <w:t>, 10/04/2024</w:t>
      </w:r>
      <w:r w:rsidR="00DC40C7">
        <w:t>)</w:t>
      </w:r>
      <w:r>
        <w:t>.</w:t>
      </w:r>
    </w:p>
    <w:p w:rsidR="002F5590" w:rsidRDefault="002F5590" w:rsidP="002F5590">
      <w:pPr>
        <w:pStyle w:val="Textebrut"/>
      </w:pPr>
      <w:r w:rsidRPr="00F15253">
        <w:rPr>
          <w:b/>
        </w:rPr>
        <w:t>Audition de représentants</w:t>
      </w:r>
      <w:r>
        <w:t xml:space="preserve"> (Synlab, Cerballiance notamment) des biologistes médicaux à la commission des affaires sociales du sénat.</w:t>
      </w:r>
    </w:p>
    <w:p w:rsidR="002F5590" w:rsidRDefault="002B5D87" w:rsidP="002F5590">
      <w:pPr>
        <w:pStyle w:val="Textebrut"/>
      </w:pPr>
      <w:hyperlink r:id="rId94" w:history="1">
        <w:r w:rsidR="002F5590" w:rsidRPr="00287A00">
          <w:rPr>
            <w:rStyle w:val="Lienhypertexte"/>
          </w:rPr>
          <w:t>https://videos.senat.fr/video.4580397_6616677de3e42</w:t>
        </w:r>
      </w:hyperlink>
    </w:p>
    <w:p w:rsidR="002F5590" w:rsidRDefault="002F5590" w:rsidP="002F5590">
      <w:pPr>
        <w:pStyle w:val="Textebrut"/>
      </w:pPr>
      <w:r>
        <w:t>Financiarisation de l'offre de soins dans le domaine de la biologie médicale : audition CNOM et CNOP, (senat.fr, 03/04/2024),</w:t>
      </w:r>
    </w:p>
    <w:p w:rsidR="00DC40C7" w:rsidRDefault="002B5D87" w:rsidP="002F5590">
      <w:pPr>
        <w:pStyle w:val="Textebrut"/>
      </w:pPr>
      <w:hyperlink r:id="rId95" w:history="1">
        <w:r w:rsidR="00DC40C7" w:rsidRPr="00287A00">
          <w:rPr>
            <w:rStyle w:val="Lienhypertexte"/>
          </w:rPr>
          <w:t>https://videos.senat.fr/video.4547528_660cee97a963d?timecode=1125000</w:t>
        </w:r>
      </w:hyperlink>
    </w:p>
    <w:p w:rsidR="002F5590" w:rsidRDefault="002F5590" w:rsidP="002F5590">
      <w:pPr>
        <w:pStyle w:val="Textebrut"/>
      </w:pPr>
      <w:r>
        <w:t>Financiarisation de l’offre de soins dans le domaine de la biologie médicale : assurance maladie, (senat.fr, 10/04/2024),</w:t>
      </w:r>
    </w:p>
    <w:p w:rsidR="002F5590" w:rsidRDefault="002F5590" w:rsidP="002F5590">
      <w:pPr>
        <w:pStyle w:val="Textebrut"/>
      </w:pPr>
      <w:r>
        <w:t>Audition de M. Thomas Fatôme, directeur général de la Caisse nationale de l'assurance maladie, à la commission des affaires sociales du sénat.</w:t>
      </w:r>
    </w:p>
    <w:p w:rsidR="002F5590" w:rsidRDefault="002B5D87" w:rsidP="002F5590">
      <w:pPr>
        <w:pStyle w:val="Textebrut"/>
      </w:pPr>
      <w:hyperlink r:id="rId96" w:history="1">
        <w:r w:rsidR="00DC40C7" w:rsidRPr="00287A00">
          <w:rPr>
            <w:rStyle w:val="Lienhypertexte"/>
          </w:rPr>
          <w:t>https://videos.senat.fr/video.4580538_661667b9f25fd</w:t>
        </w:r>
      </w:hyperlink>
    </w:p>
    <w:p w:rsidR="00DC40C7" w:rsidRDefault="00DC40C7" w:rsidP="002F5590">
      <w:pPr>
        <w:pStyle w:val="Textebrut"/>
      </w:pPr>
    </w:p>
    <w:p w:rsidR="00DC40C7" w:rsidRDefault="00DC40C7" w:rsidP="00DC40C7">
      <w:pPr>
        <w:pStyle w:val="Textebrut"/>
      </w:pPr>
      <w:r w:rsidRPr="00F15253">
        <w:rPr>
          <w:b/>
        </w:rPr>
        <w:t>Euroapi</w:t>
      </w:r>
      <w:r>
        <w:t xml:space="preserve"> entame une médiation avec ses créanciers et </w:t>
      </w:r>
      <w:r w:rsidRPr="00F15253">
        <w:rPr>
          <w:b/>
        </w:rPr>
        <w:t>s'e</w:t>
      </w:r>
      <w:r w:rsidR="002E66F1" w:rsidRPr="00F15253">
        <w:rPr>
          <w:b/>
        </w:rPr>
        <w:t>nfonce dans la crise</w:t>
      </w:r>
      <w:r>
        <w:t xml:space="preserve"> (Les Echos, 06/06/2024)</w:t>
      </w:r>
      <w:r w:rsidR="002E66F1">
        <w:t>.</w:t>
      </w:r>
    </w:p>
    <w:p w:rsidR="00DC40C7" w:rsidRDefault="00DC40C7" w:rsidP="00DC40C7">
      <w:pPr>
        <w:pStyle w:val="Textebrut"/>
      </w:pPr>
      <w:r>
        <w:t>Issu de Sanofi, le fabricant français de principes actifs Euroapi a annoncé « avoir décidé de se faire accompagner par un mandataire ad hoc ». Cette mesure de prévention lui permettra de négocier amiablement avec ses créanciers</w:t>
      </w:r>
      <w:r w:rsidR="002E66F1">
        <w:t xml:space="preserve"> alors que son activité décline</w:t>
      </w:r>
    </w:p>
    <w:p w:rsidR="00DC40C7" w:rsidRDefault="002B5D87" w:rsidP="00DC40C7">
      <w:pPr>
        <w:pStyle w:val="Textebrut"/>
      </w:pPr>
      <w:hyperlink r:id="rId97" w:history="1">
        <w:r w:rsidR="00DC40C7" w:rsidRPr="00287A00">
          <w:rPr>
            <w:rStyle w:val="Lienhypertexte"/>
          </w:rPr>
          <w:t>https://www.lesechos.fr/industrie-services/pharmacie-sante/pharmacie-euroapi-entame-une-procedure-de-mediation-avec-ses-creanciers-2099851</w:t>
        </w:r>
      </w:hyperlink>
    </w:p>
    <w:p w:rsidR="00DC40C7" w:rsidRDefault="00DC40C7" w:rsidP="00DC40C7">
      <w:pPr>
        <w:pStyle w:val="Textebrut"/>
      </w:pPr>
    </w:p>
    <w:p w:rsidR="00DC40C7" w:rsidRDefault="0065111E" w:rsidP="00DC40C7">
      <w:pPr>
        <w:pStyle w:val="Textebrut"/>
      </w:pPr>
      <w:r w:rsidRPr="00F15253">
        <w:rPr>
          <w:b/>
        </w:rPr>
        <w:t>MARS n°2024_07</w:t>
      </w:r>
      <w:r w:rsidRPr="0065111E">
        <w:t xml:space="preserve"> du 07/06/2024 : </w:t>
      </w:r>
      <w:r w:rsidRPr="00F15253">
        <w:rPr>
          <w:b/>
        </w:rPr>
        <w:t>Intensification de la circulation de la coqueluche en France et en Europe</w:t>
      </w:r>
    </w:p>
    <w:p w:rsidR="0065111E" w:rsidRDefault="002B5D87" w:rsidP="00DC40C7">
      <w:pPr>
        <w:pStyle w:val="Textebrut"/>
      </w:pPr>
      <w:hyperlink r:id="rId98" w:history="1">
        <w:r w:rsidR="0065111E" w:rsidRPr="00287A00">
          <w:rPr>
            <w:rStyle w:val="Lienhypertexte"/>
          </w:rPr>
          <w:t>https://peps.sante.gouv.fr/actu/2024/24_mars_2024-07.pdf</w:t>
        </w:r>
      </w:hyperlink>
    </w:p>
    <w:p w:rsidR="0065111E" w:rsidRDefault="003A5856" w:rsidP="00DC40C7">
      <w:pPr>
        <w:pStyle w:val="Textebrut"/>
      </w:pPr>
      <w:r w:rsidRPr="00F15253">
        <w:rPr>
          <w:b/>
        </w:rPr>
        <w:t>DGS-URGENT n°2024-08</w:t>
      </w:r>
      <w:r w:rsidRPr="003A5856">
        <w:t xml:space="preserve"> du 07/06/2024 : </w:t>
      </w:r>
      <w:r w:rsidRPr="00F15253">
        <w:rPr>
          <w:b/>
        </w:rPr>
        <w:t>Intensification de la circulation de la coqueluche en France et en Europe</w:t>
      </w:r>
    </w:p>
    <w:p w:rsidR="003A5856" w:rsidRDefault="002B5D87" w:rsidP="00DC40C7">
      <w:pPr>
        <w:pStyle w:val="Textebrut"/>
      </w:pPr>
      <w:hyperlink r:id="rId99" w:history="1">
        <w:r w:rsidR="003A5856" w:rsidRPr="00287A00">
          <w:rPr>
            <w:rStyle w:val="Lienhypertexte"/>
          </w:rPr>
          <w:t>https://sante.gouv.fr/IMG/pdf/dgs-urgent_no2024_08_coqueluche.pdf</w:t>
        </w:r>
      </w:hyperlink>
    </w:p>
    <w:p w:rsidR="005B23BF" w:rsidRDefault="005B23BF" w:rsidP="005B23BF">
      <w:pPr>
        <w:pStyle w:val="Textebrut"/>
      </w:pPr>
      <w:r w:rsidRPr="00F15253">
        <w:rPr>
          <w:b/>
        </w:rPr>
        <w:t>Résurgence de la coqueluche en France</w:t>
      </w:r>
      <w:r>
        <w:t xml:space="preserve"> : les mesures de prévention sont essentielles pour éviter des cas graves et des décès chez les nourrissons (Santé publique France, 07/06/2024).</w:t>
      </w:r>
    </w:p>
    <w:p w:rsidR="005B23BF" w:rsidRDefault="005B23BF" w:rsidP="005B23BF">
      <w:pPr>
        <w:pStyle w:val="Textebrut"/>
      </w:pPr>
      <w:r>
        <w:t>Après un appel à une vigilance renforcée en avril 2024 suite à la recrudescence de la coqueluche en Europe et en France, Santé publique France confirme le démarrage d’un nouveau cycle épidémique cette année</w:t>
      </w:r>
    </w:p>
    <w:p w:rsidR="003A5856" w:rsidRDefault="002B5D87" w:rsidP="005B23BF">
      <w:pPr>
        <w:pStyle w:val="Textebrut"/>
      </w:pPr>
      <w:hyperlink r:id="rId100" w:history="1">
        <w:r w:rsidR="005B23BF" w:rsidRPr="00287A00">
          <w:rPr>
            <w:rStyle w:val="Lienhypertexte"/>
          </w:rPr>
          <w:t>https://www.santepubliquefrance.fr/les-actualites/2024/resurgence-de-la-coqueluche-en-france-les-mesures-de-prevention-sont-essentielles-pour-eviter-des-cas-graves-et-des-deces-chez-les-nourrissons</w:t>
        </w:r>
      </w:hyperlink>
    </w:p>
    <w:p w:rsidR="005B23BF" w:rsidRDefault="005B23BF" w:rsidP="005B23BF">
      <w:pPr>
        <w:pStyle w:val="Textebrut"/>
      </w:pPr>
    </w:p>
    <w:p w:rsidR="005B23BF" w:rsidRDefault="005B23BF" w:rsidP="005B23BF">
      <w:pPr>
        <w:pStyle w:val="Textebrut"/>
      </w:pPr>
      <w:r w:rsidRPr="00F15253">
        <w:rPr>
          <w:b/>
        </w:rPr>
        <w:t>Chikungunya, dengue et Zika</w:t>
      </w:r>
      <w:r>
        <w:t xml:space="preserve"> : les professionnels de santé au centre du dispositif de prévention et de surveillance épidémiologique (SpF, 07/06/2024).</w:t>
      </w:r>
    </w:p>
    <w:p w:rsidR="005B23BF" w:rsidRDefault="005B23BF" w:rsidP="005B23BF">
      <w:pPr>
        <w:pStyle w:val="Textebrut"/>
      </w:pPr>
      <w:r>
        <w:t>Au lancement de la surveillance renforcée des arboviroses et face à l’augmentation de cas de dengue importés observée sur le territoire depuis 2023, Santé publique France rappelle l’importance du diagnostic et du signalement des cas par les professionnels de santé</w:t>
      </w:r>
    </w:p>
    <w:p w:rsidR="003A5856" w:rsidRDefault="002B5D87" w:rsidP="005B23BF">
      <w:pPr>
        <w:pStyle w:val="Textebrut"/>
      </w:pPr>
      <w:hyperlink r:id="rId101" w:history="1">
        <w:r w:rsidR="005B23BF" w:rsidRPr="00287A00">
          <w:rPr>
            <w:rStyle w:val="Lienhypertexte"/>
          </w:rPr>
          <w:t>https://www.santepubliquefrance.fr/les-actualites/2024/chikungunya-dengue-et-zika-les-professionnels-de-sante-au-centre-du-dispositif-de-prevention-et-de-surveillance-epidemiologique</w:t>
        </w:r>
      </w:hyperlink>
    </w:p>
    <w:p w:rsidR="005B23BF" w:rsidRDefault="005B23BF" w:rsidP="005B23BF">
      <w:pPr>
        <w:pStyle w:val="Textebrut"/>
      </w:pPr>
    </w:p>
    <w:p w:rsidR="005B23BF" w:rsidRDefault="005B23BF" w:rsidP="005B23BF">
      <w:pPr>
        <w:pStyle w:val="Textebrut"/>
      </w:pPr>
      <w:r w:rsidRPr="00F15253">
        <w:rPr>
          <w:b/>
        </w:rPr>
        <w:t>Comment fonctionne Reach</w:t>
      </w:r>
      <w:r>
        <w:t>, règlement européen qui encadre les substances chimiques ? (ANSES, 07/06/2024)</w:t>
      </w:r>
    </w:p>
    <w:p w:rsidR="005B23BF" w:rsidRDefault="002B5D87" w:rsidP="005B23BF">
      <w:pPr>
        <w:pStyle w:val="Textebrut"/>
      </w:pPr>
      <w:hyperlink r:id="rId102" w:history="1">
        <w:r w:rsidR="005B23BF" w:rsidRPr="00287A00">
          <w:rPr>
            <w:rStyle w:val="Lienhypertexte"/>
          </w:rPr>
          <w:t>https://www.anses.fr/fr/content/comment-fonctionne-reach</w:t>
        </w:r>
      </w:hyperlink>
    </w:p>
    <w:p w:rsidR="005B23BF" w:rsidRDefault="005B23BF" w:rsidP="005B23BF">
      <w:pPr>
        <w:pStyle w:val="Textebrut"/>
      </w:pPr>
    </w:p>
    <w:p w:rsidR="005B23BF" w:rsidRDefault="005B23BF" w:rsidP="005B23BF">
      <w:pPr>
        <w:pStyle w:val="Textebrut"/>
      </w:pPr>
      <w:r w:rsidRPr="00F15253">
        <w:rPr>
          <w:b/>
        </w:rPr>
        <w:t>Synapse Labs : la Commission européenne impose la suspension des autorisations de mise sur le marché de certains médicaments</w:t>
      </w:r>
      <w:r>
        <w:t xml:space="preserve"> (ANSM, 07/06/2024)</w:t>
      </w:r>
    </w:p>
    <w:p w:rsidR="005B23BF" w:rsidRDefault="005B23BF" w:rsidP="005B23BF">
      <w:pPr>
        <w:pStyle w:val="Textebrut"/>
      </w:pPr>
      <w:r>
        <w:t>La Commission européenne impose la suspension des autorisations de mise sur le marché (AMM) de certains médicaments pour lesquels les études de bioéquivalence ont été réalisées par la société indienne Synapse Labs. Il n’y a pas de risque identifié pour les patients traités par l’un de ces médicaments.</w:t>
      </w:r>
    </w:p>
    <w:p w:rsidR="005B23BF" w:rsidRDefault="002B5D87" w:rsidP="005B23BF">
      <w:pPr>
        <w:pStyle w:val="Textebrut"/>
      </w:pPr>
      <w:hyperlink r:id="rId103" w:history="1">
        <w:r w:rsidR="005B23BF" w:rsidRPr="00287A00">
          <w:rPr>
            <w:rStyle w:val="Lienhypertexte"/>
          </w:rPr>
          <w:t>https://ansm.sante.fr/actualites/synapse-labs-la-commission-europeenne-impose-la-suspension-des-autorisations-de-mise-sur-le-marche-de-certains-medicaments</w:t>
        </w:r>
      </w:hyperlink>
    </w:p>
    <w:p w:rsidR="005B23BF" w:rsidRDefault="005B23BF" w:rsidP="005B23BF">
      <w:pPr>
        <w:pStyle w:val="Textebrut"/>
      </w:pPr>
    </w:p>
    <w:p w:rsidR="005B23BF" w:rsidRDefault="005B23BF" w:rsidP="005B23BF">
      <w:pPr>
        <w:pStyle w:val="Textebrut"/>
      </w:pPr>
      <w:r w:rsidRPr="00F15253">
        <w:rPr>
          <w:b/>
        </w:rPr>
        <w:t>Bromure de Pyridostigmine</w:t>
      </w:r>
      <w:r>
        <w:t xml:space="preserve"> – Laboratoire Inresa – </w:t>
      </w:r>
      <w:r w:rsidRPr="00F15253">
        <w:rPr>
          <w:b/>
        </w:rPr>
        <w:t>Rappel de produit</w:t>
      </w:r>
      <w:r>
        <w:t xml:space="preserve"> (ANSM, 07/06/2024</w:t>
      </w:r>
      <w:r w:rsidR="00CB04FA">
        <w:t>, rectifié le 12/06/2024</w:t>
      </w:r>
      <w:r>
        <w:t>)</w:t>
      </w:r>
    </w:p>
    <w:p w:rsidR="005B23BF" w:rsidRDefault="005B23BF" w:rsidP="005B23BF">
      <w:pPr>
        <w:pStyle w:val="Textebrut"/>
      </w:pPr>
      <w:r>
        <w:t>Niveau de rappel : en direct auprès des officines et établissements de santé destinataires du lot objet du rappel.</w:t>
      </w:r>
    </w:p>
    <w:p w:rsidR="005B23BF" w:rsidRDefault="005B23BF" w:rsidP="005B23BF">
      <w:pPr>
        <w:pStyle w:val="Textebrut"/>
      </w:pPr>
      <w:r>
        <w:t>Le laboratoire Inresa procède, en accord avec l’ANSM, au retrait du lot de la matière première à usage pharmaceutique "Bromure de Pyridostigmine" mentionné ci-dessous :</w:t>
      </w:r>
    </w:p>
    <w:p w:rsidR="005B23BF" w:rsidRDefault="005B23BF" w:rsidP="005B23BF">
      <w:pPr>
        <w:pStyle w:val="Textebrut"/>
      </w:pPr>
      <w:r>
        <w:t xml:space="preserve">Lot </w:t>
      </w:r>
      <w:r w:rsidR="00CB04FA" w:rsidRPr="00CB04FA">
        <w:t xml:space="preserve">336651 </w:t>
      </w:r>
      <w:r>
        <w:t>(date de péremption 10/06/2026) pour les 2 références suivantes :</w:t>
      </w:r>
    </w:p>
    <w:p w:rsidR="005B23BF" w:rsidRDefault="005B23BF" w:rsidP="005B23BF">
      <w:pPr>
        <w:pStyle w:val="Textebrut"/>
      </w:pPr>
      <w:r>
        <w:t>-</w:t>
      </w:r>
      <w:r>
        <w:tab/>
        <w:t>Pyridostigmine bromure 25g (référence Inresa : 10126-25)</w:t>
      </w:r>
    </w:p>
    <w:p w:rsidR="005B23BF" w:rsidRDefault="005B23BF" w:rsidP="005B23BF">
      <w:pPr>
        <w:pStyle w:val="Textebrut"/>
      </w:pPr>
      <w:r>
        <w:t>-</w:t>
      </w:r>
      <w:r>
        <w:tab/>
        <w:t>Pyridostigmine bromure 5g (référence Inresa : 10126-5)</w:t>
      </w:r>
    </w:p>
    <w:p w:rsidR="005B23BF" w:rsidRDefault="005B23BF" w:rsidP="005B23BF">
      <w:pPr>
        <w:pStyle w:val="Textebrut"/>
      </w:pPr>
      <w:r>
        <w:t>Ce rappel fait suite à la mise en évidence d’un résultat hors spécifications (perte à la dessiccation) lors d’un contrôle analytique du produit.</w:t>
      </w:r>
    </w:p>
    <w:p w:rsidR="005B23BF" w:rsidRDefault="002B5D87" w:rsidP="005B23BF">
      <w:pPr>
        <w:pStyle w:val="Textebrut"/>
      </w:pPr>
      <w:hyperlink r:id="rId104" w:history="1">
        <w:r w:rsidR="005B23BF" w:rsidRPr="00287A00">
          <w:rPr>
            <w:rStyle w:val="Lienhypertexte"/>
          </w:rPr>
          <w:t>https://ansm.sante.fr/informations-de-securite/bromure-de-pyridostigmine-laboratoire-inresa-1</w:t>
        </w:r>
      </w:hyperlink>
    </w:p>
    <w:p w:rsidR="005B23BF" w:rsidRDefault="005B23BF" w:rsidP="005B23BF">
      <w:pPr>
        <w:pStyle w:val="Textebrut"/>
      </w:pPr>
    </w:p>
    <w:p w:rsidR="005B23BF" w:rsidRDefault="009062B5" w:rsidP="005B23BF">
      <w:pPr>
        <w:pStyle w:val="Textebrut"/>
      </w:pPr>
      <w:r w:rsidRPr="00F15253">
        <w:rPr>
          <w:b/>
        </w:rPr>
        <w:t>Surveillance de la consommation d’antibiotiques et des résistances bactériennes en établissement de santé</w:t>
      </w:r>
      <w:r w:rsidRPr="009062B5">
        <w:t xml:space="preserve">. Mission </w:t>
      </w:r>
      <w:r w:rsidRPr="00F15253">
        <w:rPr>
          <w:b/>
        </w:rPr>
        <w:t>Spares</w:t>
      </w:r>
      <w:r w:rsidRPr="009062B5">
        <w:t>, résultats 2022</w:t>
      </w:r>
      <w:r>
        <w:t xml:space="preserve"> (SpF, 05/06/2024)</w:t>
      </w:r>
    </w:p>
    <w:p w:rsidR="009062B5" w:rsidRDefault="002B5D87" w:rsidP="005B23BF">
      <w:pPr>
        <w:pStyle w:val="Textebrut"/>
      </w:pPr>
      <w:hyperlink r:id="rId105" w:history="1">
        <w:r w:rsidR="009062B5" w:rsidRPr="00287A00">
          <w:rPr>
            <w:rStyle w:val="Lienhypertexte"/>
          </w:rPr>
          <w:t>https://www.santepubliquefrance.fr/maladies-et-traumatismes/infections-associees-aux-soins-et-resistance-aux-antibiotiques/resistance-aux-antibiotiques/documents/rapport-synthese/surveillance-de-la-consommation-d-antibiotiques-et-des-resistances-bacteriennes-en-etablissement-de-sante.-mission-spares-resultats-2022</w:t>
        </w:r>
      </w:hyperlink>
    </w:p>
    <w:p w:rsidR="009062B5" w:rsidRDefault="009062B5" w:rsidP="005B23BF">
      <w:pPr>
        <w:pStyle w:val="Textebrut"/>
      </w:pPr>
    </w:p>
    <w:p w:rsidR="00E916AB" w:rsidRDefault="00E916AB" w:rsidP="00E916AB">
      <w:pPr>
        <w:pStyle w:val="Textebrut"/>
      </w:pPr>
      <w:r w:rsidRPr="00F15253">
        <w:rPr>
          <w:b/>
        </w:rPr>
        <w:t>Cocaïne et spor</w:t>
      </w:r>
      <w:r w:rsidR="00CD47B5" w:rsidRPr="00F15253">
        <w:rPr>
          <w:b/>
        </w:rPr>
        <w:t>t</w:t>
      </w:r>
      <w:r w:rsidR="00CD47B5">
        <w:t xml:space="preserve"> : risques et conduite à tenir</w:t>
      </w:r>
      <w:r>
        <w:t xml:space="preserve"> (</w:t>
      </w:r>
      <w:r w:rsidRPr="00F15253">
        <w:rPr>
          <w:b/>
        </w:rPr>
        <w:t>Mildeca</w:t>
      </w:r>
      <w:r>
        <w:t>, 05/06/2024)</w:t>
      </w:r>
    </w:p>
    <w:p w:rsidR="00E916AB" w:rsidRDefault="00E916AB" w:rsidP="00E916AB">
      <w:pPr>
        <w:pStyle w:val="Textebrut"/>
      </w:pPr>
      <w:r>
        <w:t>Une fiche synthétique rappelant les risques à consommer de la cocaïne, le statut réglementaire du produit et la conduite à tenir en cas de consommation au sein d’un club sportif.</w:t>
      </w:r>
    </w:p>
    <w:p w:rsidR="009062B5" w:rsidRDefault="002B5D87" w:rsidP="00E916AB">
      <w:pPr>
        <w:pStyle w:val="Textebrut"/>
      </w:pPr>
      <w:hyperlink r:id="rId106" w:history="1">
        <w:r w:rsidR="00E916AB" w:rsidRPr="00FB7C32">
          <w:rPr>
            <w:rStyle w:val="Lienhypertexte"/>
          </w:rPr>
          <w:t>https://www.drogues.gouv.fr/sites/default/files/2024-06/Fiche_cocaine-sport.pdf</w:t>
        </w:r>
      </w:hyperlink>
    </w:p>
    <w:p w:rsidR="00E916AB" w:rsidRDefault="00E916AB" w:rsidP="00E916AB">
      <w:pPr>
        <w:pStyle w:val="Textebrut"/>
      </w:pPr>
    </w:p>
    <w:p w:rsidR="00F15253" w:rsidRDefault="00F15253" w:rsidP="00E916AB">
      <w:pPr>
        <w:pStyle w:val="Textebrut"/>
      </w:pPr>
    </w:p>
    <w:p w:rsidR="00F15253" w:rsidRDefault="00F15253" w:rsidP="00E916AB">
      <w:pPr>
        <w:pStyle w:val="Textebrut"/>
      </w:pPr>
    </w:p>
    <w:p w:rsidR="00E916AB" w:rsidRDefault="00E916AB" w:rsidP="00E916AB">
      <w:pPr>
        <w:pStyle w:val="Textebrut"/>
      </w:pPr>
      <w:r w:rsidRPr="00F15253">
        <w:rPr>
          <w:b/>
        </w:rPr>
        <w:lastRenderedPageBreak/>
        <w:t>Prévention du risque infectieux en établissements et services médico-sociaux</w:t>
      </w:r>
      <w:r>
        <w:t xml:space="preserve"> : organigramme illustrant les acteurs locaux, régionaux et nationaux impliqués dans la prévention de l’antibiorésistance et des infections associées (</w:t>
      </w:r>
      <w:r w:rsidRPr="00F15253">
        <w:rPr>
          <w:b/>
        </w:rPr>
        <w:t>Répia</w:t>
      </w:r>
      <w:r>
        <w:t>, 31/05/2024)</w:t>
      </w:r>
    </w:p>
    <w:p w:rsidR="00E916AB" w:rsidRDefault="002B5D87" w:rsidP="00E916AB">
      <w:pPr>
        <w:pStyle w:val="Textebrut"/>
      </w:pPr>
      <w:hyperlink r:id="rId107" w:history="1">
        <w:r w:rsidR="00E916AB" w:rsidRPr="00FB7C32">
          <w:rPr>
            <w:rStyle w:val="Lienhypertexte"/>
          </w:rPr>
          <w:t>https://www.preventioninfection.fr/actualites/primo-matis-prevention-du-risque-infectieux-en-esms-vos-protocoles-en-3-clics/</w:t>
        </w:r>
      </w:hyperlink>
    </w:p>
    <w:p w:rsidR="00E916AB" w:rsidRDefault="00E916AB" w:rsidP="00E916AB">
      <w:pPr>
        <w:pStyle w:val="Textebrut"/>
      </w:pPr>
    </w:p>
    <w:p w:rsidR="00CD47B5" w:rsidRDefault="00CD47B5" w:rsidP="00CD47B5">
      <w:pPr>
        <w:pStyle w:val="Textebrut"/>
      </w:pPr>
      <w:r w:rsidRPr="00F15253">
        <w:rPr>
          <w:b/>
        </w:rPr>
        <w:t>Détection des génomes du virus de la grippe A et B, et du SARS-CoV-2 par RT-PCR dans un contexte d’exposition à risque à un virus influenza zoonotique</w:t>
      </w:r>
      <w:r>
        <w:t xml:space="preserve"> (HAS, 11/06/2024).</w:t>
      </w:r>
    </w:p>
    <w:p w:rsidR="00CD47B5" w:rsidRDefault="00CD47B5" w:rsidP="00CD47B5">
      <w:pPr>
        <w:pStyle w:val="Textebrut"/>
      </w:pPr>
      <w:r>
        <w:t>Les éléments disponibles (éléments du contexte, recommandations françaises et internationales et point de vue des parties prenantes interrogées) ont permis à la HAS de confirmer la place de la RT-PCR détectant les génomes des virus de la grippe A et B, et du SARS-CoV-2 chez des patients rapportant une exposition à risque à un virus influenza zoonotique et présentant des symptômes compatibles avec une infection par le virus SARS-CoV-2 ou une infection respiratoire hivernale, dont la grippe</w:t>
      </w:r>
    </w:p>
    <w:p w:rsidR="00CD47B5" w:rsidRDefault="002B5D87" w:rsidP="00CD47B5">
      <w:pPr>
        <w:pStyle w:val="Textebrut"/>
      </w:pPr>
      <w:hyperlink r:id="rId108" w:history="1">
        <w:r w:rsidR="00CD47B5" w:rsidRPr="00FB7C32">
          <w:rPr>
            <w:rStyle w:val="Lienhypertexte"/>
          </w:rPr>
          <w:t>https://www.has-sante.fr/jcms/p_3520845/fr/detection-des-genomes-du-virus-de-la-grippe-a-et-b-et-du-sars-cov-2-par-rt-pcr-dans-un-contexte-d-exposition-a-risque-a-un-virus-influenza-zoonotique</w:t>
        </w:r>
      </w:hyperlink>
    </w:p>
    <w:p w:rsidR="00CD47B5" w:rsidRDefault="00CD47B5" w:rsidP="00CD47B5">
      <w:pPr>
        <w:pStyle w:val="Textebrut"/>
      </w:pPr>
      <w:r>
        <w:t>L’avis :</w:t>
      </w:r>
    </w:p>
    <w:p w:rsidR="00CD47B5" w:rsidRDefault="002B5D87" w:rsidP="00CD47B5">
      <w:pPr>
        <w:pStyle w:val="Textebrut"/>
      </w:pPr>
      <w:hyperlink r:id="rId109" w:history="1">
        <w:r w:rsidR="00CD47B5" w:rsidRPr="00FB7C32">
          <w:rPr>
            <w:rStyle w:val="Lienhypertexte"/>
          </w:rPr>
          <w:t>https://www.has-sante.fr/jcms/p_3520858/fr/avis-n2024-0048/ac/seap-du-6-juin-2024-du-college-de-la-has-relatif-a-l-extension-d-indication-sur-la-lap-mentionnee-a-l-article-l-162-1-7-du-css-de-l-acte-de-detection-des-genomes-du-virus-de-la-grippe-a-et-b-et-du-sars-cov-2-par-rt-pcr</w:t>
        </w:r>
      </w:hyperlink>
    </w:p>
    <w:p w:rsidR="00CD47B5" w:rsidRDefault="00CD47B5" w:rsidP="00CD47B5">
      <w:pPr>
        <w:pStyle w:val="Textebrut"/>
      </w:pPr>
      <w:r>
        <w:t>L’argumentaire :</w:t>
      </w:r>
    </w:p>
    <w:p w:rsidR="00E916AB" w:rsidRDefault="002B5D87" w:rsidP="00CD47B5">
      <w:pPr>
        <w:pStyle w:val="Textebrut"/>
      </w:pPr>
      <w:hyperlink r:id="rId110" w:history="1">
        <w:r w:rsidR="00CD47B5" w:rsidRPr="00FB7C32">
          <w:rPr>
            <w:rStyle w:val="Lienhypertexte"/>
          </w:rPr>
          <w:t>https://www.has-sante.fr/jcms/p_3520844/fr/detection-des-genomes-du-virus-de-la-grippe-a-et-b-et-du-sars-cov-2-par-rt-pcr-dans-un-contexte-d-exposition-a-risque-a-un-virus-influenza-zoonotique-argumentaire</w:t>
        </w:r>
      </w:hyperlink>
    </w:p>
    <w:p w:rsidR="00CD47B5" w:rsidRDefault="00CD47B5" w:rsidP="00CD47B5">
      <w:pPr>
        <w:pStyle w:val="Textebrut"/>
      </w:pPr>
    </w:p>
    <w:p w:rsidR="00E916AB" w:rsidRDefault="0009060E" w:rsidP="00E916AB">
      <w:pPr>
        <w:pStyle w:val="Textebrut"/>
      </w:pPr>
      <w:r w:rsidRPr="00F15253">
        <w:rPr>
          <w:b/>
        </w:rPr>
        <w:t>Encore des femmes enceintes exposées à l’isotrétinoïne orale et des malformations en France</w:t>
      </w:r>
      <w:r w:rsidRPr="0009060E">
        <w:t xml:space="preserve"> (Prescrire, juin 2024)</w:t>
      </w:r>
    </w:p>
    <w:p w:rsidR="0009060E" w:rsidRDefault="002B5D87" w:rsidP="00E916AB">
      <w:pPr>
        <w:pStyle w:val="Textebrut"/>
      </w:pPr>
      <w:hyperlink r:id="rId111" w:history="1">
        <w:r w:rsidR="0009060E" w:rsidRPr="00884B97">
          <w:rPr>
            <w:rStyle w:val="Lienhypertexte"/>
          </w:rPr>
          <w:t>https://peps.sante.gouv.fr/actu/2024/24_prescrire_isotretinoine-femme-enceinte-france_juin2024.pdf</w:t>
        </w:r>
      </w:hyperlink>
    </w:p>
    <w:p w:rsidR="0009060E" w:rsidRDefault="0009060E" w:rsidP="00E916AB">
      <w:pPr>
        <w:pStyle w:val="Textebrut"/>
      </w:pPr>
    </w:p>
    <w:p w:rsidR="00E7063D" w:rsidRDefault="00E7063D" w:rsidP="00E7063D">
      <w:pPr>
        <w:pStyle w:val="Textebrut"/>
      </w:pPr>
      <w:r w:rsidRPr="00F15253">
        <w:rPr>
          <w:b/>
        </w:rPr>
        <w:t>Vaccination maternelle contre le VRS</w:t>
      </w:r>
      <w:r>
        <w:t xml:space="preserve"> : une nouvelle possibilité pour protéger le nouveau-né (HAS, 13/06/2024).</w:t>
      </w:r>
    </w:p>
    <w:p w:rsidR="00E7063D" w:rsidRDefault="00E7063D" w:rsidP="00E7063D">
      <w:pPr>
        <w:pStyle w:val="Textebrut"/>
      </w:pPr>
      <w:r>
        <w:t>Saisie par le ministère chargé de la Santé, la Haute Autorité de santé publie aujourd’hui une recommandation concernant l’intégration du nouveau vaccin Abrysvo dans la stratégie de prévention chez le nourrisson des infections par le VRS, responsable notamment de bronchiolites. La prévention était majoritairement assurée depuis l’année dernière par l’injection du traitement Beyfortus chez le nouveau-né. La HAS reconnait l’intérêt d’une vaccination des femmes enceintes avec Abrysvo, lors du 8e mois de grossesse. Avec l’arrivée de ce vaccin, les parents pourraient ainsi avoir le choix - dès septembre - entre deux possibilités pour protéger leur nourrisson contre les infections causées par le VRS</w:t>
      </w:r>
    </w:p>
    <w:p w:rsidR="0009060E" w:rsidRDefault="002B5D87" w:rsidP="00E7063D">
      <w:pPr>
        <w:pStyle w:val="Textebrut"/>
      </w:pPr>
      <w:hyperlink r:id="rId112" w:history="1">
        <w:r w:rsidR="00E7063D" w:rsidRPr="00884B97">
          <w:rPr>
            <w:rStyle w:val="Lienhypertexte"/>
          </w:rPr>
          <w:t>https://www.has-sante.fr/jcms/p_3522378/fr/vaccination-maternelle-contre-le-vrs-une-nouvelle-possibilite-pour-proteger-le-nouveau-ne</w:t>
        </w:r>
      </w:hyperlink>
    </w:p>
    <w:p w:rsidR="00E7063D" w:rsidRDefault="00E7063D" w:rsidP="00E7063D">
      <w:pPr>
        <w:pStyle w:val="Textebrut"/>
      </w:pPr>
    </w:p>
    <w:p w:rsidR="00E7063D" w:rsidRDefault="00E7063D" w:rsidP="00E7063D">
      <w:pPr>
        <w:pStyle w:val="Textebrut"/>
      </w:pPr>
      <w:r w:rsidRPr="00F15253">
        <w:rPr>
          <w:b/>
        </w:rPr>
        <w:t>Infection à virus Monkeypox</w:t>
      </w:r>
      <w:r>
        <w:t xml:space="preserve"> en France. Janvier à avril 2024 (SpF, 13/06/2024).</w:t>
      </w:r>
    </w:p>
    <w:p w:rsidR="00E7063D" w:rsidRDefault="002B5D87" w:rsidP="00E7063D">
      <w:pPr>
        <w:pStyle w:val="Textebrut"/>
      </w:pPr>
      <w:hyperlink r:id="rId113" w:history="1">
        <w:r w:rsidR="00E7063D" w:rsidRPr="00884B97">
          <w:rPr>
            <w:rStyle w:val="Lienhypertexte"/>
          </w:rPr>
          <w:t>https://www.santepubliquefrance.fr/maladies-et-traumatismes/maladies-transmissibles-de-l-animal-a-l-homme/monkeypox/documents/bulletin-national/infection-a-virus-monkeypox-en-france.-janvier-a-avril-2024</w:t>
        </w:r>
      </w:hyperlink>
    </w:p>
    <w:p w:rsidR="00E7063D" w:rsidRDefault="00E7063D" w:rsidP="00E7063D">
      <w:pPr>
        <w:pStyle w:val="Textebrut"/>
      </w:pPr>
    </w:p>
    <w:p w:rsidR="00D26CD3" w:rsidRDefault="00D26CD3" w:rsidP="00D26CD3">
      <w:pPr>
        <w:pStyle w:val="Textebrut"/>
      </w:pPr>
      <w:r w:rsidRPr="00F15253">
        <w:rPr>
          <w:b/>
        </w:rPr>
        <w:t>Signature de l’avenant 1 à la convention qui favorise la lutte contre les déserts pharmaceutiques</w:t>
      </w:r>
      <w:r>
        <w:t xml:space="preserve"> (ameli.fr, 13/06/2024)</w:t>
      </w:r>
    </w:p>
    <w:p w:rsidR="00E7063D" w:rsidRDefault="002B5D87" w:rsidP="00D26CD3">
      <w:pPr>
        <w:pStyle w:val="Textebrut"/>
      </w:pPr>
      <w:hyperlink r:id="rId114" w:history="1">
        <w:r w:rsidR="00D26CD3" w:rsidRPr="00AB0CD4">
          <w:rPr>
            <w:rStyle w:val="Lienhypertexte"/>
          </w:rPr>
          <w:t>https://www.ameli.fr/pharmacien/actualites/signature-de-l-avenant-1-la-convention-qui-favorise-la-lutte-contre-les-deserts-pharmaceutiques</w:t>
        </w:r>
      </w:hyperlink>
    </w:p>
    <w:p w:rsidR="00D26CD3" w:rsidRDefault="00D26CD3" w:rsidP="00D26CD3">
      <w:pPr>
        <w:pStyle w:val="Textebrut"/>
      </w:pPr>
    </w:p>
    <w:p w:rsidR="00B06A3D" w:rsidRDefault="00B06A3D" w:rsidP="00B06A3D">
      <w:pPr>
        <w:pStyle w:val="Textebrut"/>
      </w:pPr>
      <w:r w:rsidRPr="00F15253">
        <w:rPr>
          <w:b/>
        </w:rPr>
        <w:t>Expérimentation : le plastique de stylos injecteurs désormais recyclé</w:t>
      </w:r>
      <w:r>
        <w:t xml:space="preserve"> dans les boîtes violettes </w:t>
      </w:r>
      <w:r w:rsidRPr="00F15253">
        <w:rPr>
          <w:b/>
        </w:rPr>
        <w:t>RECYPEN</w:t>
      </w:r>
      <w:r>
        <w:t xml:space="preserve"> (CNOP, 13/06/2024).</w:t>
      </w:r>
    </w:p>
    <w:p w:rsidR="00B06A3D" w:rsidRDefault="00B06A3D" w:rsidP="00B06A3D">
      <w:pPr>
        <w:pStyle w:val="Textebrut"/>
      </w:pPr>
      <w:r>
        <w:t xml:space="preserve">Dans quatre régions, les boı̂tes violettes RECYPEN acceptent désormais, en plus des e-DASRI, les corps des stylos Sanofi et Lilly sans leurs aiguilles. Lancé pour une durée d’un an par l’éco-organisme DASTRI, ce programme </w:t>
      </w:r>
      <w:r>
        <w:lastRenderedPageBreak/>
        <w:t>expérimental permet le recyclage du plastique des stylos injecteurs. Le point sur le dispositif et les modalités de participation pour les pharmaciens d’officine</w:t>
      </w:r>
    </w:p>
    <w:p w:rsidR="00D26CD3" w:rsidRDefault="002B5D87" w:rsidP="00B06A3D">
      <w:pPr>
        <w:pStyle w:val="Textebrut"/>
      </w:pPr>
      <w:hyperlink r:id="rId115" w:history="1">
        <w:r w:rsidR="00B06A3D" w:rsidRPr="00AB0CD4">
          <w:rPr>
            <w:rStyle w:val="Lienhypertexte"/>
          </w:rPr>
          <w:t>https://www.ordre.pharmacien.fr/les-communications/focus-sur/les-actualites/experimentation-le-plastique-de-stylos-injecteurs-desormais-recycle-dans-les-boi-tes-violettes-recypen</w:t>
        </w:r>
      </w:hyperlink>
    </w:p>
    <w:p w:rsidR="00C76294" w:rsidRDefault="00C76294" w:rsidP="00C76294">
      <w:pPr>
        <w:pStyle w:val="Textebrut"/>
      </w:pPr>
      <w:r w:rsidRPr="00F15253">
        <w:rPr>
          <w:b/>
        </w:rPr>
        <w:t>Avis de la FSPF</w:t>
      </w:r>
      <w:r>
        <w:t xml:space="preserve"> sur l’expérimentation Recypen - Recycler les stylos à insuline : oui, mais pas à n'importe quel prix ! (Le Quotidien du pharmacien, 18/06/2024).</w:t>
      </w:r>
    </w:p>
    <w:p w:rsidR="00C76294" w:rsidRDefault="00C76294" w:rsidP="00C76294">
      <w:pPr>
        <w:pStyle w:val="Textebrut"/>
      </w:pPr>
      <w:r>
        <w:t>Une expérimentation de recyclage des stylos injecteurs d’insuline des laboratoires Lilly et Sanofi nommée Recypen a été lancée dans quatre régions. Toutefois, la FSPF conseille aux pharmaciens de ne pas y participer, car elle ne réunit pas les conditions de sécurité et de rémunération nécessaire à sa bonne mise en place</w:t>
      </w:r>
    </w:p>
    <w:p w:rsidR="00B06A3D" w:rsidRDefault="002B5D87" w:rsidP="00C76294">
      <w:pPr>
        <w:pStyle w:val="Textebrut"/>
      </w:pPr>
      <w:hyperlink r:id="rId116" w:history="1">
        <w:r w:rsidR="00C76294" w:rsidRPr="006F6D2F">
          <w:rPr>
            <w:rStyle w:val="Lienhypertexte"/>
          </w:rPr>
          <w:t>https://www.lequotidiendupharmacien.fr/exercice-pro/recycler-les-stylos-insuline-oui-mais-pas-nimporte-quel-prix</w:t>
        </w:r>
      </w:hyperlink>
    </w:p>
    <w:p w:rsidR="00C76294" w:rsidRDefault="00C76294" w:rsidP="00B06A3D">
      <w:pPr>
        <w:pStyle w:val="Textebrut"/>
      </w:pPr>
    </w:p>
    <w:p w:rsidR="00B06A3D" w:rsidRDefault="00B06A3D" w:rsidP="00B06A3D">
      <w:pPr>
        <w:pStyle w:val="Textebrut"/>
      </w:pPr>
      <w:r>
        <w:t xml:space="preserve">Plus de 400 ordonnances dérobées ou falsifiées, un </w:t>
      </w:r>
      <w:r w:rsidRPr="00F15253">
        <w:rPr>
          <w:b/>
        </w:rPr>
        <w:t>trafic de Fentanyl démantelé en Bretagne</w:t>
      </w:r>
      <w:r>
        <w:t xml:space="preserve"> (Le Parisien, 12/06/2024).</w:t>
      </w:r>
    </w:p>
    <w:p w:rsidR="00B06A3D" w:rsidRDefault="00B06A3D" w:rsidP="00B06A3D">
      <w:pPr>
        <w:pStyle w:val="Textebrut"/>
      </w:pPr>
      <w:r>
        <w:t>Les gendarmes de l’Oclaesp ont interpellé une dizaine de personnes soupçonnées d’avoir dérobé ou falsifié plus de 400 ordonnances pour obtenir illégalement du Fentanyl. Un opioïde qui a causé des ravages aux États-Unis</w:t>
      </w:r>
    </w:p>
    <w:p w:rsidR="00B06A3D" w:rsidRDefault="002B5D87" w:rsidP="00B06A3D">
      <w:pPr>
        <w:pStyle w:val="Textebrut"/>
      </w:pPr>
      <w:hyperlink r:id="rId117" w:history="1">
        <w:r w:rsidR="00B06A3D" w:rsidRPr="00AB0CD4">
          <w:rPr>
            <w:rStyle w:val="Lienhypertexte"/>
          </w:rPr>
          <w:t>https://www.leparisien.fr/faits-divers/plus-de-400-ordonnances-derobees-ou-falsifiees-un-trafic-de-fentanyl-demantele-en-bretagne-12-06-2024-PR67YN2FUNCKPK6PE6O5H3MYEM.php</w:t>
        </w:r>
      </w:hyperlink>
    </w:p>
    <w:p w:rsidR="00B06A3D" w:rsidRDefault="00B06A3D" w:rsidP="00B06A3D">
      <w:pPr>
        <w:pStyle w:val="Textebrut"/>
      </w:pPr>
    </w:p>
    <w:p w:rsidR="00D45ADA" w:rsidRDefault="00D45ADA" w:rsidP="00D45ADA">
      <w:pPr>
        <w:pStyle w:val="Textebrut"/>
      </w:pPr>
      <w:r w:rsidRPr="00F15253">
        <w:rPr>
          <w:b/>
        </w:rPr>
        <w:t>Programmes sanitaires d’élevage et vente de médicaments vétérinaires par les groupements agréés (IGAS</w:t>
      </w:r>
      <w:r>
        <w:t>, 14/06/2024).</w:t>
      </w:r>
    </w:p>
    <w:p w:rsidR="00D45ADA" w:rsidRDefault="00D45ADA" w:rsidP="00D45ADA">
      <w:pPr>
        <w:pStyle w:val="Textebrut"/>
      </w:pPr>
      <w:r>
        <w:t>La mise en place des programmes sanitaires d’élevage (PSE) en 1975 a été un jalon important dans les modes de prescription et distribution des médicaments vétérinaires pour les animaux de rente. Une mission conjointe du Conseil général de l’alimentation, de l’agriculture et des espaces ruraux et de l’Inspection générale des affaires sociales (Igas) a été chargée d’établir un état des lieux et de proposer leur évolution</w:t>
      </w:r>
    </w:p>
    <w:p w:rsidR="00E916AB" w:rsidRDefault="002B5D87" w:rsidP="00D45ADA">
      <w:pPr>
        <w:pStyle w:val="Textebrut"/>
      </w:pPr>
      <w:hyperlink r:id="rId118" w:history="1">
        <w:r w:rsidR="00D45ADA" w:rsidRPr="00C00E70">
          <w:rPr>
            <w:rStyle w:val="Lienhypertexte"/>
          </w:rPr>
          <w:t>https://igas.gouv.fr/Programmes-sanitaires-d-elevage-et-vente-de-medicaments-veterinaires-par-les.html</w:t>
        </w:r>
      </w:hyperlink>
    </w:p>
    <w:p w:rsidR="00D45ADA" w:rsidRDefault="00D45ADA" w:rsidP="00D45ADA">
      <w:pPr>
        <w:pStyle w:val="Textebrut"/>
      </w:pPr>
    </w:p>
    <w:p w:rsidR="00B25F50" w:rsidRDefault="00B25F50" w:rsidP="00B25F50">
      <w:pPr>
        <w:pStyle w:val="Textebrut"/>
      </w:pPr>
      <w:r w:rsidRPr="00F15253">
        <w:rPr>
          <w:b/>
        </w:rPr>
        <w:t>Des gardes mieux rémunérées</w:t>
      </w:r>
      <w:r>
        <w:t xml:space="preserve"> et une majoration en nuit profonde (Le Quotidien du pharmacien, 14/06/2024).</w:t>
      </w:r>
    </w:p>
    <w:p w:rsidR="00B25F50" w:rsidRDefault="00B25F50" w:rsidP="00B25F50">
      <w:pPr>
        <w:pStyle w:val="Textebrut"/>
      </w:pPr>
      <w:r>
        <w:t>L’avenant économique à la convention pharmaceutique entérine une hausse des indemnités d’astreintes et des honoraires de garde. La grande nouveauté, c’est la reconnaissance de la nuit profonde et sa majoration spécifique. Mais il a encore des améliorations à apporter</w:t>
      </w:r>
    </w:p>
    <w:p w:rsidR="0065111E" w:rsidRDefault="002B5D87" w:rsidP="00B25F50">
      <w:pPr>
        <w:pStyle w:val="Textebrut"/>
      </w:pPr>
      <w:hyperlink r:id="rId119" w:history="1">
        <w:r w:rsidR="00B25F50" w:rsidRPr="00C00E70">
          <w:rPr>
            <w:rStyle w:val="Lienhypertexte"/>
          </w:rPr>
          <w:t>https://www.lequotidiendupharmacien.fr/exercice-pro/des-gardes-mieux-remunerees-et-une-majoration-en-nuit-profonde</w:t>
        </w:r>
      </w:hyperlink>
    </w:p>
    <w:p w:rsidR="00B25F50" w:rsidRDefault="00B25F50" w:rsidP="00B25F50">
      <w:pPr>
        <w:pStyle w:val="Textebrut"/>
      </w:pPr>
    </w:p>
    <w:p w:rsidR="00F84D3B" w:rsidRDefault="00F84D3B" w:rsidP="00F84D3B">
      <w:pPr>
        <w:pStyle w:val="Textebrut"/>
      </w:pPr>
      <w:r w:rsidRPr="00F15253">
        <w:rPr>
          <w:b/>
        </w:rPr>
        <w:t>Moustique tigre – Professionnels de santé : conseils pour votre pratiq</w:t>
      </w:r>
      <w:r w:rsidR="00A14D82" w:rsidRPr="00F15253">
        <w:rPr>
          <w:b/>
        </w:rPr>
        <w:t>ue</w:t>
      </w:r>
      <w:r w:rsidR="00A14D82">
        <w:t xml:space="preserve"> (ARS Occitanie, 12/06/2024).</w:t>
      </w:r>
    </w:p>
    <w:p w:rsidR="00F84D3B" w:rsidRDefault="00F84D3B" w:rsidP="00F84D3B">
      <w:pPr>
        <w:pStyle w:val="Textebrut"/>
      </w:pPr>
      <w:r>
        <w:t>En France métropolitaine, le dispositif de surveillance de la Dengue, du Chikungunya et du Zika s’inscrit dans le cadre de l’Instruction N° DGS/VSS1/2019/258 du 12 décembre 2019 relative à la prévention des arboviroses</w:t>
      </w:r>
    </w:p>
    <w:p w:rsidR="00F84D3B" w:rsidRDefault="002B5D87" w:rsidP="00F84D3B">
      <w:pPr>
        <w:pStyle w:val="Textebrut"/>
      </w:pPr>
      <w:hyperlink r:id="rId120" w:history="1">
        <w:r w:rsidR="00F84D3B" w:rsidRPr="00DD3059">
          <w:rPr>
            <w:rStyle w:val="Lienhypertexte"/>
          </w:rPr>
          <w:t>https://www.occitanie.ars.sante.fr/professionnels-de-sante-conseils-pour-votre-pratique</w:t>
        </w:r>
      </w:hyperlink>
    </w:p>
    <w:p w:rsidR="00F84D3B" w:rsidRDefault="00F84D3B" w:rsidP="00F84D3B">
      <w:pPr>
        <w:pStyle w:val="Textebrut"/>
      </w:pPr>
      <w:r>
        <w:t>Gestion du risque d'apparition d'arboviroses en métropole - Actions de communication en Occitanie (RESE, juin 2024)</w:t>
      </w:r>
    </w:p>
    <w:p w:rsidR="00B25F50" w:rsidRDefault="002B5D87" w:rsidP="00F84D3B">
      <w:pPr>
        <w:pStyle w:val="Textebrut"/>
      </w:pPr>
      <w:hyperlink r:id="rId121" w:history="1">
        <w:r w:rsidR="00F84D3B" w:rsidRPr="00DD3059">
          <w:rPr>
            <w:rStyle w:val="Lienhypertexte"/>
          </w:rPr>
          <w:t>https://rese.intranet.sante.gouv.fr/santenv/interven/lav/metro/aedes/ars34/po.htm</w:t>
        </w:r>
      </w:hyperlink>
    </w:p>
    <w:p w:rsidR="00F84D3B" w:rsidRDefault="00F84D3B" w:rsidP="00F84D3B">
      <w:pPr>
        <w:pStyle w:val="Textebrut"/>
      </w:pPr>
    </w:p>
    <w:p w:rsidR="00F15253" w:rsidRDefault="00F15253" w:rsidP="00F84D3B">
      <w:pPr>
        <w:pStyle w:val="Textebrut"/>
      </w:pPr>
    </w:p>
    <w:p w:rsidR="00B76244" w:rsidRDefault="00F15253" w:rsidP="00B76244">
      <w:pPr>
        <w:pStyle w:val="Textebrut"/>
      </w:pPr>
      <w:r w:rsidRPr="00F15253">
        <w:rPr>
          <w:b/>
        </w:rPr>
        <w:t xml:space="preserve">Antibiotiques - </w:t>
      </w:r>
      <w:r w:rsidR="00B76244" w:rsidRPr="00F15253">
        <w:rPr>
          <w:b/>
        </w:rPr>
        <w:t>Posologie standard et forte posologie : propositions</w:t>
      </w:r>
      <w:r w:rsidR="00B76244">
        <w:t xml:space="preserve"> du groupe de travail SPILF, SFPT &amp; CA-SFM (SPILF, 17/06/2024).</w:t>
      </w:r>
    </w:p>
    <w:p w:rsidR="00B76244" w:rsidRDefault="00B76244" w:rsidP="00B76244">
      <w:pPr>
        <w:pStyle w:val="Textebrut"/>
      </w:pPr>
      <w:r>
        <w:t xml:space="preserve">La mise en place du nouveau système de catégorisation clinique, impliquant désormais de rendre les antibiotiques sensibles « à posologie standard » ou « à forte posologie », rend indispensable la mise à disposition d’un tableau des posologies adapté aux pratiques réelles des prescriptions d’antibiotiques en France. Le tableau des posologies présenté ci-dessous répond à cet objectif principal, avec le souci de veiller à l’adéquation entre - d’une part - les schémas posologiques proposés, et - d’autre part - les concentrations et diamètres critiques spécifiques de genres et d’espèces ou les concentrations critiques « PK/PD » présentées au chapitre 4. Pour </w:t>
      </w:r>
      <w:r>
        <w:lastRenderedPageBreak/>
        <w:t>certains antibiotiques, plusieurs schémas posologiques (perfusions courtes, perfusions prolongées ou perfusion continue) sont proposés pour répondre à la diversité des situations cliniques</w:t>
      </w:r>
    </w:p>
    <w:p w:rsidR="00B76244" w:rsidRDefault="002B5D87" w:rsidP="00B76244">
      <w:pPr>
        <w:pStyle w:val="Textebrut"/>
      </w:pPr>
      <w:hyperlink r:id="rId122" w:history="1">
        <w:r w:rsidR="00B76244" w:rsidRPr="006F6D2F">
          <w:rPr>
            <w:rStyle w:val="Lienhypertexte"/>
          </w:rPr>
          <w:t>https://www.infectiologie.com/UserFiles/File/spilf/recos/doses-spilf-sfpt-casfm-2024.pdf</w:t>
        </w:r>
      </w:hyperlink>
    </w:p>
    <w:p w:rsidR="00B76244" w:rsidRDefault="00B76244" w:rsidP="00B76244">
      <w:pPr>
        <w:pStyle w:val="Textebrut"/>
      </w:pPr>
    </w:p>
    <w:p w:rsidR="00B6468B" w:rsidRDefault="00B6468B" w:rsidP="00B6468B">
      <w:pPr>
        <w:pStyle w:val="Textebrut"/>
      </w:pPr>
      <w:r w:rsidRPr="00F15253">
        <w:rPr>
          <w:b/>
        </w:rPr>
        <w:t>Certification des prestataires de services et distributeurs de matériel</w:t>
      </w:r>
      <w:r>
        <w:t xml:space="preserve"> (PSDM) : la HAS publie le </w:t>
      </w:r>
      <w:r w:rsidRPr="00F15253">
        <w:rPr>
          <w:b/>
        </w:rPr>
        <w:t>référentiel</w:t>
      </w:r>
      <w:r>
        <w:t xml:space="preserve"> (HAS, 18/06/2024).</w:t>
      </w:r>
    </w:p>
    <w:p w:rsidR="00B6468B" w:rsidRDefault="00B6468B" w:rsidP="00B6468B">
      <w:pPr>
        <w:pStyle w:val="Textebrut"/>
      </w:pPr>
      <w:r>
        <w:t>Les prestataires de services et distributeurs de matériel (PSDM) sont devenus en quelques années un acteur important du maintien à domicile des personnes malades ou en perte d’autonomie. Ils fournissent des dispositifs médicaux et des prestations associées à environ 2 millions de personnes. À la suite d’un état des lieux mené par l’Inspection générale des affaires sociales (Igas), la loi de financement de la Sécurité sociale (LFSS) pour 2021 a confié à la Haute Autorité de santé (HAS) l’élaboration d’un référentiel des bonnes pratiques professionnelles et d’une procédure de certification des PSDM. La certification conditionnera la prise en charge des produits et prestations remboursables par l’Assurance maladie. L’objectif est de s’assurer de la qualité et de la sécurité de l’activité. La HAS publie aujourd’hui le référentiel sur la base duquel les prestataires seront évalués, afin de leur permettre de se préparer</w:t>
      </w:r>
    </w:p>
    <w:p w:rsidR="00B76244" w:rsidRDefault="002B5D87" w:rsidP="00B6468B">
      <w:pPr>
        <w:pStyle w:val="Textebrut"/>
      </w:pPr>
      <w:hyperlink r:id="rId123" w:history="1">
        <w:r w:rsidR="00B6468B" w:rsidRPr="006F6D2F">
          <w:rPr>
            <w:rStyle w:val="Lienhypertexte"/>
          </w:rPr>
          <w:t>https://www.has-sante.fr/jcms/p_3525164/fr/certification-des-prestataires-de-services-et-distributeurs-de-materiel-psdm-la-has-publie-le-referentiel</w:t>
        </w:r>
      </w:hyperlink>
    </w:p>
    <w:p w:rsidR="002948EF" w:rsidRDefault="002948EF" w:rsidP="002948EF">
      <w:pPr>
        <w:pStyle w:val="Textebrut"/>
      </w:pPr>
      <w:r>
        <w:t>Bonnes pratiques professionnelles des Prestataires de Services et Distributeurs de Matériel (PSDM) – Guide méthodologique (HAS, 18/06/2024)</w:t>
      </w:r>
    </w:p>
    <w:p w:rsidR="002948EF" w:rsidRDefault="002B5D87" w:rsidP="002948EF">
      <w:pPr>
        <w:pStyle w:val="Textebrut"/>
      </w:pPr>
      <w:hyperlink r:id="rId124" w:history="1">
        <w:r w:rsidR="002948EF" w:rsidRPr="00B70327">
          <w:rPr>
            <w:rStyle w:val="Lienhypertexte"/>
          </w:rPr>
          <w:t>https://www.has-sante.fr/jcms/p_3293982/fr/bonnes-pratiques-professionnelles-des-prestataires-de-services-et-distributeurs-de-materiel-psdm</w:t>
        </w:r>
      </w:hyperlink>
    </w:p>
    <w:p w:rsidR="002948EF" w:rsidRDefault="002948EF" w:rsidP="002948EF">
      <w:pPr>
        <w:pStyle w:val="Textebrut"/>
      </w:pPr>
      <w:r>
        <w:t>Le référentiel :</w:t>
      </w:r>
    </w:p>
    <w:p w:rsidR="00B6468B" w:rsidRDefault="002B5D87" w:rsidP="002948EF">
      <w:pPr>
        <w:pStyle w:val="Textebrut"/>
      </w:pPr>
      <w:hyperlink r:id="rId125" w:history="1">
        <w:r w:rsidR="002948EF" w:rsidRPr="00B70327">
          <w:rPr>
            <w:rStyle w:val="Lienhypertexte"/>
          </w:rPr>
          <w:t>https://www.has-sante.fr/jcms/p_3524902/fr/bonnes-pratiques-professionnelles-des-prestataires-de-services-et-distributeurs-de-materiel-psdm-referentiel</w:t>
        </w:r>
      </w:hyperlink>
    </w:p>
    <w:p w:rsidR="002948EF" w:rsidRDefault="002948EF" w:rsidP="002948EF">
      <w:pPr>
        <w:pStyle w:val="Textebrut"/>
      </w:pPr>
    </w:p>
    <w:p w:rsidR="00361E55" w:rsidRDefault="00361E55" w:rsidP="00361E55">
      <w:pPr>
        <w:pStyle w:val="Textebrut"/>
      </w:pPr>
      <w:r w:rsidRPr="00F15253">
        <w:rPr>
          <w:b/>
        </w:rPr>
        <w:t>Avenant économique : pourquoi il était vital de signer (FSPF</w:t>
      </w:r>
      <w:r>
        <w:t>, 14/06/2024)</w:t>
      </w:r>
    </w:p>
    <w:p w:rsidR="00361E55" w:rsidRDefault="002B5D87" w:rsidP="00361E55">
      <w:pPr>
        <w:pStyle w:val="Textebrut"/>
      </w:pPr>
      <w:hyperlink r:id="rId126" w:history="1">
        <w:r w:rsidR="00361E55" w:rsidRPr="006F6D2F">
          <w:rPr>
            <w:rStyle w:val="Lienhypertexte"/>
          </w:rPr>
          <w:t>https://www.fspf.fr/avenant-economique-pourquoi-il-etait-vital-de-signer/</w:t>
        </w:r>
      </w:hyperlink>
    </w:p>
    <w:p w:rsidR="00361E55" w:rsidRDefault="00361E55" w:rsidP="00361E55">
      <w:pPr>
        <w:pStyle w:val="Textebrut"/>
      </w:pPr>
      <w:r>
        <w:t>Infographie « Avenant économique : 3 pages pour tout comprendre »</w:t>
      </w:r>
    </w:p>
    <w:p w:rsidR="00B6468B" w:rsidRDefault="002B5D87" w:rsidP="00361E55">
      <w:pPr>
        <w:pStyle w:val="Textebrut"/>
      </w:pPr>
      <w:hyperlink r:id="rId127" w:history="1">
        <w:r w:rsidR="00361E55" w:rsidRPr="006F6D2F">
          <w:rPr>
            <w:rStyle w:val="Lienhypertexte"/>
          </w:rPr>
          <w:t>https://www.fspf.fr/wp-content/uploads/2024/06/Infographie-2024-Avenant-economique.pdf</w:t>
        </w:r>
      </w:hyperlink>
    </w:p>
    <w:p w:rsidR="00361E55" w:rsidRDefault="00361E55" w:rsidP="00361E55">
      <w:pPr>
        <w:pStyle w:val="Textebrut"/>
      </w:pPr>
    </w:p>
    <w:p w:rsidR="00361E55" w:rsidRDefault="003814AA" w:rsidP="00361E55">
      <w:pPr>
        <w:pStyle w:val="Textebrut"/>
      </w:pPr>
      <w:r w:rsidRPr="003814AA">
        <w:t xml:space="preserve">Message du 17/06/2024 de la DGS aux DGARS concernant le </w:t>
      </w:r>
      <w:r w:rsidRPr="00F15253">
        <w:rPr>
          <w:b/>
        </w:rPr>
        <w:t>décret encadrant les actes d'épilation à la lumière pulsée intense et au laser</w:t>
      </w:r>
      <w:r w:rsidRPr="003814AA">
        <w:t xml:space="preserve"> à visée non thérapeutique</w:t>
      </w:r>
    </w:p>
    <w:p w:rsidR="003814AA" w:rsidRDefault="002B5D87" w:rsidP="00361E55">
      <w:pPr>
        <w:pStyle w:val="Textebrut"/>
      </w:pPr>
      <w:hyperlink r:id="rId128" w:history="1">
        <w:r w:rsidR="003814AA" w:rsidRPr="00B70327">
          <w:rPr>
            <w:rStyle w:val="Lienhypertexte"/>
          </w:rPr>
          <w:t>https://peps.sante.gouv.fr/actu/2024/24_dgs_epilation-laser_17062024.pdf</w:t>
        </w:r>
      </w:hyperlink>
    </w:p>
    <w:p w:rsidR="003814AA" w:rsidRDefault="003814AA" w:rsidP="00361E55">
      <w:pPr>
        <w:pStyle w:val="Textebrut"/>
      </w:pPr>
    </w:p>
    <w:p w:rsidR="00F15253" w:rsidRDefault="00F15253" w:rsidP="00361E55">
      <w:pPr>
        <w:pStyle w:val="Textebrut"/>
      </w:pPr>
    </w:p>
    <w:p w:rsidR="00DE4828" w:rsidRDefault="00DE4828" w:rsidP="00DE4828">
      <w:pPr>
        <w:pStyle w:val="Textebrut"/>
      </w:pPr>
      <w:r w:rsidRPr="00F15253">
        <w:rPr>
          <w:b/>
        </w:rPr>
        <w:t>Effet de l’âge relatif sur l’initiation d’un traitement par méthylphénidate et sur le recours à l’orthophonie en France chez les enfants de 5 à 10 ans</w:t>
      </w:r>
      <w:r>
        <w:t xml:space="preserve"> (EPI-PHARE, 20/06/2024).</w:t>
      </w:r>
    </w:p>
    <w:p w:rsidR="00DE4828" w:rsidRDefault="00DE4828" w:rsidP="00DE4828">
      <w:pPr>
        <w:pStyle w:val="Textebrut"/>
      </w:pPr>
      <w:r>
        <w:t>Parmi les enfants d’un même niveau scolaire en France, une différence d’âge de quelques mois (effet d’âge relatif) a un impact considérable sur la fréquence d’initiation du méthylphénidate mais aussi de l’orthophonie. Deux hypothèses pourraient expliquer ce résultat 1) une non-adaptation des attentes pédagogiques à l’âge relatif et au niveau de maturité neurologique des enfants 2) un repérage plus précoce des troubles neurodéveloppementaux chez les plus jeunes enfants de chaque classe d’âge aux dépens des plus âgés. Les mécanismes probables sont la pression du système éducatif et l’offre de soins contrainte notamment médico-psycho-pédagogique et pédopsychiatrique. Les enseignants, les médecins prescripteurs et les orthophonistes devraient être conscients de la possibilité qu’une immaturité relative liée à l’âge réel (et non par rapport à ses camarades de classe) soit diagnostiquée par excès comme un TDAH ou un trouble spécifique du langage et des apprentissages et ajuster leurs pratiques d’enseignement, de diagnostic et de prise en charge thérapeutique en conséquence. De même, une maturité relative par rapport à l’âge réel (notamment chez les enfants les plus âgés de la classe) pourrait conduire à un retard ou à un sous-diagnostic du TDAH ou de troubles spécifiques du langage et des apprentissages</w:t>
      </w:r>
    </w:p>
    <w:p w:rsidR="003814AA" w:rsidRDefault="002B5D87" w:rsidP="00DE4828">
      <w:pPr>
        <w:pStyle w:val="Textebrut"/>
      </w:pPr>
      <w:hyperlink r:id="rId129" w:history="1">
        <w:r w:rsidR="00DE4828" w:rsidRPr="000310E9">
          <w:rPr>
            <w:rStyle w:val="Lienhypertexte"/>
          </w:rPr>
          <w:t>https://www.epi-phare.fr/rapports-detudes-et-publications/age-relatif-methylphenidate-orthophonie/</w:t>
        </w:r>
      </w:hyperlink>
    </w:p>
    <w:p w:rsidR="00DE4828" w:rsidRDefault="00DE4828" w:rsidP="00DE4828">
      <w:pPr>
        <w:pStyle w:val="Textebrut"/>
      </w:pPr>
      <w:r w:rsidRPr="00A82D5A">
        <w:rPr>
          <w:b/>
        </w:rPr>
        <w:lastRenderedPageBreak/>
        <w:t>Recours au méthylphénidate et à l’orthophonie chez les enfants âgés de 5 à 10 ans : les natifs de la fin d’année y sont davantage exposés que ceux nés en début d’année</w:t>
      </w:r>
      <w:r>
        <w:t xml:space="preserve"> à niveau égal de scolarité (ANSM, 20/06/2024)</w:t>
      </w:r>
    </w:p>
    <w:p w:rsidR="00DE4828" w:rsidRDefault="002B5D87" w:rsidP="00DE4828">
      <w:pPr>
        <w:pStyle w:val="Textebrut"/>
      </w:pPr>
      <w:hyperlink r:id="rId130" w:history="1">
        <w:r w:rsidR="00DE4828" w:rsidRPr="000310E9">
          <w:rPr>
            <w:rStyle w:val="Lienhypertexte"/>
          </w:rPr>
          <w:t>https://ansm.sante.fr/actualites/recours-au-methylphenidate-et-a-lorthophonie-chez-les-enfants-ages-de-5-a-10-ans-les-natifs-de-la-fin-dannee-y-sont-davantage-exposes-que-ceux-nes-en-debut-dannee-a-niveau-egal-de-scolarite</w:t>
        </w:r>
      </w:hyperlink>
    </w:p>
    <w:p w:rsidR="00DE4828" w:rsidRDefault="00DE4828" w:rsidP="00DE4828">
      <w:pPr>
        <w:pStyle w:val="Textebrut"/>
      </w:pPr>
    </w:p>
    <w:p w:rsidR="00DE4828" w:rsidRDefault="00DE4828" w:rsidP="00DE4828">
      <w:pPr>
        <w:pStyle w:val="Textebrut"/>
      </w:pPr>
      <w:r w:rsidRPr="00A82D5A">
        <w:rPr>
          <w:b/>
        </w:rPr>
        <w:t>Recommandations sanitaires aux voyageurs</w:t>
      </w:r>
      <w:r>
        <w:t xml:space="preserve"> Édition </w:t>
      </w:r>
      <w:r w:rsidRPr="00A82D5A">
        <w:rPr>
          <w:b/>
        </w:rPr>
        <w:t>2024</w:t>
      </w:r>
      <w:r>
        <w:t xml:space="preserve"> (HCSP, 03/06/2024)</w:t>
      </w:r>
    </w:p>
    <w:p w:rsidR="00DE4828" w:rsidRDefault="002B5D87" w:rsidP="00DE4828">
      <w:pPr>
        <w:pStyle w:val="Textebrut"/>
      </w:pPr>
      <w:hyperlink r:id="rId131" w:history="1">
        <w:r w:rsidR="00DE4828" w:rsidRPr="000310E9">
          <w:rPr>
            <w:rStyle w:val="Lienhypertexte"/>
          </w:rPr>
          <w:t>https://www.hcsp.fr/Explore.cgi/avisrapportsdomaine?clefr=1379</w:t>
        </w:r>
      </w:hyperlink>
    </w:p>
    <w:p w:rsidR="00DE4828" w:rsidRDefault="00DE4828" w:rsidP="00DE4828">
      <w:pPr>
        <w:pStyle w:val="Textebrut"/>
      </w:pPr>
    </w:p>
    <w:p w:rsidR="00A909A3" w:rsidRDefault="00A909A3" w:rsidP="00A909A3">
      <w:pPr>
        <w:pStyle w:val="Textebrut"/>
      </w:pPr>
      <w:r w:rsidRPr="00A82D5A">
        <w:rPr>
          <w:b/>
        </w:rPr>
        <w:t>Depuis fin 2022, plus de 90 000 ordonnances numériques exécutées en pharmacie</w:t>
      </w:r>
      <w:r>
        <w:t xml:space="preserve"> (Le Quotidien du pharmacien, 20/06/2024).</w:t>
      </w:r>
    </w:p>
    <w:p w:rsidR="00A909A3" w:rsidRDefault="00A909A3" w:rsidP="00A909A3">
      <w:pPr>
        <w:pStyle w:val="Textebrut"/>
      </w:pPr>
      <w:r>
        <w:t>Malgré un démarrage plus lent que chez les médecins, le nombre d’ordonnances numériques exécutées en pharmacie est en progression notable, selon les derniers chiffres de l’assurance-maladie. L’organisme s’attend à une croissance exponentielle dans les mois à venir</w:t>
      </w:r>
    </w:p>
    <w:p w:rsidR="00DE4828" w:rsidRDefault="002B5D87" w:rsidP="00A909A3">
      <w:pPr>
        <w:pStyle w:val="Textebrut"/>
      </w:pPr>
      <w:hyperlink r:id="rId132" w:history="1">
        <w:r w:rsidR="00A909A3" w:rsidRPr="0075011E">
          <w:rPr>
            <w:rStyle w:val="Lienhypertexte"/>
          </w:rPr>
          <w:t>https://www.lequotidiendupharmacien.fr/exercice-pro/plus-de-90-000-ordonnances-numeriques-executees-en-pharmacie</w:t>
        </w:r>
      </w:hyperlink>
    </w:p>
    <w:p w:rsidR="00A909A3" w:rsidRDefault="00A909A3" w:rsidP="00A909A3">
      <w:pPr>
        <w:pStyle w:val="Textebrut"/>
      </w:pPr>
    </w:p>
    <w:p w:rsidR="00814D59" w:rsidRDefault="00814D59" w:rsidP="00814D59">
      <w:pPr>
        <w:pStyle w:val="Textebrut"/>
      </w:pPr>
      <w:r w:rsidRPr="00A82D5A">
        <w:rPr>
          <w:b/>
        </w:rPr>
        <w:t>Dossier pharmaceutique : généralisation du nouveau régime</w:t>
      </w:r>
      <w:r>
        <w:t xml:space="preserve"> (CNOP, 20/06/2024).</w:t>
      </w:r>
    </w:p>
    <w:p w:rsidR="00814D59" w:rsidRDefault="00814D59" w:rsidP="00814D59">
      <w:pPr>
        <w:pStyle w:val="Textebrut"/>
      </w:pPr>
      <w:r>
        <w:t>Le 19 juin 2024, le nouveau régime du dossier pharmaceutique (DP) s’est généralisé. La plupart des officines sont désormais équipées d’un logiciel compatible. Tour d’horizon des changements pour le patient et l’exercice professionnel des pharmaciens concernés</w:t>
      </w:r>
    </w:p>
    <w:p w:rsidR="00A909A3" w:rsidRDefault="002B5D87" w:rsidP="00814D59">
      <w:pPr>
        <w:pStyle w:val="Textebrut"/>
      </w:pPr>
      <w:hyperlink r:id="rId133" w:history="1">
        <w:r w:rsidR="00814D59" w:rsidRPr="0075011E">
          <w:rPr>
            <w:rStyle w:val="Lienhypertexte"/>
          </w:rPr>
          <w:t>https://www.ordre.pharmacien.fr/les-communications/focus-sur/les-actualites/dossier-pharmaceutique-generalisation-du-nouveau-regime</w:t>
        </w:r>
      </w:hyperlink>
    </w:p>
    <w:p w:rsidR="00814D59" w:rsidRDefault="00814D59" w:rsidP="00814D59">
      <w:pPr>
        <w:pStyle w:val="Textebrut"/>
      </w:pPr>
    </w:p>
    <w:p w:rsidR="00814D59" w:rsidRDefault="00814D59" w:rsidP="00814D59">
      <w:pPr>
        <w:pStyle w:val="Textebrut"/>
      </w:pPr>
      <w:r w:rsidRPr="00A82D5A">
        <w:rPr>
          <w:b/>
        </w:rPr>
        <w:t>Risque de méningiomes : nouvelles conditions de prescription et de délivrance de COLPRONE et DEPO PROVERA</w:t>
      </w:r>
      <w:r>
        <w:t xml:space="preserve"> (CNOP, 20/06/2024).</w:t>
      </w:r>
    </w:p>
    <w:p w:rsidR="00814D59" w:rsidRDefault="00814D59" w:rsidP="00814D59">
      <w:pPr>
        <w:pStyle w:val="Textebrut"/>
      </w:pPr>
      <w:r>
        <w:t>L’ANSM informe les professionnels de santé de nouvelles conditions de prescription et de délivrance pour les médicaments COLPRONE (médrogestone) et DEPO PROVERA (acétate de médroxyprogestérone), qui seront mises en place à compter du 1er juillet 2024, en raison du risque de méningiomes</w:t>
      </w:r>
    </w:p>
    <w:p w:rsidR="00814D59" w:rsidRDefault="002B5D87" w:rsidP="00814D59">
      <w:pPr>
        <w:pStyle w:val="Textebrut"/>
      </w:pPr>
      <w:hyperlink r:id="rId134" w:history="1">
        <w:r w:rsidR="00814D59" w:rsidRPr="0075011E">
          <w:rPr>
            <w:rStyle w:val="Lienhypertexte"/>
          </w:rPr>
          <w:t>https://www.ordre.pharmacien.fr/les-communications/focus-sur/les-actualites/risque-de-meningiomes-nouvelles-conditions-de-prescription-et-de-delivrance-de-colprone-et-depo-provera</w:t>
        </w:r>
      </w:hyperlink>
    </w:p>
    <w:p w:rsidR="00814D59" w:rsidRDefault="00814D59" w:rsidP="00814D59">
      <w:pPr>
        <w:pStyle w:val="Textebrut"/>
      </w:pPr>
    </w:p>
    <w:p w:rsidR="00EF3CBC" w:rsidRDefault="00EF3CBC" w:rsidP="00EF3CBC">
      <w:pPr>
        <w:pStyle w:val="Textebrut"/>
      </w:pPr>
      <w:r w:rsidRPr="00A82D5A">
        <w:rPr>
          <w:b/>
        </w:rPr>
        <w:t>Jeux Olympiques et Paralympiques de Paris</w:t>
      </w:r>
      <w:r>
        <w:t xml:space="preserve"> : Santé publique France se mobilise et renforce sa </w:t>
      </w:r>
      <w:r w:rsidRPr="00A82D5A">
        <w:rPr>
          <w:b/>
        </w:rPr>
        <w:t>surveillance</w:t>
      </w:r>
      <w:r>
        <w:t xml:space="preserve"> (SpF, 21/06/2024).</w:t>
      </w:r>
    </w:p>
    <w:p w:rsidR="00EF3CBC" w:rsidRDefault="00EF3CBC" w:rsidP="00EF3CBC">
      <w:pPr>
        <w:pStyle w:val="Textebrut"/>
      </w:pPr>
      <w:r>
        <w:t>A l’occasion des Jeux Olympiques et Paralympiques 2024, Santé publique France sera pleinement mobilisée dans le cadre de ses missions de veille sanitaire, de surveillance et de protection de la santé de la population</w:t>
      </w:r>
    </w:p>
    <w:p w:rsidR="00814D59" w:rsidRDefault="002B5D87" w:rsidP="00EF3CBC">
      <w:pPr>
        <w:pStyle w:val="Textebrut"/>
      </w:pPr>
      <w:hyperlink r:id="rId135" w:history="1">
        <w:r w:rsidR="00EF3CBC" w:rsidRPr="0075011E">
          <w:rPr>
            <w:rStyle w:val="Lienhypertexte"/>
          </w:rPr>
          <w:t>https://www.santepubliquefrance.fr/les-actualites/2024/jeux-olympiques-et-paralympiques-de-paris-sante-publique-france-se-mobilise-et-renforce-sa-surveillance</w:t>
        </w:r>
      </w:hyperlink>
    </w:p>
    <w:p w:rsidR="00EF3CBC" w:rsidRDefault="00EF3CBC" w:rsidP="00EF3CBC">
      <w:pPr>
        <w:pStyle w:val="Textebrut"/>
      </w:pPr>
    </w:p>
    <w:p w:rsidR="00AD75C8" w:rsidRDefault="00AD75C8" w:rsidP="00AD75C8">
      <w:pPr>
        <w:pStyle w:val="Textebrut"/>
      </w:pPr>
      <w:r>
        <w:t xml:space="preserve">Communiqué commun des « Biologistes médicaux » et de diverses sociétés savantes de néphrologues/néphrologie - </w:t>
      </w:r>
      <w:r w:rsidRPr="00A82D5A">
        <w:rPr>
          <w:b/>
        </w:rPr>
        <w:t>Maladies Rénales Chroniques : “Il ne faut pas attendre la dialyse pour dépister”</w:t>
      </w:r>
      <w:r>
        <w:t xml:space="preserve"> (24/06/2024)</w:t>
      </w:r>
    </w:p>
    <w:p w:rsidR="00AD75C8" w:rsidRDefault="002B5D87" w:rsidP="00EF3CBC">
      <w:pPr>
        <w:pStyle w:val="Textebrut"/>
      </w:pPr>
      <w:hyperlink r:id="rId136" w:history="1">
        <w:r w:rsidR="00AD75C8" w:rsidRPr="00192D49">
          <w:rPr>
            <w:rStyle w:val="Lienhypertexte"/>
          </w:rPr>
          <w:t>https://657gg.r.a.d.sendibm1.com/mk/mr/sh/SMJz09SDriOHWPUdu9ZxkroEZuAV/iyNDQ_svWzlt</w:t>
        </w:r>
      </w:hyperlink>
    </w:p>
    <w:p w:rsidR="00AD75C8" w:rsidRDefault="00AD75C8" w:rsidP="00EF3CBC">
      <w:pPr>
        <w:pStyle w:val="Textebrut"/>
      </w:pPr>
    </w:p>
    <w:p w:rsidR="00FE755D" w:rsidRDefault="00FE755D" w:rsidP="00FE755D">
      <w:pPr>
        <w:pStyle w:val="Textebrut"/>
      </w:pPr>
      <w:r>
        <w:t xml:space="preserve">Le </w:t>
      </w:r>
      <w:r w:rsidRPr="00A82D5A">
        <w:rPr>
          <w:b/>
        </w:rPr>
        <w:t>SDBIO</w:t>
      </w:r>
      <w:r>
        <w:t xml:space="preserve"> signe une lettre commune avec 6 syndicats du privé et du public pour </w:t>
      </w:r>
      <w:r w:rsidRPr="00A82D5A">
        <w:rPr>
          <w:b/>
        </w:rPr>
        <w:t>réclamer un forfait numérique pour les biologistes</w:t>
      </w:r>
      <w:r>
        <w:t xml:space="preserve"> (SdBio, 20/06/2024). Merci à Odile pour la transmission.</w:t>
      </w:r>
    </w:p>
    <w:p w:rsidR="00EF3CBC" w:rsidRDefault="002B5D87" w:rsidP="00FE755D">
      <w:pPr>
        <w:pStyle w:val="Textebrut"/>
      </w:pPr>
      <w:hyperlink r:id="rId137" w:history="1">
        <w:r w:rsidR="00FE755D" w:rsidRPr="0075011E">
          <w:rPr>
            <w:rStyle w:val="Lienhypertexte"/>
          </w:rPr>
          <w:t>https://657gg.r.a.d.sendibm1.com/mk/mr/sh/SMJz09SDriOHWPUdu9ZxkroEZuAV/7arnIxi4IH6Y</w:t>
        </w:r>
      </w:hyperlink>
    </w:p>
    <w:p w:rsidR="00FE755D" w:rsidRDefault="00FE755D" w:rsidP="00FE755D">
      <w:pPr>
        <w:pStyle w:val="Textebrut"/>
      </w:pPr>
    </w:p>
    <w:p w:rsidR="00224C6E" w:rsidRDefault="00224C6E" w:rsidP="00224C6E">
      <w:pPr>
        <w:pStyle w:val="Textebrut"/>
      </w:pPr>
      <w:r w:rsidRPr="00A82D5A">
        <w:rPr>
          <w:b/>
        </w:rPr>
        <w:t>Epidémie de coqueluche : nous demandons l'autorisation pour les techniciens de laboratoire de réaliser le prélèvement</w:t>
      </w:r>
      <w:r>
        <w:t xml:space="preserve"> (Les </w:t>
      </w:r>
      <w:r w:rsidRPr="00A82D5A">
        <w:rPr>
          <w:b/>
        </w:rPr>
        <w:t>Biologistes médicaux</w:t>
      </w:r>
      <w:r>
        <w:t xml:space="preserve">, 24/06/2024). </w:t>
      </w:r>
    </w:p>
    <w:p w:rsidR="00224C6E" w:rsidRDefault="00224C6E" w:rsidP="00224C6E">
      <w:pPr>
        <w:pStyle w:val="Textebrut"/>
      </w:pPr>
      <w:r>
        <w:lastRenderedPageBreak/>
        <w:t>Face à la recrudescence des cas de coqueluche, et dans le but d’améliorer l’accès au diagnostic et à la prise en charge de cette maladie contagieuse, nous demandons l’autorisation pour les techniciens de laboratoire à réaliser le prélèvement nasopharyngé nécessaire au diagnostic, comme cela est déjà le cas pour la COVID-19</w:t>
      </w:r>
    </w:p>
    <w:p w:rsidR="00224C6E" w:rsidRDefault="002B5D87" w:rsidP="00224C6E">
      <w:pPr>
        <w:pStyle w:val="Textebrut"/>
      </w:pPr>
      <w:hyperlink r:id="rId138" w:history="1">
        <w:r w:rsidR="00224C6E" w:rsidRPr="00D90BA7">
          <w:rPr>
            <w:rStyle w:val="Lienhypertexte"/>
          </w:rPr>
          <w:t>https://657gg.r.a.d.sendibm1.com/mk/mr/sh/SMJz09SDriOHWPUdu9ZxkroEZuAV/6CHFbPTQGUHG</w:t>
        </w:r>
      </w:hyperlink>
    </w:p>
    <w:p w:rsidR="00224C6E" w:rsidRDefault="00224C6E" w:rsidP="00224C6E">
      <w:pPr>
        <w:pStyle w:val="Textebrut"/>
      </w:pPr>
    </w:p>
    <w:p w:rsidR="00696037" w:rsidRPr="00A82D5A" w:rsidRDefault="00696037" w:rsidP="00224C6E">
      <w:pPr>
        <w:pStyle w:val="Textebrut"/>
        <w:rPr>
          <w:b/>
        </w:rPr>
      </w:pPr>
      <w:r w:rsidRPr="00A82D5A">
        <w:rPr>
          <w:b/>
        </w:rPr>
        <w:t>Message de la DGS du 24/06/2024 relatif à l'intervention d'IDE dans la phase pré-analytique d'examens de biologie médicale – centrifugation</w:t>
      </w:r>
    </w:p>
    <w:p w:rsidR="00696037" w:rsidRDefault="002B5D87" w:rsidP="00224C6E">
      <w:pPr>
        <w:pStyle w:val="Textebrut"/>
      </w:pPr>
      <w:hyperlink r:id="rId139" w:history="1">
        <w:r w:rsidR="00696037" w:rsidRPr="00D90BA7">
          <w:rPr>
            <w:rStyle w:val="Lienhypertexte"/>
          </w:rPr>
          <w:t>https://peps.sante.gouv.fr/actu/2024/24_dgs_ide-preana-centrifugation_24062024.pdf</w:t>
        </w:r>
      </w:hyperlink>
    </w:p>
    <w:p w:rsidR="00696037" w:rsidRDefault="00696037" w:rsidP="00224C6E">
      <w:pPr>
        <w:pStyle w:val="Textebrut"/>
      </w:pPr>
      <w:r>
        <w:t>Accompagné d</w:t>
      </w:r>
      <w:r w:rsidRPr="00696037">
        <w:t>u courrier du 27/10/2023 de la DGOS au directeur général du COFRAC sur le même sujet</w:t>
      </w:r>
      <w:r>
        <w:t> :</w:t>
      </w:r>
    </w:p>
    <w:p w:rsidR="00696037" w:rsidRDefault="002B5D87" w:rsidP="00224C6E">
      <w:pPr>
        <w:pStyle w:val="Textebrut"/>
      </w:pPr>
      <w:hyperlink r:id="rId140" w:history="1">
        <w:r w:rsidR="00696037" w:rsidRPr="00D90BA7">
          <w:rPr>
            <w:rStyle w:val="Lienhypertexte"/>
          </w:rPr>
          <w:t>https://peps.sante.gouv.fr/actu/2024/24_dgos_ltr-cofrac-ide-preana-centrifugation_27102023.pdf</w:t>
        </w:r>
      </w:hyperlink>
    </w:p>
    <w:p w:rsidR="00696037" w:rsidRDefault="00696037" w:rsidP="00224C6E">
      <w:pPr>
        <w:pStyle w:val="Textebrut"/>
      </w:pPr>
      <w:r>
        <w:t xml:space="preserve">Et </w:t>
      </w:r>
      <w:r w:rsidRPr="00696037">
        <w:t>note d'information de juin 2024 diffusée en conséquence par le COFRAC aux LBM</w:t>
      </w:r>
    </w:p>
    <w:p w:rsidR="00696037" w:rsidRDefault="002B5D87" w:rsidP="00224C6E">
      <w:pPr>
        <w:pStyle w:val="Textebrut"/>
      </w:pPr>
      <w:hyperlink r:id="rId141" w:history="1">
        <w:r w:rsidR="00696037" w:rsidRPr="00D90BA7">
          <w:rPr>
            <w:rStyle w:val="Lienhypertexte"/>
          </w:rPr>
          <w:t>https://peps.sante.gouv.fr/actu/2024/24_cofrac_note-lbm-ide-preana_juin2024.pdf</w:t>
        </w:r>
      </w:hyperlink>
    </w:p>
    <w:p w:rsidR="00696037" w:rsidRDefault="00696037" w:rsidP="00224C6E">
      <w:pPr>
        <w:pStyle w:val="Textebrut"/>
      </w:pPr>
    </w:p>
    <w:p w:rsidR="00B20B31" w:rsidRDefault="00B20B31" w:rsidP="00B20B31">
      <w:pPr>
        <w:pStyle w:val="Textebrut"/>
      </w:pPr>
      <w:r w:rsidRPr="00A82D5A">
        <w:rPr>
          <w:b/>
        </w:rPr>
        <w:t>Simplification de la prise en charge des angines et cystites par les pharmaciens</w:t>
      </w:r>
      <w:r>
        <w:t xml:space="preserve"> (ameli.fr, 21/06/2024).</w:t>
      </w:r>
    </w:p>
    <w:p w:rsidR="00FE755D" w:rsidRDefault="002B5D87" w:rsidP="00B20B31">
      <w:pPr>
        <w:pStyle w:val="Textebrut"/>
      </w:pPr>
      <w:hyperlink r:id="rId142" w:history="1">
        <w:r w:rsidR="00B20B31" w:rsidRPr="0075011E">
          <w:rPr>
            <w:rStyle w:val="Lienhypertexte"/>
          </w:rPr>
          <w:t>https://www.ameli.fr/pharmacien/actualites/simplification-de-la-prise-en-charge-des-angines-et-cystites-par-les-pharmaciens</w:t>
        </w:r>
      </w:hyperlink>
    </w:p>
    <w:p w:rsidR="00B20B31" w:rsidRDefault="00B20B31" w:rsidP="00B20B31">
      <w:pPr>
        <w:pStyle w:val="Textebrut"/>
      </w:pPr>
    </w:p>
    <w:p w:rsidR="00696037" w:rsidRDefault="00696037" w:rsidP="00696037">
      <w:pPr>
        <w:pStyle w:val="Textebrut"/>
      </w:pPr>
      <w:r w:rsidRPr="00A82D5A">
        <w:rPr>
          <w:b/>
        </w:rPr>
        <w:t>Angine et cystite : dispensation protocolisée d’un antibiotique sans ordonnance à l’officine</w:t>
      </w:r>
      <w:r>
        <w:t xml:space="preserve"> (</w:t>
      </w:r>
      <w:r w:rsidRPr="00A82D5A">
        <w:rPr>
          <w:b/>
        </w:rPr>
        <w:t>Prescrire</w:t>
      </w:r>
      <w:r>
        <w:t>, 21/06/2024).</w:t>
      </w:r>
    </w:p>
    <w:p w:rsidR="00696037" w:rsidRDefault="00696037" w:rsidP="00696037">
      <w:pPr>
        <w:pStyle w:val="Textebrut"/>
      </w:pPr>
      <w:r>
        <w:t>En France, les pharmaciens d’officine étaient déjà autorisés à réaliser un test en cas de symptômes évocateurs d’angine sans signe de gravité chez les personnes âgées de 10 ans ou plus, ou en cas de cystite aiguë simple probable chez les femmes adultes. Depuis le 19 juin 2024, en cas de résultat positif du test, ils sont autorisés à dispenser un antibiotique sans ordonnance, selon un protocole réglementé. L’antibiotique et la prestation du pharmacien sont pris en charge par la Sécurité sociale</w:t>
      </w:r>
    </w:p>
    <w:p w:rsidR="00B20B31" w:rsidRDefault="002B5D87" w:rsidP="00B20B31">
      <w:pPr>
        <w:pStyle w:val="Textebrut"/>
      </w:pPr>
      <w:hyperlink r:id="rId143" w:history="1">
        <w:r w:rsidR="00696037" w:rsidRPr="00D90BA7">
          <w:rPr>
            <w:rStyle w:val="Lienhypertexte"/>
          </w:rPr>
          <w:t>https://peps.sante.gouv.fr/actu/2024/24_prescrire_angine-cystites-officine_21062024.pdf</w:t>
        </w:r>
      </w:hyperlink>
    </w:p>
    <w:p w:rsidR="00696037" w:rsidRDefault="00696037" w:rsidP="00B20B31">
      <w:pPr>
        <w:pStyle w:val="Textebrut"/>
      </w:pPr>
    </w:p>
    <w:p w:rsidR="00696037" w:rsidRDefault="00696037" w:rsidP="00696037">
      <w:pPr>
        <w:pStyle w:val="Textebrut"/>
      </w:pPr>
      <w:r w:rsidRPr="00A82D5A">
        <w:rPr>
          <w:b/>
        </w:rPr>
        <w:t>Dépistage systématique des cancers – Pas d’allongement démontré de la durée de vie</w:t>
      </w:r>
      <w:r>
        <w:t xml:space="preserve"> (</w:t>
      </w:r>
      <w:r w:rsidRPr="00A82D5A">
        <w:rPr>
          <w:b/>
        </w:rPr>
        <w:t>Prescrire</w:t>
      </w:r>
      <w:r>
        <w:t>, 20/06/2024).</w:t>
      </w:r>
    </w:p>
    <w:p w:rsidR="00696037" w:rsidRDefault="00696037" w:rsidP="00696037">
      <w:pPr>
        <w:pStyle w:val="Textebrut"/>
      </w:pPr>
      <w:r>
        <w:t>Selon une synthèse méthodique avec méta-analyse d’essais randomisés, il n’est pas démontré que les dépistages systématiques des cancers du sein, des cancers colorectaux, des cancers de la prostate ou des cancers bronchiques allongent la durée de vie moyenne des personnes invitées à y participer</w:t>
      </w:r>
    </w:p>
    <w:p w:rsidR="00696037" w:rsidRDefault="002B5D87" w:rsidP="00696037">
      <w:pPr>
        <w:pStyle w:val="Textebrut"/>
      </w:pPr>
      <w:hyperlink r:id="rId144" w:history="1">
        <w:r w:rsidR="001B000B" w:rsidRPr="00D90BA7">
          <w:rPr>
            <w:rStyle w:val="Lienhypertexte"/>
          </w:rPr>
          <w:t>https://peps.sante.gouv.fr/actu/2024/24_prescrire_effet-duree-vie-depistage-systematique-cancer_20062024.pdf</w:t>
        </w:r>
      </w:hyperlink>
    </w:p>
    <w:p w:rsidR="001B000B" w:rsidRDefault="001B000B" w:rsidP="00696037">
      <w:pPr>
        <w:pStyle w:val="Textebrut"/>
      </w:pPr>
    </w:p>
    <w:p w:rsidR="004A3B2B" w:rsidRDefault="004A3B2B" w:rsidP="004A3B2B">
      <w:pPr>
        <w:pStyle w:val="Textebrut"/>
      </w:pPr>
      <w:r>
        <w:t xml:space="preserve">La </w:t>
      </w:r>
      <w:r w:rsidRPr="00A82D5A">
        <w:rPr>
          <w:b/>
        </w:rPr>
        <w:t>HAS</w:t>
      </w:r>
      <w:r>
        <w:t xml:space="preserve"> précise le cadre du « pari » de </w:t>
      </w:r>
      <w:r w:rsidRPr="00A82D5A">
        <w:rPr>
          <w:b/>
        </w:rPr>
        <w:t>l’accès précoce aux médicaments</w:t>
      </w:r>
      <w:r>
        <w:t xml:space="preserve"> (HAS, 24/06/2024).</w:t>
      </w:r>
    </w:p>
    <w:p w:rsidR="004A3B2B" w:rsidRDefault="004A3B2B" w:rsidP="004A3B2B">
      <w:pPr>
        <w:pStyle w:val="Textebrut"/>
      </w:pPr>
      <w:r>
        <w:t>Engagée dans une démarche d’évolution continue de ses méthodes, la Haute Autorité de santé lance une réflexion sur sa doctrine d’évaluation des demandes d’autorisations d’accès précoce à des médicaments présumés innovants. Il s’agit de mieux apprécier l’incertitude entourant la demande et ce qui permettra ultérieurement de la lever afin de faire le meilleur « pari » possible sur le caractère innovant du produit, au bénéfice des patients. La HAS publie à ce sujet une note de cadrage détaillant le mode d’élaboration de ces travaux attendus pour le début d’année 2025</w:t>
      </w:r>
    </w:p>
    <w:p w:rsidR="00696037" w:rsidRDefault="002B5D87" w:rsidP="004A3B2B">
      <w:pPr>
        <w:pStyle w:val="Textebrut"/>
      </w:pPr>
      <w:hyperlink r:id="rId145" w:history="1">
        <w:r w:rsidR="004A3B2B" w:rsidRPr="00D90BA7">
          <w:rPr>
            <w:rStyle w:val="Lienhypertexte"/>
          </w:rPr>
          <w:t>https://www.has-sante.fr/jcms/p_3525823/fr/la-has-precise-le-cadre-du-pari-de-l-acces-precoce-aux-medicaments</w:t>
        </w:r>
      </w:hyperlink>
    </w:p>
    <w:p w:rsidR="004A3B2B" w:rsidRDefault="004A3B2B" w:rsidP="004A3B2B">
      <w:pPr>
        <w:pStyle w:val="Textebrut"/>
      </w:pPr>
    </w:p>
    <w:p w:rsidR="00A82D5A" w:rsidRDefault="00A82D5A" w:rsidP="004A3B2B">
      <w:pPr>
        <w:pStyle w:val="Textebrut"/>
      </w:pPr>
    </w:p>
    <w:p w:rsidR="00A82D5A" w:rsidRDefault="00A82D5A" w:rsidP="004A3B2B">
      <w:pPr>
        <w:pStyle w:val="Textebrut"/>
      </w:pPr>
    </w:p>
    <w:p w:rsidR="008B022F" w:rsidRDefault="008B022F" w:rsidP="008B022F">
      <w:pPr>
        <w:pStyle w:val="Textebrut"/>
      </w:pPr>
      <w:r>
        <w:t xml:space="preserve">Avis du </w:t>
      </w:r>
      <w:r w:rsidRPr="00A82D5A">
        <w:rPr>
          <w:b/>
        </w:rPr>
        <w:t>COVARS</w:t>
      </w:r>
      <w:r>
        <w:t xml:space="preserve"> du 24 mai 2024 - </w:t>
      </w:r>
      <w:r w:rsidRPr="00A82D5A">
        <w:rPr>
          <w:b/>
        </w:rPr>
        <w:t>Point sur la situation liée au virus influenza H5N1</w:t>
      </w:r>
      <w:r>
        <w:t>.</w:t>
      </w:r>
    </w:p>
    <w:p w:rsidR="008B022F" w:rsidRDefault="008B022F" w:rsidP="008B022F">
      <w:pPr>
        <w:pStyle w:val="Textebrut"/>
      </w:pPr>
      <w:r>
        <w:t xml:space="preserve">Le COVARS souhaite compléter son Avis du 8 juin 2023 portant sur le risque sanitaire lié à l’influenza aviaire hautement pathogène (IAHP)4 et éclairer sur la situation particulière liée à cette introduction du virus influenza H5N1 chez un hôte mammifère domestique jusqu'alors épargné, en rappelant de nombreux points restant d’actualité. En complément de documents déjà produits, notamment la synthèse commune SpF-ANSES/CNR-LNR, le COVARS souhaite également présenter quelques recommandations complémentaires. A noter que cet avis fait </w:t>
      </w:r>
      <w:r>
        <w:lastRenderedPageBreak/>
        <w:t>état de la situation actuelle à date de sa parution, et qu’il est susceptible d’être modifié en fonction de l’évolution de la situation épidémiologique</w:t>
      </w:r>
    </w:p>
    <w:p w:rsidR="004A3B2B" w:rsidRDefault="002B5D87" w:rsidP="008B022F">
      <w:pPr>
        <w:pStyle w:val="Textebrut"/>
      </w:pPr>
      <w:hyperlink r:id="rId146" w:history="1">
        <w:r w:rsidR="008B022F" w:rsidRPr="00D90BA7">
          <w:rPr>
            <w:rStyle w:val="Lienhypertexte"/>
          </w:rPr>
          <w:t>https://www.enseignementsup-recherche.gouv.fr/fr/avis-du-covars-du-24-mai-2024-point-sur-la-situation-liee-au-virus-influenza-h5n1-96345</w:t>
        </w:r>
      </w:hyperlink>
    </w:p>
    <w:p w:rsidR="008B022F" w:rsidRDefault="008B022F" w:rsidP="008B022F">
      <w:pPr>
        <w:pStyle w:val="Textebrut"/>
      </w:pPr>
    </w:p>
    <w:p w:rsidR="008B022F" w:rsidRDefault="008B022F" w:rsidP="008B022F">
      <w:pPr>
        <w:pStyle w:val="Textebrut"/>
      </w:pPr>
      <w:r>
        <w:t>Avis complémentaire du 18/06/2024 du Comité de Veille et d’Anticipation des Risques Sanitaires (</w:t>
      </w:r>
      <w:r w:rsidRPr="00A82D5A">
        <w:rPr>
          <w:b/>
        </w:rPr>
        <w:t>COVARS</w:t>
      </w:r>
      <w:r>
        <w:t xml:space="preserve">) relatif à la </w:t>
      </w:r>
      <w:r w:rsidRPr="00A82D5A">
        <w:rPr>
          <w:b/>
        </w:rPr>
        <w:t>surveillance des virus West-Nile et Usutu</w:t>
      </w:r>
      <w:r>
        <w:t xml:space="preserve"> en France et prise en charge des infections par ces virus</w:t>
      </w:r>
    </w:p>
    <w:p w:rsidR="008B022F" w:rsidRDefault="002B5D87" w:rsidP="008B022F">
      <w:pPr>
        <w:pStyle w:val="Textebrut"/>
      </w:pPr>
      <w:hyperlink r:id="rId147" w:history="1">
        <w:r w:rsidR="008B022F" w:rsidRPr="00D90BA7">
          <w:rPr>
            <w:rStyle w:val="Lienhypertexte"/>
          </w:rPr>
          <w:t>https://sante.gouv.fr/IMG/pdf/covars-aviscomplem._wnv_-_usutu_2024.pdf</w:t>
        </w:r>
      </w:hyperlink>
    </w:p>
    <w:p w:rsidR="008B022F" w:rsidRDefault="008B022F" w:rsidP="008B022F">
      <w:pPr>
        <w:pStyle w:val="Textebrut"/>
      </w:pPr>
    </w:p>
    <w:p w:rsidR="00625C4C" w:rsidRDefault="00625C4C" w:rsidP="00625C4C">
      <w:pPr>
        <w:pStyle w:val="Textebrut"/>
      </w:pPr>
      <w:r>
        <w:t xml:space="preserve">Enjeux et défis de la </w:t>
      </w:r>
      <w:r w:rsidRPr="00A82D5A">
        <w:rPr>
          <w:b/>
        </w:rPr>
        <w:t>démographie pharmaceutique - Panorama 2023</w:t>
      </w:r>
      <w:r>
        <w:t xml:space="preserve"> (CNOP, 25/06/2024)</w:t>
      </w:r>
      <w:r w:rsidR="00321788">
        <w:t xml:space="preserve">. </w:t>
      </w:r>
      <w:r w:rsidR="00321788" w:rsidRPr="00321788">
        <w:t>NdlR : cf. en particulier le chapitre 3 sur le maillage officinal et son évolution (p. 45 &amp; s. de la brochure nationale)</w:t>
      </w:r>
      <w:r w:rsidR="00321788">
        <w:t>.</w:t>
      </w:r>
    </w:p>
    <w:p w:rsidR="00625C4C" w:rsidRDefault="002B5D87" w:rsidP="001F2C29">
      <w:pPr>
        <w:pStyle w:val="Textebrut"/>
      </w:pPr>
      <w:hyperlink r:id="rId148" w:history="1">
        <w:r w:rsidR="00625C4C" w:rsidRPr="00D90BA7">
          <w:rPr>
            <w:rStyle w:val="Lienhypertexte"/>
          </w:rPr>
          <w:t>https://r.lactu.ordre.pharmacien.fr/mk/mr/sh/1t6AVsd2XFnIGKAdDopc3lJpAaJhBp/V-vD_gpHMGr5</w:t>
        </w:r>
      </w:hyperlink>
    </w:p>
    <w:p w:rsidR="001F2C29" w:rsidRDefault="001F2C29" w:rsidP="001F2C29">
      <w:pPr>
        <w:pStyle w:val="Textebrut"/>
      </w:pPr>
      <w:r>
        <w:t>Assurer une présence pharmaceutique en tous points du territoire : un enjeu de santé publique (CNOP, 25/06/2024</w:t>
      </w:r>
      <w:r w:rsidR="00625C4C">
        <w:t>, Panorama 2023</w:t>
      </w:r>
      <w:r>
        <w:t>).</w:t>
      </w:r>
    </w:p>
    <w:p w:rsidR="001F2C29" w:rsidRDefault="001F2C29" w:rsidP="001F2C29">
      <w:pPr>
        <w:pStyle w:val="Textebrut"/>
      </w:pPr>
      <w:r>
        <w:t>Depuis près de vingt ans, l’Ordre national des pharmaciens publie le panorama démographique des pharmaciens en exercice. Ce document permet à l'institution de disposer de données pertinentes pour faire valoir, dans ses échanges avec les pouvoirs publics, les dynamiques et les enjeux qui façonnent les différents métiers de la pharmacie</w:t>
      </w:r>
    </w:p>
    <w:p w:rsidR="008B022F" w:rsidRDefault="002B5D87" w:rsidP="001F2C29">
      <w:pPr>
        <w:pStyle w:val="Textebrut"/>
      </w:pPr>
      <w:hyperlink r:id="rId149" w:history="1">
        <w:r w:rsidR="001F2C29" w:rsidRPr="00D90BA7">
          <w:rPr>
            <w:rStyle w:val="Lienhypertexte"/>
          </w:rPr>
          <w:t>https://www.ordre.pharmacien.fr/les-communications/focus-sur/les-communiques-de-presse/assurer-une-presence-pharmaceutique-en-tous-points-du-territoire-un-enjeu-de-sante-publique</w:t>
        </w:r>
      </w:hyperlink>
    </w:p>
    <w:p w:rsidR="001F2C29" w:rsidRDefault="001F2C29" w:rsidP="001F2C29">
      <w:pPr>
        <w:pStyle w:val="Textebrut"/>
      </w:pPr>
    </w:p>
    <w:p w:rsidR="002F241F" w:rsidRDefault="002F241F" w:rsidP="002F241F">
      <w:pPr>
        <w:pStyle w:val="Textebrut"/>
      </w:pPr>
      <w:r w:rsidRPr="00A82D5A">
        <w:rPr>
          <w:b/>
        </w:rPr>
        <w:t>Dépistage organisé du cancer du col de l’utérus</w:t>
      </w:r>
      <w:r>
        <w:t xml:space="preserve"> : nouvelles règles de </w:t>
      </w:r>
      <w:r w:rsidRPr="00A82D5A">
        <w:rPr>
          <w:b/>
        </w:rPr>
        <w:t>facturation</w:t>
      </w:r>
      <w:r>
        <w:t xml:space="preserve"> (ameli.fr, 25/06/2024).</w:t>
      </w:r>
    </w:p>
    <w:p w:rsidR="002F241F" w:rsidRDefault="002F241F" w:rsidP="002F241F">
      <w:pPr>
        <w:pStyle w:val="Textebrut"/>
      </w:pPr>
      <w:r>
        <w:t>Pour encourager et faciliter la participation des assurées au dépistage organisé du cancer du col de l’utérus (DO CCU), les biologistes en laboratoire médical sont autorisés depuis janvier 2024 à réaliser, sur simple présentation du courrier d’invitation envoyé par mail ou courrier postal par l’Assurance Maladie, le prélèvement cervico-utérin (code NABM 9053) et l’acte d’analyse de dépistage consécutif au prélèvement</w:t>
      </w:r>
    </w:p>
    <w:p w:rsidR="001F2C29" w:rsidRDefault="002B5D87" w:rsidP="002F241F">
      <w:pPr>
        <w:pStyle w:val="Textebrut"/>
      </w:pPr>
      <w:hyperlink r:id="rId150" w:history="1">
        <w:r w:rsidR="002F241F" w:rsidRPr="00CF2CE3">
          <w:rPr>
            <w:rStyle w:val="Lienhypertexte"/>
          </w:rPr>
          <w:t>https://www.ameli.fr/laboratoire-d-analyses-medicales/actualites/depistage-organise-du-cancer-du-col-de-l-uterus-nouvelles-regles-de-facturation</w:t>
        </w:r>
      </w:hyperlink>
    </w:p>
    <w:p w:rsidR="002F241F" w:rsidRDefault="002F241F" w:rsidP="002F241F">
      <w:pPr>
        <w:pStyle w:val="Textebrut"/>
      </w:pPr>
    </w:p>
    <w:p w:rsidR="00F84F7B" w:rsidRDefault="00F84F7B" w:rsidP="00F84F7B">
      <w:pPr>
        <w:pStyle w:val="Textebrut"/>
      </w:pPr>
      <w:r w:rsidRPr="00A82D5A">
        <w:rPr>
          <w:b/>
        </w:rPr>
        <w:t>Rappel de cannes anglaises Thuasne Globe-Trotter et Globe-Trotter</w:t>
      </w:r>
      <w:r>
        <w:t xml:space="preserve"> + pour des patients pesant plus de 130 kg (ANSM, 25/06/2024).</w:t>
      </w:r>
    </w:p>
    <w:p w:rsidR="00F84F7B" w:rsidRDefault="00F84F7B" w:rsidP="00F84F7B">
      <w:pPr>
        <w:pStyle w:val="Textebrut"/>
      </w:pPr>
      <w:r>
        <w:t>Nous avons été informés par le fabricant Thuasne d’un rappel, par mesure de précaution, de cannes anglaises (béquilles médicales) “Globe-Trotter” et “Globe-Trotter +” fabriquées entre février 2021 et mars 2024. Ce rappel ne concerne que les patients dont le poids est supérieur à 130 kg.  Les patients sont invités à rapporter leurs cannes anglaises à la pharmacie ou au magasin de matériel médical où ils les ont achetées, afin qu’une alternative leur soit proposée.</w:t>
      </w:r>
    </w:p>
    <w:p w:rsidR="00F84F7B" w:rsidRDefault="00F84F7B" w:rsidP="00F84F7B">
      <w:pPr>
        <w:pStyle w:val="Textebrut"/>
      </w:pPr>
      <w:r>
        <w:t>À la suite de tests réalisés en laboratoire, le fabricant s’est aperçu d’un risque de déformation, voire de rupture, des cannes anglaises Globe-Trotter et Globe-Trotter + fabriquées entre février 2021 et mars 2024 lorsque des patients pesant plus de 130 kg les utilisent. Ce rappel est effectué par mesure de précaution et, à ce jour, aucun incident en lien avec ce risque n’a été signalé</w:t>
      </w:r>
    </w:p>
    <w:p w:rsidR="002F241F" w:rsidRDefault="002B5D87" w:rsidP="00F84F7B">
      <w:pPr>
        <w:pStyle w:val="Textebrut"/>
      </w:pPr>
      <w:hyperlink r:id="rId151" w:history="1">
        <w:r w:rsidR="00F84F7B" w:rsidRPr="00CF2CE3">
          <w:rPr>
            <w:rStyle w:val="Lienhypertexte"/>
          </w:rPr>
          <w:t>https://ansm.sante.fr/actualites/rappel-de-cannes-anglaises-thuasne-globe-trotter-et-globe-trotter-pour-des-patients-pesant-plus-de-130-kg</w:t>
        </w:r>
      </w:hyperlink>
    </w:p>
    <w:p w:rsidR="00F84F7B" w:rsidRDefault="00F84F7B" w:rsidP="00F84F7B">
      <w:pPr>
        <w:pStyle w:val="Textebrut"/>
      </w:pPr>
    </w:p>
    <w:p w:rsidR="0008620E" w:rsidRDefault="0008620E" w:rsidP="0008620E">
      <w:pPr>
        <w:pStyle w:val="Textebrut"/>
      </w:pPr>
      <w:r w:rsidRPr="00A82D5A">
        <w:rPr>
          <w:b/>
        </w:rPr>
        <w:t>Choix et durées d’antibiothérapies : Coqueluche chez le nourrisson, l’enfant et l’adulte</w:t>
      </w:r>
      <w:r>
        <w:t xml:space="preserve"> (HAS, 25/06/2024, recommandation de bonne pratique).</w:t>
      </w:r>
    </w:p>
    <w:p w:rsidR="0008620E" w:rsidRDefault="002B5D87" w:rsidP="0008620E">
      <w:pPr>
        <w:pStyle w:val="Textebrut"/>
      </w:pPr>
      <w:hyperlink r:id="rId152" w:history="1">
        <w:r w:rsidR="0008620E" w:rsidRPr="00CF2CE3">
          <w:rPr>
            <w:rStyle w:val="Lienhypertexte"/>
          </w:rPr>
          <w:t>https://www.has-sante.fr/jcms/p_3525542/fr/choix-et-durees-d-antibiotherapies-coqueluche-chez-le-nourrisson-l-enfant-et-l-adulte</w:t>
        </w:r>
      </w:hyperlink>
    </w:p>
    <w:p w:rsidR="0008620E" w:rsidRDefault="0008620E" w:rsidP="0008620E">
      <w:pPr>
        <w:pStyle w:val="Textebrut"/>
      </w:pPr>
      <w:r>
        <w:t>La fiche mémo :</w:t>
      </w:r>
    </w:p>
    <w:p w:rsidR="00F84F7B" w:rsidRDefault="002B5D87" w:rsidP="0008620E">
      <w:pPr>
        <w:pStyle w:val="Textebrut"/>
      </w:pPr>
      <w:hyperlink r:id="rId153" w:history="1">
        <w:r w:rsidR="0008620E" w:rsidRPr="00CF2CE3">
          <w:rPr>
            <w:rStyle w:val="Lienhypertexte"/>
          </w:rPr>
          <w:t>https://www.has-sante.fr/jcms/p_3525561/fr/choix-et-durees-d-antibiotherapies-coqueluche-chez-le-nourrisson-l-enfant-et-l-adulte-fiche-memo</w:t>
        </w:r>
      </w:hyperlink>
    </w:p>
    <w:p w:rsidR="0008620E" w:rsidRDefault="0008620E" w:rsidP="0008620E">
      <w:pPr>
        <w:pStyle w:val="Textebrut"/>
      </w:pPr>
    </w:p>
    <w:p w:rsidR="000651AA" w:rsidRPr="00A82D5A" w:rsidRDefault="000651AA" w:rsidP="000651AA">
      <w:pPr>
        <w:pStyle w:val="Textebrut"/>
        <w:rPr>
          <w:b/>
        </w:rPr>
      </w:pPr>
      <w:r w:rsidRPr="00A82D5A">
        <w:rPr>
          <w:b/>
        </w:rPr>
        <w:lastRenderedPageBreak/>
        <w:t>Avis du HCSP</w:t>
      </w:r>
      <w:r>
        <w:t xml:space="preserve"> du 26/06/2024 relatif à la </w:t>
      </w:r>
      <w:r w:rsidRPr="00A82D5A">
        <w:rPr>
          <w:b/>
        </w:rPr>
        <w:t>vaccination préventive contre le choléra dans des quartiers prioritaires à Mayotte</w:t>
      </w:r>
    </w:p>
    <w:p w:rsidR="00F84D3B" w:rsidRDefault="002B5D87" w:rsidP="000651AA">
      <w:pPr>
        <w:pStyle w:val="Textebrut"/>
      </w:pPr>
      <w:hyperlink r:id="rId154" w:history="1">
        <w:r w:rsidR="000651AA" w:rsidRPr="00CF2CE3">
          <w:rPr>
            <w:rStyle w:val="Lienhypertexte"/>
          </w:rPr>
          <w:t>https://www.hcsp.fr/Explore.cgi/avisrapportsdomaine?clefr=1381</w:t>
        </w:r>
      </w:hyperlink>
    </w:p>
    <w:p w:rsidR="000651AA" w:rsidRDefault="000651AA" w:rsidP="000651AA">
      <w:pPr>
        <w:pStyle w:val="Textebrut"/>
      </w:pPr>
    </w:p>
    <w:p w:rsidR="00B60398" w:rsidRDefault="00B60398" w:rsidP="00B60398">
      <w:pPr>
        <w:pStyle w:val="Textebrut"/>
      </w:pPr>
      <w:r w:rsidRPr="00A82D5A">
        <w:rPr>
          <w:b/>
        </w:rPr>
        <w:t>DASTRI – Rapport d’activité 2023</w:t>
      </w:r>
      <w:r>
        <w:t xml:space="preserve"> (25/06/2024)</w:t>
      </w:r>
    </w:p>
    <w:p w:rsidR="000651AA" w:rsidRDefault="002B5D87" w:rsidP="00B60398">
      <w:pPr>
        <w:pStyle w:val="Textebrut"/>
      </w:pPr>
      <w:hyperlink r:id="rId155" w:history="1">
        <w:r w:rsidR="00B60398" w:rsidRPr="00CF2CE3">
          <w:rPr>
            <w:rStyle w:val="Lienhypertexte"/>
          </w:rPr>
          <w:t>https://www.dastri.fr/wp-content/uploads/2024/06/CP-DASTRI-RA-2023-chiffres-25.06.2024.pdf</w:t>
        </w:r>
      </w:hyperlink>
    </w:p>
    <w:p w:rsidR="00B60398" w:rsidRDefault="00B60398" w:rsidP="00B60398">
      <w:pPr>
        <w:pStyle w:val="Textebrut"/>
      </w:pPr>
    </w:p>
    <w:p w:rsidR="00B60398" w:rsidRDefault="00B60398" w:rsidP="00B60398">
      <w:pPr>
        <w:pStyle w:val="Textebrut"/>
      </w:pPr>
      <w:r>
        <w:t xml:space="preserve">Retour d’information sur le </w:t>
      </w:r>
      <w:r w:rsidRPr="00A82D5A">
        <w:rPr>
          <w:b/>
        </w:rPr>
        <w:t>PRAC de juin 2024</w:t>
      </w:r>
      <w:r>
        <w:t xml:space="preserve"> (10 – 13 juin) (ANSM, 26/06/2024).</w:t>
      </w:r>
    </w:p>
    <w:p w:rsidR="00B60398" w:rsidRDefault="00B60398" w:rsidP="00B60398">
      <w:pPr>
        <w:pStyle w:val="Textebrut"/>
      </w:pPr>
      <w:r>
        <w:t xml:space="preserve">Le comité de pharmacovigilance (PRAC) de l’Agence européenne des médicaments (EMA) a initié la réévaluation de la balance bénéfice/risque des médicaments contenant du </w:t>
      </w:r>
      <w:r w:rsidRPr="00A82D5A">
        <w:rPr>
          <w:b/>
        </w:rPr>
        <w:t>métamizole</w:t>
      </w:r>
      <w:r>
        <w:t xml:space="preserve"> (disponibles en France uniquement en accès compassionnel) vis-à-vis du </w:t>
      </w:r>
      <w:r w:rsidRPr="00A82D5A">
        <w:rPr>
          <w:b/>
        </w:rPr>
        <w:t>risque d’agranulocytose</w:t>
      </w:r>
      <w:r>
        <w:t>.</w:t>
      </w:r>
    </w:p>
    <w:p w:rsidR="00B60398" w:rsidRDefault="00B60398" w:rsidP="00B60398">
      <w:pPr>
        <w:pStyle w:val="Textebrut"/>
      </w:pPr>
      <w:r>
        <w:t xml:space="preserve">Le PRAC alerte les professionnels de santé sur le </w:t>
      </w:r>
      <w:r w:rsidRPr="00A82D5A">
        <w:rPr>
          <w:b/>
        </w:rPr>
        <w:t>risque de cancers secondaires liés aux cellules T avec les médicaments de thérapie génique appelés « CAR-T cells »</w:t>
      </w:r>
      <w:r>
        <w:t xml:space="preserve"> indiqués dans le traitement de certains cancers hématologiques</w:t>
      </w:r>
    </w:p>
    <w:p w:rsidR="00B60398" w:rsidRDefault="002B5D87" w:rsidP="00B60398">
      <w:pPr>
        <w:pStyle w:val="Textebrut"/>
      </w:pPr>
      <w:hyperlink r:id="rId156" w:history="1">
        <w:r w:rsidR="00B60398" w:rsidRPr="00CF2CE3">
          <w:rPr>
            <w:rStyle w:val="Lienhypertexte"/>
          </w:rPr>
          <w:t>https://ansm.sante.fr/actualites/retour-dinformation-sur-le-prac-de-juin-2024-10-13-juin</w:t>
        </w:r>
      </w:hyperlink>
    </w:p>
    <w:p w:rsidR="00B60398" w:rsidRDefault="00B60398" w:rsidP="00B60398">
      <w:pPr>
        <w:pStyle w:val="Textebrut"/>
      </w:pPr>
    </w:p>
    <w:p w:rsidR="008A4324" w:rsidRDefault="008A4324" w:rsidP="008A4324">
      <w:pPr>
        <w:pStyle w:val="Textebrut"/>
      </w:pPr>
      <w:r w:rsidRPr="00A82D5A">
        <w:rPr>
          <w:b/>
        </w:rPr>
        <w:t>Réseau officinal en déclin</w:t>
      </w:r>
      <w:r>
        <w:t xml:space="preserve"> : va-t-on vers la généralisation de déserts pharmaceutiques ? (</w:t>
      </w:r>
      <w:r w:rsidRPr="00A82D5A">
        <w:rPr>
          <w:b/>
        </w:rPr>
        <w:t>USPO</w:t>
      </w:r>
      <w:r>
        <w:t>, 27/06/2024).</w:t>
      </w:r>
    </w:p>
    <w:p w:rsidR="008A4324" w:rsidRDefault="008A4324" w:rsidP="008A4324">
      <w:pPr>
        <w:pStyle w:val="Textebrut"/>
      </w:pPr>
      <w:r>
        <w:t>Comme chaque année, le Conseil national de l’ordre des pharmaciens (CNOP) a établi son panorama de la démographie des pharmaciens pour 2023, et le constat dressé est sans appel : en dix ans, soit entre 2013 et 2023, le nombre d’officines a baissé de près de 10 %. Au total, ce sont exactement 2 028 pharmacies qui ont été rayées de la carte officinale !</w:t>
      </w:r>
    </w:p>
    <w:p w:rsidR="00B60398" w:rsidRDefault="002B5D87" w:rsidP="008A4324">
      <w:pPr>
        <w:pStyle w:val="Textebrut"/>
      </w:pPr>
      <w:hyperlink r:id="rId157" w:history="1">
        <w:r w:rsidR="008A4324" w:rsidRPr="00E5642A">
          <w:rPr>
            <w:rStyle w:val="Lienhypertexte"/>
          </w:rPr>
          <w:t>https://uspo.fr/reseau-officinal-en-declin-va-t-on-vers-la-generalisation-de-deserts-pharmaceutiques/</w:t>
        </w:r>
      </w:hyperlink>
    </w:p>
    <w:p w:rsidR="008A4324" w:rsidRDefault="008A4324" w:rsidP="008A4324">
      <w:pPr>
        <w:pStyle w:val="Textebrut"/>
      </w:pPr>
    </w:p>
    <w:p w:rsidR="00EE781B" w:rsidRDefault="00EE781B" w:rsidP="00EE781B">
      <w:pPr>
        <w:pStyle w:val="Textebrut"/>
      </w:pPr>
      <w:r w:rsidRPr="00A82D5A">
        <w:rPr>
          <w:b/>
        </w:rPr>
        <w:t>Implants mammaires et lymphomes anaplasiques à grandes cellules</w:t>
      </w:r>
      <w:r>
        <w:t xml:space="preserve"> (</w:t>
      </w:r>
      <w:r w:rsidRPr="00A82D5A">
        <w:rPr>
          <w:b/>
        </w:rPr>
        <w:t>Prescrire</w:t>
      </w:r>
      <w:r>
        <w:t>, 26/06/2024</w:t>
      </w:r>
      <w:r w:rsidR="002367F1">
        <w:t>)</w:t>
      </w:r>
      <w:r>
        <w:t>.</w:t>
      </w:r>
    </w:p>
    <w:p w:rsidR="00EE781B" w:rsidRDefault="00EE781B" w:rsidP="00EE781B">
      <w:pPr>
        <w:pStyle w:val="Textebrut"/>
      </w:pPr>
      <w:r>
        <w:t>En 2022, l’Agence française du médicaments (ANSM) a publié une analyse d’une quarantaine de de nouveaux cas de lymphomes anaplasiques à grandes cellules associés aux implants mammaires, notifiés depuis 2018. Ces lymphomes ont été observés surtout avec des implants texturés, plusieurs années après la première pose.</w:t>
      </w:r>
    </w:p>
    <w:p w:rsidR="008A4324" w:rsidRDefault="00EE781B" w:rsidP="00EE781B">
      <w:pPr>
        <w:pStyle w:val="Textebrut"/>
      </w:pPr>
      <w:r>
        <w:t>Mi-2023, l’Agence étatsunienne du médicament (FDA) recensait dans le monde 1 264 cas de lymphomes anaplasiques à grandes cellules associés aux implants mammaires, dont 63 ont conduit à la mort. Par ailleurs, en 2022 et 2023, la FDA a informé de la survenue de cas de carcinomes épidermoïdes et de lymphomes autres que ceux précédemment décrits chez des femmes porteuses d’implants mammaires</w:t>
      </w:r>
    </w:p>
    <w:p w:rsidR="0065111E" w:rsidRDefault="002367F1" w:rsidP="00DC40C7">
      <w:pPr>
        <w:pStyle w:val="Textebrut"/>
      </w:pPr>
      <w:hyperlink r:id="rId158" w:history="1">
        <w:r w:rsidRPr="009347AA">
          <w:rPr>
            <w:rStyle w:val="Lienhypertexte"/>
          </w:rPr>
          <w:t>https://peps.sante.gouv.fr/actu/2024/24_prescrire_implants-mammaires-lymphomes_26062024.pdf</w:t>
        </w:r>
      </w:hyperlink>
    </w:p>
    <w:p w:rsidR="002367F1" w:rsidRDefault="002367F1" w:rsidP="00DC40C7">
      <w:pPr>
        <w:pStyle w:val="Textebrut"/>
      </w:pPr>
    </w:p>
    <w:p w:rsidR="00E95B83" w:rsidRDefault="00E95B83" w:rsidP="00E95B83">
      <w:pPr>
        <w:pStyle w:val="Textebrut"/>
      </w:pPr>
      <w:r w:rsidRPr="00A82D5A">
        <w:rPr>
          <w:b/>
        </w:rPr>
        <w:t>Progestatifs et risque de méningiome : renforcement des conditions de prescription et de délivrance de Depo Provera 150 mg/3 mL et Colprone 5 mg</w:t>
      </w:r>
      <w:r>
        <w:t xml:space="preserve"> (</w:t>
      </w:r>
      <w:r w:rsidRPr="00A82D5A">
        <w:rPr>
          <w:b/>
        </w:rPr>
        <w:t>ANSM</w:t>
      </w:r>
      <w:r>
        <w:t>, 28/06/2024).</w:t>
      </w:r>
    </w:p>
    <w:p w:rsidR="00E95B83" w:rsidRDefault="00E95B83" w:rsidP="00E95B83">
      <w:pPr>
        <w:pStyle w:val="Textebrut"/>
      </w:pPr>
      <w:r>
        <w:t>A partir du 1er juillet 2024, les conditions de prescription et de délivrance (CPD) des médicaments à base d’acétate de médroxyprogestérone (Depo Provera 150 mg/3 mL) et de médrogestone (Colprone 5 mg) sont renforcées. Cette mesure fait suite aux recommandations pour réduire chez les patientes le risque de méningiome associé à l’utilisation de ces médicaments.</w:t>
      </w:r>
    </w:p>
    <w:p w:rsidR="00E95B83" w:rsidRDefault="00E95B83" w:rsidP="00E95B83">
      <w:pPr>
        <w:pStyle w:val="Textebrut"/>
      </w:pPr>
      <w:r>
        <w:t>Désormais, la dispensation de Depo Provera 150 mg/3 mL et Colprone 5 mg ne pourra se faire par le pharmacien que si l’ordonnance est accompagnée d’une attestation annuelle d’information co-signée par le prescripteur et la patiente pour les traitements de plus d’un an. Un document sur l’ensemble des informations à connaître sur ces médicaments et la mise en place d’un suivi médical doit également être remis aux patientes pour toute initiation ou renouvellement de traitement</w:t>
      </w:r>
    </w:p>
    <w:p w:rsidR="00E95B83" w:rsidRDefault="00E95B83" w:rsidP="00E95B83">
      <w:pPr>
        <w:pStyle w:val="Textebrut"/>
      </w:pPr>
      <w:hyperlink r:id="rId159" w:history="1">
        <w:r w:rsidRPr="009347AA">
          <w:rPr>
            <w:rStyle w:val="Lienhypertexte"/>
          </w:rPr>
          <w:t>https://ansm.sante.fr/actualites/progestatifs-et-risque-de-meningiome-renforcement-des-conditions-de-prescription-et-de-delivrance-de-depo-provera-150-mg-3-ml-et-colprone-5-mg</w:t>
        </w:r>
      </w:hyperlink>
    </w:p>
    <w:p w:rsidR="00E95B83" w:rsidRDefault="00E95B83" w:rsidP="00E95B83">
      <w:pPr>
        <w:pStyle w:val="Textebrut"/>
      </w:pPr>
    </w:p>
    <w:p w:rsidR="00E95B83" w:rsidRPr="00A82D5A" w:rsidRDefault="00E95B83" w:rsidP="00E95B83">
      <w:pPr>
        <w:pStyle w:val="Textebrut"/>
        <w:rPr>
          <w:b/>
        </w:rPr>
      </w:pPr>
      <w:r w:rsidRPr="00E95B83">
        <w:t xml:space="preserve">Message du </w:t>
      </w:r>
      <w:r w:rsidRPr="00A82D5A">
        <w:rPr>
          <w:b/>
        </w:rPr>
        <w:t>CORRUSS</w:t>
      </w:r>
      <w:r w:rsidRPr="00E95B83">
        <w:t xml:space="preserve"> du 28/06/2024 relatif à </w:t>
      </w:r>
      <w:r w:rsidRPr="00A82D5A">
        <w:rPr>
          <w:b/>
        </w:rPr>
        <w:t>l’intensification de la circulation de la coqueluche en France et en Europe</w:t>
      </w:r>
    </w:p>
    <w:bookmarkStart w:id="0" w:name="_GoBack"/>
    <w:bookmarkEnd w:id="0"/>
    <w:p w:rsidR="00E95B83" w:rsidRDefault="007F0B81" w:rsidP="00E95B83">
      <w:pPr>
        <w:pStyle w:val="Textebrut"/>
      </w:pPr>
      <w:r>
        <w:fldChar w:fldCharType="begin"/>
      </w:r>
      <w:r>
        <w:instrText xml:space="preserve"> HYPERLINK "</w:instrText>
      </w:r>
      <w:r w:rsidRPr="007F0B81">
        <w:instrText>https://peps.sante.gouv.fr/actu/2024/24_corruss_mesures-coqueluche_28062024.pdf</w:instrText>
      </w:r>
      <w:r>
        <w:instrText xml:space="preserve">" </w:instrText>
      </w:r>
      <w:r>
        <w:fldChar w:fldCharType="separate"/>
      </w:r>
      <w:r w:rsidRPr="009347AA">
        <w:rPr>
          <w:rStyle w:val="Lienhypertexte"/>
        </w:rPr>
        <w:t>https://peps.sante.gouv.fr/actu/2024/24_corruss_mesures-coqueluche_28062024.pdf</w:t>
      </w:r>
      <w:r>
        <w:fldChar w:fldCharType="end"/>
      </w:r>
    </w:p>
    <w:p w:rsidR="007F0B81" w:rsidRDefault="007F0B81" w:rsidP="00E95B83">
      <w:pPr>
        <w:pStyle w:val="Textebrut"/>
      </w:pPr>
    </w:p>
    <w:p w:rsidR="002F5590" w:rsidRDefault="002F5590" w:rsidP="002F5590">
      <w:pPr>
        <w:pStyle w:val="Textebrut"/>
      </w:pPr>
    </w:p>
    <w:p w:rsidR="00C73E01" w:rsidRDefault="00C73E01" w:rsidP="00C73E01">
      <w:pPr>
        <w:pStyle w:val="PEPS"/>
      </w:pPr>
      <w:r>
        <w:lastRenderedPageBreak/>
        <w:t>Rubrique ruptures :</w:t>
      </w:r>
    </w:p>
    <w:p w:rsidR="00C73E01" w:rsidRDefault="00C73E01" w:rsidP="00361AD6">
      <w:pPr>
        <w:pStyle w:val="Textebrut"/>
      </w:pPr>
    </w:p>
    <w:p w:rsidR="0011669C" w:rsidRDefault="0011669C" w:rsidP="0011669C">
      <w:pPr>
        <w:pStyle w:val="Textebrut"/>
      </w:pPr>
      <w:r w:rsidRPr="00A82D5A">
        <w:rPr>
          <w:b/>
        </w:rPr>
        <w:t>Fortes tensions d’approvisionnement en méthotrexate injectable (1g et 5g) : des alternatives pour pallier la rupture</w:t>
      </w:r>
      <w:r>
        <w:t xml:space="preserve"> (ANSM, 25/06/2024).</w:t>
      </w:r>
    </w:p>
    <w:p w:rsidR="0011669C" w:rsidRDefault="0011669C" w:rsidP="0011669C">
      <w:pPr>
        <w:pStyle w:val="Textebrut"/>
      </w:pPr>
      <w:r>
        <w:t>Alors que l’ensemble des médicaments à base de méthotrexate (MTX) injectable aux dosages les plus élevés (1g et 5g) sont en forte tension d’approvisionnement en France, des alternatives arrivent sur le territoire. Elles devraient permettre de pallier les difficultés de production des trois laboratoires concernés, Accord, Teva, Viatris, jusqu’au retour des stocks attendu mi-juillet 2024, et d’assurer la continuité de traitement des patients</w:t>
      </w:r>
    </w:p>
    <w:p w:rsidR="0011669C" w:rsidRDefault="002B5D87" w:rsidP="0011669C">
      <w:pPr>
        <w:pStyle w:val="Textebrut"/>
      </w:pPr>
      <w:hyperlink r:id="rId160" w:history="1">
        <w:r w:rsidR="0011669C" w:rsidRPr="00D90BA7">
          <w:rPr>
            <w:rStyle w:val="Lienhypertexte"/>
          </w:rPr>
          <w:t>https://ansm.sante.fr/actualites/fortes-tensions-dapprovisionnement-en-methotrexate-injectable-1g-et-5g-des-alternatives-pour-pallier-la-rupture</w:t>
        </w:r>
      </w:hyperlink>
    </w:p>
    <w:p w:rsidR="0011669C" w:rsidRDefault="0011669C" w:rsidP="0011669C">
      <w:pPr>
        <w:pStyle w:val="Textebrut"/>
      </w:pPr>
    </w:p>
    <w:p w:rsidR="00321375" w:rsidRDefault="00321375" w:rsidP="00361AD6">
      <w:pPr>
        <w:pStyle w:val="Textebrut"/>
      </w:pPr>
      <w:r w:rsidRPr="00321375">
        <w:t>Difficultés d’approvisionnement en Rythmodan 250 mg LP : ce médicament doit être remplacé par Rythmodan 100 mg</w:t>
      </w:r>
      <w:r>
        <w:t xml:space="preserve"> (ANSM, actualisation du 10/06/2024).</w:t>
      </w:r>
    </w:p>
    <w:p w:rsidR="00321375" w:rsidRDefault="00321375" w:rsidP="00321375">
      <w:pPr>
        <w:pStyle w:val="Textebrut"/>
      </w:pPr>
      <w:r w:rsidRPr="00A82D5A">
        <w:rPr>
          <w:b/>
        </w:rPr>
        <w:t>Rythmodan (disopyramide) 250 mg LP est de nouveau disponible sans restriction en raison de la fin des tensions</w:t>
      </w:r>
      <w:r>
        <w:t>. Aussi, la recommandation qui permettait le remplacement de Rythmodan 250 LP par Rythmodan 100 mg n’est plus en vigueur</w:t>
      </w:r>
    </w:p>
    <w:p w:rsidR="00321375" w:rsidRDefault="002B5D87" w:rsidP="00321375">
      <w:pPr>
        <w:pStyle w:val="Textebrut"/>
      </w:pPr>
      <w:hyperlink r:id="rId161" w:history="1">
        <w:r w:rsidR="00321375" w:rsidRPr="00287A00">
          <w:rPr>
            <w:rStyle w:val="Lienhypertexte"/>
          </w:rPr>
          <w:t>https://ansm.sante.fr/actualites/difficultes-dapprovisionnement-en-rythmodan-250-mg-lp-ce-medicament-doit-etre-remplace-par-rythmodan-100-mg</w:t>
        </w:r>
      </w:hyperlink>
    </w:p>
    <w:p w:rsidR="00321375" w:rsidRDefault="00321375" w:rsidP="00321375">
      <w:pPr>
        <w:pStyle w:val="Textebrut"/>
      </w:pPr>
    </w:p>
    <w:p w:rsidR="005B23BF" w:rsidRDefault="005B23BF" w:rsidP="005B23BF">
      <w:pPr>
        <w:pStyle w:val="Textebrut"/>
      </w:pPr>
      <w:r>
        <w:t xml:space="preserve">La </w:t>
      </w:r>
      <w:r w:rsidRPr="00A82D5A">
        <w:rPr>
          <w:b/>
        </w:rPr>
        <w:t>Ventoline s'ajoute à la liste des médicaments sous tension</w:t>
      </w:r>
      <w:r>
        <w:t xml:space="preserve"> (</w:t>
      </w:r>
      <w:r w:rsidRPr="00A82D5A">
        <w:rPr>
          <w:b/>
        </w:rPr>
        <w:t>Les Echos</w:t>
      </w:r>
      <w:r>
        <w:t>, 07/06/2024).</w:t>
      </w:r>
    </w:p>
    <w:p w:rsidR="005B23BF" w:rsidRDefault="005B23BF" w:rsidP="005B23BF">
      <w:pPr>
        <w:pStyle w:val="Textebrut"/>
      </w:pPr>
      <w:r>
        <w:t>Plusieurs pharmacies en France ont annoncé des difficultés d'approvisionnement en boîtes du spray pour asthmatiques, alors que le risque allergique lié aux pollens est élevé quasiment partout en France.</w:t>
      </w:r>
    </w:p>
    <w:p w:rsidR="005B23BF" w:rsidRDefault="002B5D87" w:rsidP="005B23BF">
      <w:pPr>
        <w:pStyle w:val="Textebrut"/>
      </w:pPr>
      <w:hyperlink r:id="rId162" w:history="1">
        <w:r w:rsidR="005B23BF" w:rsidRPr="00287A00">
          <w:rPr>
            <w:rStyle w:val="Lienhypertexte"/>
          </w:rPr>
          <w:t>https://www.lesechos.fr/industrie-services/pharmacie-sante/la-ventoline-sajoute-a-la-liste-des-medicaments-sous-tension-2099907</w:t>
        </w:r>
      </w:hyperlink>
    </w:p>
    <w:p w:rsidR="005B23BF" w:rsidRDefault="005B23BF" w:rsidP="005B23BF">
      <w:pPr>
        <w:pStyle w:val="Textebrut"/>
      </w:pPr>
    </w:p>
    <w:p w:rsidR="00F84288" w:rsidRDefault="00F84288" w:rsidP="00F84288">
      <w:pPr>
        <w:pStyle w:val="Textebrut"/>
      </w:pPr>
      <w:r>
        <w:t>Méthylphénidate Arrow LP, gélule à libération prolongée – [méthylphénidate (chlorhydrate de)], (ANSM, publié le 19/02/2024 - mis à jour le 31/05/2024).</w:t>
      </w:r>
    </w:p>
    <w:p w:rsidR="00F84288" w:rsidRDefault="00F84288" w:rsidP="00F84288">
      <w:pPr>
        <w:pStyle w:val="Textebrut"/>
      </w:pPr>
      <w:r>
        <w:t>Tension d'approvisionnement depuis le 15/02/2024. Tension d'approvisionnement des spécialités Méthylphénidate Arrow LP 10 mg, LP 20 mg, LP 30 mg et LP 40 mg, gélule à libération prolongée. Distribution contingentée. Remise à disposition normale prévue en septembre 2024.</w:t>
      </w:r>
    </w:p>
    <w:p w:rsidR="00C73E01" w:rsidRDefault="002B5D87" w:rsidP="00F84288">
      <w:pPr>
        <w:pStyle w:val="Textebrut"/>
      </w:pPr>
      <w:hyperlink r:id="rId163" w:history="1">
        <w:r w:rsidR="00F84288" w:rsidRPr="00287A00">
          <w:rPr>
            <w:rStyle w:val="Lienhypertexte"/>
          </w:rPr>
          <w:t>https://ansm.sante.fr/disponibilites-des-produits-de-sante/medicaments/methylphenidate-arrow-lp-gelule-a-liberation-prolongee-methylphenidate-chlorhydrate-de</w:t>
        </w:r>
      </w:hyperlink>
    </w:p>
    <w:p w:rsidR="004A2444" w:rsidRDefault="004A2444" w:rsidP="00F84288">
      <w:pPr>
        <w:pStyle w:val="Textebrut"/>
      </w:pPr>
    </w:p>
    <w:p w:rsidR="004A2444" w:rsidRDefault="004A2444" w:rsidP="004A2444">
      <w:pPr>
        <w:pStyle w:val="Textebrut"/>
      </w:pPr>
      <w:r>
        <w:t>Ritaline L.P. 10 mg, 20 mg, 30 mg et 40mg, gélule à libération prolongée – [méthylphénidate (chlorhydrate de)], (ANSM, publié le 15/04/2024 - mis à jour le 03/06/2024). Remise à disposition depuis le 01/06/2024.</w:t>
      </w:r>
    </w:p>
    <w:p w:rsidR="004A2444" w:rsidRDefault="002B5D87" w:rsidP="004A2444">
      <w:pPr>
        <w:pStyle w:val="Textebrut"/>
      </w:pPr>
      <w:hyperlink r:id="rId164" w:history="1">
        <w:r w:rsidR="004A2444" w:rsidRPr="00287A00">
          <w:rPr>
            <w:rStyle w:val="Lienhypertexte"/>
          </w:rPr>
          <w:t>https://ansm.sante.fr/disponibilites-des-produits-de-sante/medicaments/ritaline-l-p-10-mg-20-mg-30-mg-et-40mg-gelule-a-liberation-prolongee-methylphenidate-chlorhydrate-de</w:t>
        </w:r>
      </w:hyperlink>
    </w:p>
    <w:p w:rsidR="004A2444" w:rsidRDefault="004A2444" w:rsidP="004A2444">
      <w:pPr>
        <w:pStyle w:val="Textebrut"/>
      </w:pPr>
    </w:p>
    <w:p w:rsidR="004A2444" w:rsidRDefault="004A2444" w:rsidP="004A2444">
      <w:pPr>
        <w:pStyle w:val="Textebrut"/>
      </w:pPr>
      <w:r>
        <w:t>Colofoam, mousse rectale – [acétate d'hydrocortisone], (ANSM, 03/06/2024)</w:t>
      </w:r>
    </w:p>
    <w:p w:rsidR="004A2444" w:rsidRDefault="004A2444" w:rsidP="004A2444">
      <w:pPr>
        <w:pStyle w:val="Textebrut"/>
      </w:pPr>
      <w:r>
        <w:t>Rupture de stock depuis le 29/02/2024</w:t>
      </w:r>
    </w:p>
    <w:p w:rsidR="004A2444" w:rsidRDefault="004A2444" w:rsidP="004A2444">
      <w:pPr>
        <w:pStyle w:val="Textebrut"/>
      </w:pPr>
      <w:r>
        <w:t>Mise à disposition exceptionnelle et transitoire auprès des officines de ville d’unités de la spécialité Cortifoam, rectal foam, initialement destinées au marché américain à partir du 30/05/2024</w:t>
      </w:r>
    </w:p>
    <w:p w:rsidR="004A2444" w:rsidRDefault="002B5D87" w:rsidP="004A2444">
      <w:pPr>
        <w:pStyle w:val="Textebrut"/>
      </w:pPr>
      <w:hyperlink r:id="rId165" w:history="1">
        <w:r w:rsidR="004A2444" w:rsidRPr="00287A00">
          <w:rPr>
            <w:rStyle w:val="Lienhypertexte"/>
          </w:rPr>
          <w:t>https://ansm.sante.fr/disponibilites-des-produits-de-sante/medicaments/colofoam-mousse-rectale-acetate-dhydrocortisone</w:t>
        </w:r>
      </w:hyperlink>
    </w:p>
    <w:p w:rsidR="004A2444" w:rsidRDefault="004A2444" w:rsidP="004A2444">
      <w:pPr>
        <w:pStyle w:val="Textebrut"/>
      </w:pPr>
    </w:p>
    <w:p w:rsidR="004A2444" w:rsidRDefault="004A2444" w:rsidP="004A2444">
      <w:pPr>
        <w:pStyle w:val="Textebrut"/>
      </w:pPr>
      <w:r>
        <w:t>Méthotrexate Accord 100 mg/mL, solution à diluer pour perfusion – [méthotrexate], (ANSM, publié le 17/01/2023 - mis à jour le 03/06/2024)</w:t>
      </w:r>
    </w:p>
    <w:p w:rsidR="004A2444" w:rsidRDefault="004A2444" w:rsidP="004A2444">
      <w:pPr>
        <w:pStyle w:val="Textebrut"/>
      </w:pPr>
      <w:r>
        <w:t>Rupture de stock depuis le 12/01/2023.</w:t>
      </w:r>
    </w:p>
    <w:p w:rsidR="004A2444" w:rsidRDefault="004A2444" w:rsidP="004A2444">
      <w:pPr>
        <w:pStyle w:val="Textebrut"/>
      </w:pPr>
      <w:r>
        <w:t>Mise à disposition exceptionnelle et transitoire auprès des PUI d’unités de la spécialité Metotreksat Ebewe 100MG/ML Koncentrat za raztopinoza infundiranje (flacon de 5000 mg/50 ml), initialement destinées au marché slovène à partir du 03/06/2024.</w:t>
      </w:r>
    </w:p>
    <w:p w:rsidR="004A2444" w:rsidRDefault="004A2444" w:rsidP="004A2444">
      <w:pPr>
        <w:pStyle w:val="Textebrut"/>
      </w:pPr>
      <w:r>
        <w:t>À noter : La date de péremption des unités importées est le 31 août 2024.</w:t>
      </w:r>
    </w:p>
    <w:p w:rsidR="004A2444" w:rsidRDefault="004A2444" w:rsidP="004A2444">
      <w:pPr>
        <w:pStyle w:val="Textebrut"/>
      </w:pPr>
      <w:r>
        <w:lastRenderedPageBreak/>
        <w:t>Lettre d'information du laboratoire Accord Healthcare France en date du 17/05/2024 à l'attention des professionnels de santé (03/06/2024)</w:t>
      </w:r>
    </w:p>
    <w:p w:rsidR="004A2444" w:rsidRDefault="002B5D87" w:rsidP="004A2444">
      <w:pPr>
        <w:pStyle w:val="Textebrut"/>
      </w:pPr>
      <w:hyperlink r:id="rId166" w:history="1">
        <w:r w:rsidR="004A2444" w:rsidRPr="00287A00">
          <w:rPr>
            <w:rStyle w:val="Lienhypertexte"/>
          </w:rPr>
          <w:t>https://ansm.sante.fr/uploads/2024/06/03/20240603-rs-methotexate-lettre-pds.pdf</w:t>
        </w:r>
      </w:hyperlink>
    </w:p>
    <w:p w:rsidR="004A2444" w:rsidRDefault="004A2444" w:rsidP="004A2444">
      <w:pPr>
        <w:pStyle w:val="Textebrut"/>
      </w:pPr>
      <w:r>
        <w:t>Remise à disposition normale indéterminée de la présentation en flacon de 10 ml.</w:t>
      </w:r>
    </w:p>
    <w:p w:rsidR="004A2444" w:rsidRDefault="004A2444" w:rsidP="004A2444">
      <w:pPr>
        <w:pStyle w:val="Textebrut"/>
      </w:pPr>
      <w:r>
        <w:t>Remise à disposition normale de la présentation en flacon de 50 ml à compter de mi-juillet 2024.</w:t>
      </w:r>
    </w:p>
    <w:p w:rsidR="004A2444" w:rsidRDefault="002B5D87" w:rsidP="004A2444">
      <w:pPr>
        <w:pStyle w:val="Textebrut"/>
      </w:pPr>
      <w:hyperlink r:id="rId167" w:history="1">
        <w:r w:rsidR="004A2444" w:rsidRPr="00287A00">
          <w:rPr>
            <w:rStyle w:val="Lienhypertexte"/>
          </w:rPr>
          <w:t>https://ansm.sante.fr/disponibilites-des-produits-de-sante/medicaments/methotrexate-accord-100-mg-ml-solution-a-diluer-pour-perfusion-methotrexate</w:t>
        </w:r>
      </w:hyperlink>
    </w:p>
    <w:p w:rsidR="004A2444" w:rsidRDefault="004A2444" w:rsidP="004A2444">
      <w:pPr>
        <w:pStyle w:val="Textebrut"/>
      </w:pPr>
    </w:p>
    <w:p w:rsidR="004A2444" w:rsidRDefault="004A2444" w:rsidP="004A2444">
      <w:pPr>
        <w:pStyle w:val="Textebrut"/>
      </w:pPr>
      <w:r>
        <w:t>Immunoglobuline humaine normale IV et SC (à base de) – [Immunoglobuline humaine normale (IgG)], (ANSM, publié le 02/04/2021 - mis à jour le 03/06/2024)</w:t>
      </w:r>
    </w:p>
    <w:p w:rsidR="004A2444" w:rsidRDefault="004A2444" w:rsidP="004A2444">
      <w:pPr>
        <w:pStyle w:val="Textebrut"/>
      </w:pPr>
      <w:r>
        <w:t>Tension d'approvisionnement depuis le 01/04/2021. Remise à disposition indéterminée.</w:t>
      </w:r>
    </w:p>
    <w:p w:rsidR="00F84288" w:rsidRDefault="002B5D87" w:rsidP="004A2444">
      <w:pPr>
        <w:pStyle w:val="Textebrut"/>
      </w:pPr>
      <w:hyperlink r:id="rId168" w:history="1">
        <w:r w:rsidR="004A2444" w:rsidRPr="00287A00">
          <w:rPr>
            <w:rStyle w:val="Lienhypertexte"/>
          </w:rPr>
          <w:t>https://ansm.sante.fr/disponibilites-des-produits-de-sante/medicaments/immunoglobuline-humaine-normale-iv-et-sc-a-base-de-immunoglobuline-humaine-normale-igg</w:t>
        </w:r>
      </w:hyperlink>
    </w:p>
    <w:p w:rsidR="004A2444" w:rsidRDefault="004A2444" w:rsidP="004A2444">
      <w:pPr>
        <w:pStyle w:val="Textebrut"/>
      </w:pPr>
    </w:p>
    <w:p w:rsidR="00363798" w:rsidRDefault="00363798" w:rsidP="00363798">
      <w:pPr>
        <w:pStyle w:val="Textebrut"/>
      </w:pPr>
      <w:r>
        <w:t>Humalog 100 UI/ml, solution injectable en flacon – [insuline lispro] (ANSM, publié le 20/03/2024, actualisation du 05/06/2024).</w:t>
      </w:r>
    </w:p>
    <w:p w:rsidR="00363798" w:rsidRDefault="00363798" w:rsidP="00363798">
      <w:pPr>
        <w:pStyle w:val="Textebrut"/>
      </w:pPr>
      <w:r>
        <w:t>Tension d'approvisionnement depuis le 19/03/2024. Situation en ville : Tension. Situation à l'hôpital : non impactée. Contingentement quantitatif en ville. Dépannages d'urgence des pharmacies de ville auprès du laboratoire Lilly France. Lettre d’information du laboratoire Lilly France en date du 03/06/2024 à l'attention des pharmaciens d'officine (05/06/2024). Lettre d'information du laboratoire Lilly France en date du 03/06/2024 à l'attention des prescripteurs (05/06/2024). Date de remise à disposition prévue : fin 2024</w:t>
      </w:r>
    </w:p>
    <w:p w:rsidR="00363798" w:rsidRDefault="002B5D87" w:rsidP="00363798">
      <w:pPr>
        <w:pStyle w:val="Textebrut"/>
      </w:pPr>
      <w:hyperlink r:id="rId169" w:history="1">
        <w:r w:rsidR="00363798" w:rsidRPr="00287A00">
          <w:rPr>
            <w:rStyle w:val="Lienhypertexte"/>
          </w:rPr>
          <w:t>https://ansm.sante.fr/disponibilites-des-produits-de-sante/medicaments/humalog-100-ui-ml-solution-injectable-en-flacon-insuline-lispro</w:t>
        </w:r>
      </w:hyperlink>
    </w:p>
    <w:p w:rsidR="00363798" w:rsidRDefault="00363798" w:rsidP="00363798">
      <w:pPr>
        <w:pStyle w:val="Textebrut"/>
      </w:pPr>
    </w:p>
    <w:p w:rsidR="00DC40C7" w:rsidRDefault="00DC40C7" w:rsidP="00DC40C7">
      <w:pPr>
        <w:pStyle w:val="Textebrut"/>
      </w:pPr>
      <w:r>
        <w:t>Gabapentine100 mg, 300 mg, 400 mg, gélule – [gabapentine] - Tension d'approvisionnement depuis le 01/02/2024 (ANSM, actualisation du 06/06/2024).</w:t>
      </w:r>
    </w:p>
    <w:p w:rsidR="00DC40C7" w:rsidRDefault="00DC40C7" w:rsidP="00DC40C7">
      <w:pPr>
        <w:pStyle w:val="Textebrut"/>
      </w:pPr>
      <w:r>
        <w:t>Situation en ville : Tension. Situation à l'hôpital : Tension. Contingentement quantitatif en ville et à l'hôpital. Pour le dosage 100 mg : remise à disposition début juillet. Pour les dosages 300 mg et 400 mg : remise à disposition indéterminée</w:t>
      </w:r>
    </w:p>
    <w:p w:rsidR="00DC40C7" w:rsidRDefault="002B5D87" w:rsidP="00DC40C7">
      <w:pPr>
        <w:pStyle w:val="Textebrut"/>
      </w:pPr>
      <w:hyperlink r:id="rId170" w:history="1">
        <w:r w:rsidR="00DC40C7" w:rsidRPr="00287A00">
          <w:rPr>
            <w:rStyle w:val="Lienhypertexte"/>
          </w:rPr>
          <w:t>https://ansm.sante.fr/disponibilites-des-produits-de-sante/medicaments/gabapentine100-mg-300-mg-400-mg-gelule-gabapentine</w:t>
        </w:r>
      </w:hyperlink>
    </w:p>
    <w:p w:rsidR="00DC40C7" w:rsidRDefault="00DC40C7" w:rsidP="00DC40C7">
      <w:pPr>
        <w:pStyle w:val="Textebrut"/>
      </w:pPr>
    </w:p>
    <w:p w:rsidR="00DC40C7" w:rsidRDefault="00DC40C7" w:rsidP="00DC40C7">
      <w:pPr>
        <w:pStyle w:val="Textebrut"/>
      </w:pPr>
      <w:r>
        <w:t>Neuleptil 10 mg, gélule – [propériciazine] (ANSM, actualisation du 06/06/2024).</w:t>
      </w:r>
    </w:p>
    <w:p w:rsidR="00DC40C7" w:rsidRDefault="00DC40C7" w:rsidP="00DC40C7">
      <w:pPr>
        <w:pStyle w:val="Textebrut"/>
      </w:pPr>
      <w:r>
        <w:t>Remise à disposition à partir du jeudi 6 juin 2024</w:t>
      </w:r>
    </w:p>
    <w:p w:rsidR="00DC40C7" w:rsidRDefault="002B5D87" w:rsidP="00DC40C7">
      <w:pPr>
        <w:pStyle w:val="Textebrut"/>
      </w:pPr>
      <w:hyperlink r:id="rId171" w:history="1">
        <w:r w:rsidR="00DC40C7" w:rsidRPr="00287A00">
          <w:rPr>
            <w:rStyle w:val="Lienhypertexte"/>
          </w:rPr>
          <w:t>https://ansm.sante.fr/disponibilites-des-produits-de-sante/medicaments/neuleptil-10-mg-gelule-propericiazine</w:t>
        </w:r>
      </w:hyperlink>
    </w:p>
    <w:p w:rsidR="00DC40C7" w:rsidRDefault="00DC40C7" w:rsidP="00DC40C7">
      <w:pPr>
        <w:pStyle w:val="Textebrut"/>
      </w:pPr>
    </w:p>
    <w:p w:rsidR="005B23BF" w:rsidRDefault="005B23BF" w:rsidP="005B23BF">
      <w:pPr>
        <w:pStyle w:val="Textebrut"/>
      </w:pPr>
      <w:r>
        <w:t>Largactil 100 mg, comprimé pelliculé sécable – [chlorpromazine] - Remise à disposition depuis le 07/06/2024 (ANSM, 07/06/2024)</w:t>
      </w:r>
    </w:p>
    <w:p w:rsidR="005B23BF" w:rsidRDefault="002B5D87" w:rsidP="005B23BF">
      <w:pPr>
        <w:pStyle w:val="Textebrut"/>
      </w:pPr>
      <w:hyperlink r:id="rId172" w:history="1">
        <w:r w:rsidR="005B23BF" w:rsidRPr="00287A00">
          <w:rPr>
            <w:rStyle w:val="Lienhypertexte"/>
          </w:rPr>
          <w:t>https://ansm.sante.fr/disponibilites-des-produits-de-sante/medicaments/largactil-100-mg-comprime-pellicule-secable-chlorpromazine</w:t>
        </w:r>
      </w:hyperlink>
    </w:p>
    <w:p w:rsidR="005B23BF" w:rsidRDefault="005B23BF" w:rsidP="005B23BF">
      <w:pPr>
        <w:pStyle w:val="Textebrut"/>
      </w:pPr>
    </w:p>
    <w:p w:rsidR="005B23BF" w:rsidRDefault="005B23BF" w:rsidP="005B23BF">
      <w:pPr>
        <w:pStyle w:val="Textebrut"/>
      </w:pPr>
      <w:r>
        <w:t xml:space="preserve">Largactil 25 mg, comprimé pelliculé – [chlorpromazine] - Remise à disposition depuis le 07/06/2024 (ANSM, </w:t>
      </w:r>
      <w:r w:rsidR="00321375">
        <w:t>0</w:t>
      </w:r>
      <w:r>
        <w:t>7/06/2024)</w:t>
      </w:r>
    </w:p>
    <w:p w:rsidR="005B23BF" w:rsidRDefault="002B5D87" w:rsidP="005B23BF">
      <w:pPr>
        <w:pStyle w:val="Textebrut"/>
      </w:pPr>
      <w:hyperlink r:id="rId173" w:history="1">
        <w:r w:rsidR="005B23BF" w:rsidRPr="00287A00">
          <w:rPr>
            <w:rStyle w:val="Lienhypertexte"/>
          </w:rPr>
          <w:t>https://ansm.sante.fr/disponibilites-des-produits-de-sante/medicaments/largactil-25-mg-comprime-pellicule-chlorpromazine</w:t>
        </w:r>
      </w:hyperlink>
    </w:p>
    <w:p w:rsidR="005B23BF" w:rsidRDefault="005B23BF" w:rsidP="005B23BF">
      <w:pPr>
        <w:pStyle w:val="Textebrut"/>
      </w:pPr>
    </w:p>
    <w:p w:rsidR="00321375" w:rsidRDefault="00321375" w:rsidP="005B23BF">
      <w:pPr>
        <w:pStyle w:val="Textebrut"/>
      </w:pPr>
      <w:r w:rsidRPr="00321375">
        <w:t>Rythmodan 250 mg à libération prolongée, comprimé enrobé – [disopyramide (phosphate de)]</w:t>
      </w:r>
      <w:r>
        <w:t xml:space="preserve"> – Remise à disposition à partir du 22/04/2024 (ANSM, 10/06/2024)</w:t>
      </w:r>
    </w:p>
    <w:p w:rsidR="00321375" w:rsidRDefault="002B5D87" w:rsidP="005B23BF">
      <w:pPr>
        <w:pStyle w:val="Textebrut"/>
      </w:pPr>
      <w:hyperlink r:id="rId174" w:history="1">
        <w:r w:rsidR="00321375" w:rsidRPr="00287A00">
          <w:rPr>
            <w:rStyle w:val="Lienhypertexte"/>
          </w:rPr>
          <w:t>https://ansm.sante.fr/disponibilites-des-produits-de-sante/medicaments/rythmodan-250-mg-a-liberation-prolongee-comprime-enrobe-disopyramide-phosphate-de</w:t>
        </w:r>
      </w:hyperlink>
    </w:p>
    <w:p w:rsidR="00321375" w:rsidRDefault="00321375" w:rsidP="005B23BF">
      <w:pPr>
        <w:pStyle w:val="Textebrut"/>
      </w:pPr>
    </w:p>
    <w:p w:rsidR="00E916AB" w:rsidRDefault="00E916AB" w:rsidP="00E916AB">
      <w:pPr>
        <w:pStyle w:val="Textebrut"/>
      </w:pPr>
      <w:r>
        <w:lastRenderedPageBreak/>
        <w:t>Xylocaïne 5 mg/ml sans conservateur, solution injectable – [chlorhydrate de lidocaïne] - Tension d'approvisionnement depuis le 29/03/2024 (ANSM, actualisation du 10/06/2024)</w:t>
      </w:r>
    </w:p>
    <w:p w:rsidR="00E916AB" w:rsidRDefault="00E916AB" w:rsidP="00E916AB">
      <w:pPr>
        <w:pStyle w:val="Textebrut"/>
      </w:pPr>
      <w:r>
        <w:t>Distribution contingentée. Remise à disposition normale mi-juillet 2024.</w:t>
      </w:r>
    </w:p>
    <w:p w:rsidR="00E916AB" w:rsidRDefault="002B5D87" w:rsidP="00E916AB">
      <w:pPr>
        <w:pStyle w:val="Textebrut"/>
      </w:pPr>
      <w:hyperlink r:id="rId175" w:history="1">
        <w:r w:rsidR="00E916AB" w:rsidRPr="00FB7C32">
          <w:rPr>
            <w:rStyle w:val="Lienhypertexte"/>
          </w:rPr>
          <w:t>https://ansm.sante.fr/disponibilites-des-produits-de-sante/medicaments/xylocaine-5-mg-ml-sans-conservateur-solution-injectable-chlorhydrate-de-lidocaine</w:t>
        </w:r>
      </w:hyperlink>
    </w:p>
    <w:p w:rsidR="00E916AB" w:rsidRDefault="00E916AB" w:rsidP="00E916AB">
      <w:pPr>
        <w:pStyle w:val="Textebrut"/>
      </w:pPr>
    </w:p>
    <w:p w:rsidR="00E916AB" w:rsidRDefault="00E916AB" w:rsidP="00E916AB">
      <w:pPr>
        <w:pStyle w:val="Textebrut"/>
      </w:pPr>
      <w:r>
        <w:t>Zophren 4 mg/5 ml, sirop – [ondansétron] - Remise à disposition à partir du 07/06/2024 (ANSM, actualisation du 10/06/2024)</w:t>
      </w:r>
    </w:p>
    <w:p w:rsidR="00E916AB" w:rsidRDefault="002B5D87" w:rsidP="00E916AB">
      <w:pPr>
        <w:pStyle w:val="Textebrut"/>
      </w:pPr>
      <w:hyperlink r:id="rId176" w:history="1">
        <w:r w:rsidR="00E916AB" w:rsidRPr="00FB7C32">
          <w:rPr>
            <w:rStyle w:val="Lienhypertexte"/>
          </w:rPr>
          <w:t>https://ansm.sante.fr/disponibilites-des-produits-de-sante/medicaments/zophren-4-mg-5-ml-sirop-ondansetron</w:t>
        </w:r>
      </w:hyperlink>
    </w:p>
    <w:p w:rsidR="00E916AB" w:rsidRDefault="00E916AB" w:rsidP="00E916AB">
      <w:pPr>
        <w:pStyle w:val="Textebrut"/>
      </w:pPr>
    </w:p>
    <w:p w:rsidR="00E916AB" w:rsidRDefault="00E916AB" w:rsidP="00E916AB">
      <w:pPr>
        <w:pStyle w:val="Textebrut"/>
      </w:pPr>
      <w:r>
        <w:t>Neuleptil 1 pour cent, solution buvable – [propériciazine] - Remise à disposition à partir du 07/06/2024 (ANSM, publié le 25/01/2023 - mis à jour le 10/06/2024)</w:t>
      </w:r>
    </w:p>
    <w:p w:rsidR="00E916AB" w:rsidRDefault="002B5D87" w:rsidP="00E916AB">
      <w:pPr>
        <w:pStyle w:val="Textebrut"/>
      </w:pPr>
      <w:hyperlink r:id="rId177" w:history="1">
        <w:r w:rsidR="00E916AB" w:rsidRPr="00FB7C32">
          <w:rPr>
            <w:rStyle w:val="Lienhypertexte"/>
          </w:rPr>
          <w:t>https://ansm.sante.fr/disponibilites-des-produits-de-sante/medicaments/neuleptil-1-pour-cent-solution-buvable-propericiazine</w:t>
        </w:r>
      </w:hyperlink>
    </w:p>
    <w:p w:rsidR="00E916AB" w:rsidRDefault="00E916AB" w:rsidP="00E916AB">
      <w:pPr>
        <w:pStyle w:val="Textebrut"/>
      </w:pPr>
    </w:p>
    <w:p w:rsidR="00E8000C" w:rsidRDefault="00E8000C" w:rsidP="00E8000C">
      <w:pPr>
        <w:pStyle w:val="Textebrut"/>
      </w:pPr>
      <w:r>
        <w:t>Méthotrexate Teva 10 pour cent, solution injectable (flacon de 50 ml) – [méthotrexate] – Rupture de stock depuis le 16/04/2024 (ANSM, 11/06/2024).</w:t>
      </w:r>
    </w:p>
    <w:p w:rsidR="00E8000C" w:rsidRDefault="00E8000C" w:rsidP="00E8000C">
      <w:pPr>
        <w:pStyle w:val="Textebrut"/>
      </w:pPr>
      <w:r>
        <w:t>Rupture de stock de la spécialité : Méthotrexate Teva 10 pour cent (5 g/50 mL), solution injectable. Remise à disposition prévue mi-juillet 2024.</w:t>
      </w:r>
    </w:p>
    <w:p w:rsidR="00E8000C" w:rsidRDefault="00E8000C" w:rsidP="00E8000C">
      <w:pPr>
        <w:pStyle w:val="Textebrut"/>
      </w:pPr>
      <w:r>
        <w:t>Distribution contingentée de la spécialité : Méthotrexate Teva 10 pour cent (1 g/10 mL), solution injectable.</w:t>
      </w:r>
    </w:p>
    <w:p w:rsidR="00E8000C" w:rsidRDefault="00E8000C" w:rsidP="00E8000C">
      <w:pPr>
        <w:pStyle w:val="Textebrut"/>
      </w:pPr>
      <w:r>
        <w:t>Distribution normale des spécialités : Méthotrexate Teva 2,5 pour cent (50 mg/2 mL), solution injectable, Méthotrexate Teva 2,5 pour cent (500 mg/20 mL), solution injectable</w:t>
      </w:r>
    </w:p>
    <w:p w:rsidR="00E8000C" w:rsidRDefault="002B5D87" w:rsidP="00E8000C">
      <w:pPr>
        <w:pStyle w:val="Textebrut"/>
      </w:pPr>
      <w:hyperlink r:id="rId178" w:history="1">
        <w:r w:rsidR="00E8000C" w:rsidRPr="00FB7C32">
          <w:rPr>
            <w:rStyle w:val="Lienhypertexte"/>
          </w:rPr>
          <w:t>https://ansm.sante.fr/disponibilites-des-produits-de-sante/medicaments/methotrexate-teva-10-pour-cent-solution-injectable-flacon-de-50-ml-methotrexate</w:t>
        </w:r>
      </w:hyperlink>
    </w:p>
    <w:p w:rsidR="00E8000C" w:rsidRDefault="00E8000C" w:rsidP="00E8000C">
      <w:pPr>
        <w:pStyle w:val="Textebrut"/>
      </w:pPr>
    </w:p>
    <w:p w:rsidR="005F2D2A" w:rsidRDefault="005F2D2A" w:rsidP="005F2D2A">
      <w:pPr>
        <w:pStyle w:val="Textebrut"/>
      </w:pPr>
      <w:r>
        <w:t>Umuline Profil 30 100 UI/mL, suspension injectable en flacon – [insuline humaine recombinante isophane biphasique] – Remise à disposition à partir du 13/06/2024 (ANSM, 13/06/2024)</w:t>
      </w:r>
    </w:p>
    <w:p w:rsidR="005F2D2A" w:rsidRDefault="002B5D87" w:rsidP="005F2D2A">
      <w:pPr>
        <w:pStyle w:val="Textebrut"/>
      </w:pPr>
      <w:hyperlink r:id="rId179" w:history="1">
        <w:r w:rsidR="005F2D2A" w:rsidRPr="00AB0CD4">
          <w:rPr>
            <w:rStyle w:val="Lienhypertexte"/>
          </w:rPr>
          <w:t>https://ansm.sante.fr/disponibilites-des-produits-de-sante/medicaments/umuline-profil-30-100-ui-ml-suspension-injectable-en-flacon-insuline-humaine-recombinante-isophane-biphasique</w:t>
        </w:r>
      </w:hyperlink>
    </w:p>
    <w:p w:rsidR="005F2D2A" w:rsidRDefault="005F2D2A" w:rsidP="005F2D2A">
      <w:pPr>
        <w:pStyle w:val="Textebrut"/>
      </w:pPr>
    </w:p>
    <w:p w:rsidR="00565832" w:rsidRDefault="00565832" w:rsidP="00565832">
      <w:pPr>
        <w:pStyle w:val="Textebrut"/>
      </w:pPr>
      <w:r>
        <w:t>Acarbose 50 mg (spécialités à base d') – Rupture de stock depuis le 06/06/2024 (ANSM, 18/06/2024).</w:t>
      </w:r>
    </w:p>
    <w:p w:rsidR="00565832" w:rsidRDefault="00565832" w:rsidP="00565832">
      <w:pPr>
        <w:pStyle w:val="Textebrut"/>
      </w:pPr>
      <w:r>
        <w:t>Situation en ville : rupture. L'utilisation de la forme sécable de acarbose 100 mg doit être réservée en priorité aux patients traités par acarbose 50 mg. Date de remise à disposition prévue : début juillet 2024</w:t>
      </w:r>
    </w:p>
    <w:p w:rsidR="00565832" w:rsidRDefault="002B5D87" w:rsidP="00565832">
      <w:pPr>
        <w:pStyle w:val="Textebrut"/>
      </w:pPr>
      <w:hyperlink r:id="rId180" w:history="1">
        <w:r w:rsidR="00565832" w:rsidRPr="006F6D2F">
          <w:rPr>
            <w:rStyle w:val="Lienhypertexte"/>
          </w:rPr>
          <w:t>https://ansm.sante.fr/disponibilites-des-produits-de-sante/medicaments/acarbose-50-mg-specialites-a-base-d</w:t>
        </w:r>
      </w:hyperlink>
    </w:p>
    <w:p w:rsidR="00565832" w:rsidRDefault="00565832" w:rsidP="00565832">
      <w:pPr>
        <w:pStyle w:val="Textebrut"/>
      </w:pPr>
    </w:p>
    <w:p w:rsidR="00565832" w:rsidRDefault="00565832" w:rsidP="00565832">
      <w:pPr>
        <w:pStyle w:val="Textebrut"/>
      </w:pPr>
      <w:r>
        <w:t>Solution injectable d’adrénaline en stylo prérempli (Anapen - Epipen - Jext) – [adrénaline] – Remise à disposition à partir du 18/06/2024 (ANSM, 18/06/2024)</w:t>
      </w:r>
    </w:p>
    <w:p w:rsidR="00565832" w:rsidRDefault="002B5D87" w:rsidP="00565832">
      <w:pPr>
        <w:pStyle w:val="Textebrut"/>
      </w:pPr>
      <w:hyperlink r:id="rId181" w:history="1">
        <w:r w:rsidR="00565832" w:rsidRPr="006F6D2F">
          <w:rPr>
            <w:rStyle w:val="Lienhypertexte"/>
          </w:rPr>
          <w:t>https://ansm.sante.fr/disponibilites-des-produits-de-sante/medicaments/solution-injectable-dadrenaline-en-stylo-prerempli-anapen-epipen-jext-adrenaline</w:t>
        </w:r>
      </w:hyperlink>
    </w:p>
    <w:p w:rsidR="00565832" w:rsidRDefault="00565832" w:rsidP="00565832">
      <w:pPr>
        <w:pStyle w:val="Textebrut"/>
      </w:pPr>
    </w:p>
    <w:p w:rsidR="002948EF" w:rsidRDefault="002948EF" w:rsidP="002948EF">
      <w:pPr>
        <w:pStyle w:val="Textebrut"/>
      </w:pPr>
      <w:r>
        <w:t>Iopamiron 370 mg Iode/mL, solution injectable en 100-200 et 500 mL – [iopamidol] – Tension d’approvisionnement depuis le 18/03/2024 (ANSM, 18/06/2024).</w:t>
      </w:r>
    </w:p>
    <w:p w:rsidR="002948EF" w:rsidRDefault="002948EF" w:rsidP="002948EF">
      <w:pPr>
        <w:pStyle w:val="Textebrut"/>
      </w:pPr>
      <w:r>
        <w:t>Situation en ville : Tension.  Situation à l'hôpital : Tension. Contingentement quantitatif en ville et à l'hôpital. Mise à disposition exceptionnelle et transitoire d’unités de la spécialité Iopamiro 370 non-ionic, water soluble contrast medium, one bottle of 200 ml, initialement destinées au marché international. Mise à disposition exceptionnelle et transitoire d'unités de la spécialité Solustrast 370, 370 mg Iod/ml, Injektionslösung, Infusionslösung, 10 Durchstechflaschen zu 100 ml initialement destinés au marché allemand. Mise à disposition exceptionnelle et transitoire d'unités de la spécialité Solustrast 370, 370 mg Iod/ml, Injektionslösung, Infusionslösung, 10 Durchstechflaschen zu 200 ml initialement destinés au marché allemand. Lettre d’information du laboratoire Bracco en date du 14/06/2024 (18/06/2024).  Date de remise à disposition prévue : indéterminée</w:t>
      </w:r>
    </w:p>
    <w:p w:rsidR="002948EF" w:rsidRDefault="002B5D87" w:rsidP="002948EF">
      <w:pPr>
        <w:pStyle w:val="Textebrut"/>
      </w:pPr>
      <w:hyperlink r:id="rId182" w:history="1">
        <w:r w:rsidR="002948EF" w:rsidRPr="00B70327">
          <w:rPr>
            <w:rStyle w:val="Lienhypertexte"/>
          </w:rPr>
          <w:t>https://ansm.sante.fr/disponibilites-des-produits-de-sante/medicaments/iopamiron-370-mg-iode-ml-solution-injectable-en-100-200-et-500-ml-iopamidol</w:t>
        </w:r>
      </w:hyperlink>
    </w:p>
    <w:p w:rsidR="002948EF" w:rsidRDefault="002948EF" w:rsidP="002948EF">
      <w:pPr>
        <w:pStyle w:val="Textebrut"/>
      </w:pPr>
    </w:p>
    <w:p w:rsidR="002948EF" w:rsidRDefault="002948EF" w:rsidP="002948EF">
      <w:pPr>
        <w:pStyle w:val="Textebrut"/>
      </w:pPr>
      <w:r>
        <w:t>Iomeron 150, 250, 300, 350 et 400 mg Iode/mL, solution injectable en 100-150-200-250 et 500 mL – [ioméprol] – Tension d’approvisionnement depuis le 01/09/2023 (ANSM, actualisation du 18/06/2024).</w:t>
      </w:r>
    </w:p>
    <w:p w:rsidR="002948EF" w:rsidRDefault="002948EF" w:rsidP="002948EF">
      <w:pPr>
        <w:pStyle w:val="Textebrut"/>
      </w:pPr>
      <w:r>
        <w:t>Situation en ville : tension. Situation à l'hôpital : tension. Contingentement quantitatif en ville et à l'hôpital. Mise à disposition exceptionnelle et transitoire d’unités de la spécialité Iomeron 350, solution for injection, multi-dose container initialement destinées au marché britannique. Mise à disposition exceptionnelle et transitoire d'unités de la spécialité Iomeron 400, solution for injection, multi-dose container initialement destinées au marché britannique. Mise à disposition exceptionnelle et transitoire d'unités de la spécialité Iomeron 400 mg I/ml, Injektionsvæske, opløsning/Injeksjonsvæske, oppløsning, initialement destinées aux marchés danois et norvégien. Lettre d’information du laboratoire Bracco en date du 14/06/2024 (18/06/2024). Date de remise à disposition prévue : indéterminée</w:t>
      </w:r>
    </w:p>
    <w:p w:rsidR="002948EF" w:rsidRDefault="002B5D87" w:rsidP="002948EF">
      <w:pPr>
        <w:pStyle w:val="Textebrut"/>
      </w:pPr>
      <w:hyperlink r:id="rId183" w:history="1">
        <w:r w:rsidR="002948EF" w:rsidRPr="00B70327">
          <w:rPr>
            <w:rStyle w:val="Lienhypertexte"/>
          </w:rPr>
          <w:t>https://ansm.sante.fr/disponibilites-des-produits-de-sante/medicaments/iomeron-150-250-300-350-et-400-mg-iode-ml-solution-injectable-en-100-150-200-250-et-500-ml-iomeprol</w:t>
        </w:r>
      </w:hyperlink>
    </w:p>
    <w:p w:rsidR="002948EF" w:rsidRDefault="002948EF" w:rsidP="002948EF">
      <w:pPr>
        <w:pStyle w:val="Textebrut"/>
      </w:pPr>
    </w:p>
    <w:p w:rsidR="002948EF" w:rsidRDefault="002948EF" w:rsidP="002948EF">
      <w:pPr>
        <w:pStyle w:val="Textebrut"/>
      </w:pPr>
      <w:r>
        <w:t>Glucantime 1,5 g/5 ml, solution injectable – [méglumine (antimoniate de)] – Remise à disposition à partir du 22/05/2024 (ANSM, 18/06/2024)</w:t>
      </w:r>
    </w:p>
    <w:p w:rsidR="002948EF" w:rsidRDefault="002B5D87" w:rsidP="002948EF">
      <w:pPr>
        <w:pStyle w:val="Textebrut"/>
      </w:pPr>
      <w:hyperlink r:id="rId184" w:history="1">
        <w:r w:rsidR="002948EF" w:rsidRPr="00B70327">
          <w:rPr>
            <w:rStyle w:val="Lienhypertexte"/>
          </w:rPr>
          <w:t>https://ansm.sante.fr/disponibilites-des-produits-de-sante/medicaments/glucantime-1-5-g-5-ml-solution-injectable-meglumine-antimoniate-de</w:t>
        </w:r>
      </w:hyperlink>
    </w:p>
    <w:p w:rsidR="002948EF" w:rsidRDefault="002948EF" w:rsidP="002948EF">
      <w:pPr>
        <w:pStyle w:val="Textebrut"/>
      </w:pPr>
    </w:p>
    <w:p w:rsidR="005A0430" w:rsidRDefault="005A0430" w:rsidP="005A0430">
      <w:pPr>
        <w:pStyle w:val="Textebrut"/>
      </w:pPr>
      <w:r>
        <w:t>Timoptol 0,25 %, collyre en solution – [timolol (maléate de)] – Remise à disposition à partir du 21/06/2024 (ANSM, 21/06/2024)</w:t>
      </w:r>
    </w:p>
    <w:p w:rsidR="005A0430" w:rsidRDefault="002B5D87" w:rsidP="005A0430">
      <w:pPr>
        <w:pStyle w:val="Textebrut"/>
      </w:pPr>
      <w:hyperlink r:id="rId185" w:history="1">
        <w:r w:rsidR="005A0430" w:rsidRPr="0075011E">
          <w:rPr>
            <w:rStyle w:val="Lienhypertexte"/>
          </w:rPr>
          <w:t>https://ansm.sante.fr/disponibilites-des-produits-de-sante/medicaments/timoptol-0-25-collyre-en-solution-timolol-maleate-de</w:t>
        </w:r>
      </w:hyperlink>
    </w:p>
    <w:p w:rsidR="005A0430" w:rsidRDefault="005A0430" w:rsidP="005A0430">
      <w:pPr>
        <w:pStyle w:val="Textebrut"/>
      </w:pPr>
    </w:p>
    <w:p w:rsidR="005A0430" w:rsidRDefault="005A0430" w:rsidP="005A0430">
      <w:pPr>
        <w:pStyle w:val="Textebrut"/>
      </w:pPr>
      <w:r>
        <w:t>Zinnat 125 mg/5 ml enfants et nourrissons, granulés pour suspension buvable en flacon de 40 ml – [céfuroxime axétil] depuis le 15/12/2023 (ANSM, actualisation du 21/06/2024).</w:t>
      </w:r>
    </w:p>
    <w:p w:rsidR="005A0430" w:rsidRDefault="005A0430" w:rsidP="005A0430">
      <w:pPr>
        <w:pStyle w:val="Textebrut"/>
      </w:pPr>
      <w:r>
        <w:t>Situation en ville : rupture. Situation à l'hôpital : rupture. Date de remise à disposition prévue fin septembre 2024</w:t>
      </w:r>
    </w:p>
    <w:p w:rsidR="005A0430" w:rsidRDefault="002B5D87" w:rsidP="005A0430">
      <w:pPr>
        <w:pStyle w:val="Textebrut"/>
      </w:pPr>
      <w:hyperlink r:id="rId186" w:history="1">
        <w:r w:rsidR="005A0430" w:rsidRPr="0075011E">
          <w:rPr>
            <w:rStyle w:val="Lienhypertexte"/>
          </w:rPr>
          <w:t>https://ansm.sante.fr/disponibilites-des-produits-de-sante/medicaments/zinnat-125-mg-5-ml-enfants-et-nourrissons-granules-pour-suspension-buvable-en-flacon-de-40-ml-cefuroxime-axetil</w:t>
        </w:r>
      </w:hyperlink>
    </w:p>
    <w:p w:rsidR="005A0430" w:rsidRDefault="005A0430" w:rsidP="005A0430">
      <w:pPr>
        <w:pStyle w:val="Textebrut"/>
      </w:pPr>
    </w:p>
    <w:p w:rsidR="005A0430" w:rsidRDefault="005A0430" w:rsidP="005A0430">
      <w:pPr>
        <w:pStyle w:val="Textebrut"/>
      </w:pPr>
      <w:r>
        <w:t>Zinnat 125 mg/5 ml enfants et nourrissons, granulés pour suspension buvable en flacon de 80 ml – [céfuroxime axétil] - Rupture de stock depuis le 12/09/2023 (ANSM, actualisation du 21/06/2024).</w:t>
      </w:r>
    </w:p>
    <w:p w:rsidR="005A0430" w:rsidRDefault="005A0430" w:rsidP="005A0430">
      <w:pPr>
        <w:pStyle w:val="Textebrut"/>
      </w:pPr>
      <w:r>
        <w:t>Situation en ville : rupture. Situation à l'hôpital : non impactée. Date de remise à disposition prévue fin septembre 2024</w:t>
      </w:r>
    </w:p>
    <w:p w:rsidR="005A0430" w:rsidRDefault="002B5D87" w:rsidP="005A0430">
      <w:pPr>
        <w:pStyle w:val="Textebrut"/>
      </w:pPr>
      <w:hyperlink r:id="rId187" w:history="1">
        <w:r w:rsidR="005A0430" w:rsidRPr="0075011E">
          <w:rPr>
            <w:rStyle w:val="Lienhypertexte"/>
          </w:rPr>
          <w:t>https://ansm.sante.fr/disponibilites-des-produits-de-sante/medicaments/zinnat-125-mg-5-ml-enfants-et-nourrissons-granules-pour-suspension-buvable-en-flacon-de-80-ml-cefuroxime-axetil</w:t>
        </w:r>
      </w:hyperlink>
    </w:p>
    <w:p w:rsidR="005A0430" w:rsidRDefault="005A0430" w:rsidP="005A0430">
      <w:pPr>
        <w:pStyle w:val="Textebrut"/>
      </w:pPr>
    </w:p>
    <w:p w:rsidR="00D83EB3" w:rsidRDefault="00D83EB3" w:rsidP="00D83EB3">
      <w:pPr>
        <w:pStyle w:val="Textebrut"/>
      </w:pPr>
      <w:r>
        <w:t>Gabapentine 300 mg, gélule – [gabapentine] – Remise à disposition à partir du 21/06/2024 (ANSM, 21/06/2024)</w:t>
      </w:r>
    </w:p>
    <w:p w:rsidR="00D83EB3" w:rsidRDefault="002B5D87" w:rsidP="00D83EB3">
      <w:pPr>
        <w:pStyle w:val="Textebrut"/>
      </w:pPr>
      <w:hyperlink r:id="rId188" w:history="1">
        <w:r w:rsidR="00D83EB3" w:rsidRPr="00192D49">
          <w:rPr>
            <w:rStyle w:val="Lienhypertexte"/>
          </w:rPr>
          <w:t>https://ansm.sante.fr/disponibilites-des-produits-de-sante/medicaments/gabapentine-300-mg-gelule-gabapentine</w:t>
        </w:r>
      </w:hyperlink>
    </w:p>
    <w:p w:rsidR="00D83EB3" w:rsidRDefault="00D83EB3" w:rsidP="00D83EB3">
      <w:pPr>
        <w:pStyle w:val="Textebrut"/>
      </w:pPr>
    </w:p>
    <w:p w:rsidR="00D83EB3" w:rsidRDefault="00D83EB3" w:rsidP="00D83EB3">
      <w:pPr>
        <w:pStyle w:val="Textebrut"/>
      </w:pPr>
      <w:r>
        <w:t>Gabapentine 100 mg et 400 mg, gélule – [gabapentine] – Tension d’approvisionnement depuis le 01/02/2024 (ANSM, actualisation du 21/06/2024)</w:t>
      </w:r>
    </w:p>
    <w:p w:rsidR="00D83EB3" w:rsidRDefault="00D83EB3" w:rsidP="00D83EB3">
      <w:pPr>
        <w:pStyle w:val="Textebrut"/>
      </w:pPr>
      <w:r>
        <w:t>Situation en ville : Tension. Situation à l'hôpital : Tension. Contingentement quantitatif en ville et à l'hôpital. Pour le dosage 100 mg : remise à disposition début juillet. Pour le dosage 400 mg : remise à disposition indéterminée</w:t>
      </w:r>
    </w:p>
    <w:p w:rsidR="00D83EB3" w:rsidRDefault="002B5D87" w:rsidP="00D83EB3">
      <w:pPr>
        <w:pStyle w:val="Textebrut"/>
      </w:pPr>
      <w:hyperlink r:id="rId189" w:history="1">
        <w:r w:rsidR="00D83EB3" w:rsidRPr="00192D49">
          <w:rPr>
            <w:rStyle w:val="Lienhypertexte"/>
          </w:rPr>
          <w:t>https://ansm.sante.fr/disponibilites-des-produits-de-sante/medicaments/gabapentine-100-mg-et-400-mg-gelule-gabapentine</w:t>
        </w:r>
      </w:hyperlink>
    </w:p>
    <w:p w:rsidR="00D83EB3" w:rsidRDefault="00D83EB3" w:rsidP="00D83EB3">
      <w:pPr>
        <w:pStyle w:val="Textebrut"/>
      </w:pPr>
    </w:p>
    <w:p w:rsidR="00EF112D" w:rsidRDefault="00EF112D" w:rsidP="00EF112D">
      <w:pPr>
        <w:pStyle w:val="Textebrut"/>
      </w:pPr>
      <w:r>
        <w:t>Acarbose 50 mg (spécialités à base d') – Rupture de stock depuis le 06/06/2024 (ANSM, actualisation du 24/06/2024).</w:t>
      </w:r>
    </w:p>
    <w:p w:rsidR="00EF112D" w:rsidRDefault="00EF112D" w:rsidP="00EF112D">
      <w:pPr>
        <w:pStyle w:val="Textebrut"/>
      </w:pPr>
      <w:r>
        <w:lastRenderedPageBreak/>
        <w:t>Situation en ville : rupture. L'utilisation de la forme sécable de acarbose 100 mg doit être réservée en priorité aux patients traités par acarbose 50 mg. Date de remise à disposition prévue : début juillet 2024. Courrier des laboratoires du 24/06/2024 destiné aux pharmaciens d'officines (24/06/2024)</w:t>
      </w:r>
    </w:p>
    <w:p w:rsidR="00EF112D" w:rsidRDefault="002B5D87" w:rsidP="00EF112D">
      <w:pPr>
        <w:pStyle w:val="Textebrut"/>
      </w:pPr>
      <w:hyperlink r:id="rId190" w:history="1">
        <w:r w:rsidR="00EF112D" w:rsidRPr="00D90BA7">
          <w:rPr>
            <w:rStyle w:val="Lienhypertexte"/>
          </w:rPr>
          <w:t>https://ansm.sante.fr/disponibilites-des-produits-de-sante/medicaments/acarbose-50-mg-specialites-a-base-d</w:t>
        </w:r>
      </w:hyperlink>
    </w:p>
    <w:p w:rsidR="00EF112D" w:rsidRDefault="00EF112D" w:rsidP="00EF112D">
      <w:pPr>
        <w:pStyle w:val="Textebrut"/>
      </w:pPr>
    </w:p>
    <w:p w:rsidR="000E45A1" w:rsidRDefault="000E45A1" w:rsidP="000E45A1">
      <w:pPr>
        <w:pStyle w:val="Textebrut"/>
      </w:pPr>
      <w:r>
        <w:t>Digoxine Nativelle 0,25 mg, comprimé – [digoxine] – Remise à disposition à partir du 21/06/2024 (ANSM, 25/06/2024)</w:t>
      </w:r>
    </w:p>
    <w:p w:rsidR="000E45A1" w:rsidRDefault="002B5D87" w:rsidP="000E45A1">
      <w:pPr>
        <w:pStyle w:val="Textebrut"/>
      </w:pPr>
      <w:hyperlink r:id="rId191" w:history="1">
        <w:r w:rsidR="000E45A1" w:rsidRPr="00CF2CE3">
          <w:rPr>
            <w:rStyle w:val="Lienhypertexte"/>
          </w:rPr>
          <w:t>https://ansm.sante.fr/disponibilites-des-produits-de-sante/medicaments/digoxine-nativelle-0-25-mg-comprime-digoxine</w:t>
        </w:r>
      </w:hyperlink>
    </w:p>
    <w:p w:rsidR="000E45A1" w:rsidRDefault="000E45A1" w:rsidP="000E45A1">
      <w:pPr>
        <w:pStyle w:val="Textebrut"/>
      </w:pPr>
    </w:p>
    <w:p w:rsidR="002F241F" w:rsidRDefault="002F241F" w:rsidP="002F241F">
      <w:pPr>
        <w:pStyle w:val="Textebrut"/>
      </w:pPr>
      <w:r>
        <w:t>Héparine calcique Panpharma 25 000 UI/mL, solution injectable en seringue pré-remplie (S.C.) de 0,2 mL – [héparine calcique] – Remise à disposition à partir du 14/05/2024 (ANSM, 25/06/2024)</w:t>
      </w:r>
    </w:p>
    <w:p w:rsidR="000E45A1" w:rsidRDefault="002B5D87" w:rsidP="002F241F">
      <w:pPr>
        <w:pStyle w:val="Textebrut"/>
      </w:pPr>
      <w:hyperlink r:id="rId192" w:history="1">
        <w:r w:rsidR="002F241F" w:rsidRPr="00CF2CE3">
          <w:rPr>
            <w:rStyle w:val="Lienhypertexte"/>
          </w:rPr>
          <w:t>https://ansm.sante.fr/disponibilites-des-produits-de-sante/medicaments/heparine-calcique-panpharma-25-000-ui-ml-solution-injectable-en-seringue-pre-remplie-s-c-de-0-2-ml-heparine-calcique</w:t>
        </w:r>
      </w:hyperlink>
    </w:p>
    <w:p w:rsidR="002F241F" w:rsidRDefault="002F241F" w:rsidP="002F241F">
      <w:pPr>
        <w:pStyle w:val="Textebrut"/>
      </w:pPr>
    </w:p>
    <w:p w:rsidR="002F241F" w:rsidRDefault="002F241F" w:rsidP="002F241F">
      <w:pPr>
        <w:pStyle w:val="Textebrut"/>
      </w:pPr>
      <w:r>
        <w:t>Zostavax, poudre et solvant pour suspension injectable en seringue préremplie – [Vaccin zona (vivant atténué)] – Arrêt de commercialisation à partir du 30/06/2024 (ANSM, 25/06/2024).</w:t>
      </w:r>
    </w:p>
    <w:p w:rsidR="002F241F" w:rsidRDefault="002F241F" w:rsidP="002F241F">
      <w:pPr>
        <w:pStyle w:val="Textebrut"/>
      </w:pPr>
      <w:r>
        <w:t>Mise à disposition exceptionnelle et transitoire d’unités de la spécialité Zostavax polvere e solvente per sospensione iniettabile in siringa preiempita destinées initialement au marché italien. Lettre d’information du laboratoire MSD France en date du 17 mai 2024 destinée aux professionnels de santé (25/06/2024). La spécialité Zostavax, poudre et solvant pour suspension injectable en seringue préremplie est en arrêt de commercialisation qui interviendra au cours du mois de juin 2024</w:t>
      </w:r>
    </w:p>
    <w:p w:rsidR="002F241F" w:rsidRDefault="002B5D87" w:rsidP="002F241F">
      <w:pPr>
        <w:pStyle w:val="Textebrut"/>
      </w:pPr>
      <w:hyperlink r:id="rId193" w:history="1">
        <w:r w:rsidR="002F241F" w:rsidRPr="00CF2CE3">
          <w:rPr>
            <w:rStyle w:val="Lienhypertexte"/>
          </w:rPr>
          <w:t>https://ansm.sante.fr/disponibilites-des-produits-de-sante/vaccins/zostavax-poudre-et-solvant-pour-suspension-injectable-en-seringue-preremplie-vaccin-zona-vivant-attenue</w:t>
        </w:r>
      </w:hyperlink>
    </w:p>
    <w:p w:rsidR="002F241F" w:rsidRDefault="002F241F" w:rsidP="002F241F">
      <w:pPr>
        <w:pStyle w:val="Textebrut"/>
      </w:pPr>
    </w:p>
    <w:p w:rsidR="00A12B5A" w:rsidRDefault="00A12B5A" w:rsidP="00A12B5A">
      <w:pPr>
        <w:pStyle w:val="Textebrut"/>
      </w:pPr>
      <w:r>
        <w:t>Concerta LP, comprimé à libération prolongée – [méthylphénidate (chlorhydrate de)] – Rupture de stock depuis le 09/06/2024 (ANSM, actualisation du 27/06/2024).</w:t>
      </w:r>
    </w:p>
    <w:p w:rsidR="00A12B5A" w:rsidRDefault="00A12B5A" w:rsidP="00A12B5A">
      <w:pPr>
        <w:pStyle w:val="Textebrut"/>
      </w:pPr>
      <w:r>
        <w:t>Rupture de stock des spécialités :  Concerta LP 18 mg, comprimé à libération prolongée et Concerta LP 54 mg, comprimé à libération prolongée. Distribution contingentée en ville de la spécialité Concerta LP 36 mg, comprimé à libération prolongée. Remise à disposition normale indéterminée. Consultez les recommandations pour les pharmacien</w:t>
      </w:r>
    </w:p>
    <w:p w:rsidR="00A12B5A" w:rsidRDefault="002B5D87" w:rsidP="00A12B5A">
      <w:pPr>
        <w:pStyle w:val="Textebrut"/>
      </w:pPr>
      <w:hyperlink r:id="rId194" w:history="1">
        <w:r w:rsidR="00A12B5A" w:rsidRPr="00E5642A">
          <w:rPr>
            <w:rStyle w:val="Lienhypertexte"/>
          </w:rPr>
          <w:t>https://ansm.sante.fr/disponibilites-des-produits-de-sante/medicaments/concerta-lp-comprime-a-liberation-prolongee-methylphenidate-chlorhydrate-de</w:t>
        </w:r>
      </w:hyperlink>
    </w:p>
    <w:p w:rsidR="00A12B5A" w:rsidRDefault="00A12B5A" w:rsidP="00A12B5A">
      <w:pPr>
        <w:pStyle w:val="Textebrut"/>
      </w:pPr>
    </w:p>
    <w:p w:rsidR="002B5D87" w:rsidRDefault="002B5D87" w:rsidP="002B5D87">
      <w:pPr>
        <w:pStyle w:val="Textebrut"/>
      </w:pPr>
      <w:r>
        <w:t>Héparine calcique Panpharma 25 000 UI/mL, solution injectable en seringue pré-remplie (S.C.) de 0,2 mL – [héparine calcique] – Rupture de stock depuis le 22/04/2024 (ANSM, actualisation du 27/06/2024).</w:t>
      </w:r>
    </w:p>
    <w:p w:rsidR="002B5D87" w:rsidRDefault="002B5D87" w:rsidP="002B5D87">
      <w:pPr>
        <w:pStyle w:val="Textebrut"/>
      </w:pPr>
      <w:r>
        <w:t>Rupture de stock. D’autres laboratoires disposent d’unités équivalentes en seringues préremplies de 0,2 mL et chez Panpharma, le report sur la présentation 0,3 mL est possible</w:t>
      </w:r>
    </w:p>
    <w:p w:rsidR="002B5D87" w:rsidRDefault="002B5D87" w:rsidP="002B5D87">
      <w:pPr>
        <w:pStyle w:val="Textebrut"/>
      </w:pPr>
      <w:hyperlink r:id="rId195" w:history="1">
        <w:r w:rsidRPr="009347AA">
          <w:rPr>
            <w:rStyle w:val="Lienhypertexte"/>
          </w:rPr>
          <w:t>https://ansm.sante.fr/disponibilites-des-produits-de-sante/medicaments/heparine-calcique-panpharma-25-000-ui-ml-solution-injectable-en-seringue-pre-remplie-s-c-de-0-2-ml-heparine-calcique</w:t>
        </w:r>
      </w:hyperlink>
    </w:p>
    <w:p w:rsidR="002B5D87" w:rsidRDefault="002B5D87" w:rsidP="002B5D87">
      <w:pPr>
        <w:pStyle w:val="Textebrut"/>
      </w:pPr>
    </w:p>
    <w:p w:rsidR="002B5D87" w:rsidRDefault="002B5D87" w:rsidP="002B5D87">
      <w:pPr>
        <w:pStyle w:val="Textebrut"/>
      </w:pPr>
      <w:r>
        <w:t>Héparine Sodique Panpharma 5000 UI/ml, en flacon de 5mL solution injectable – [Héparine sodique] – Remise à disposition à partir du 14/05/2024 (ANSM, 27/06/2024)</w:t>
      </w:r>
    </w:p>
    <w:p w:rsidR="002B5D87" w:rsidRDefault="002B5D87" w:rsidP="002B5D87">
      <w:pPr>
        <w:pStyle w:val="Textebrut"/>
      </w:pPr>
      <w:hyperlink r:id="rId196" w:history="1">
        <w:r w:rsidRPr="009347AA">
          <w:rPr>
            <w:rStyle w:val="Lienhypertexte"/>
          </w:rPr>
          <w:t>https://ansm.sante.fr/disponibilites-des-produits-de-sante/medicaments/heparine-sodique-panpharma-5000-ui-ml-en-flacon-de-5ml-solution-injectable-heparine-sodique</w:t>
        </w:r>
      </w:hyperlink>
    </w:p>
    <w:p w:rsidR="002B5D87" w:rsidRDefault="002B5D87" w:rsidP="002B5D87">
      <w:pPr>
        <w:pStyle w:val="Textebrut"/>
      </w:pPr>
    </w:p>
    <w:p w:rsidR="002B5D87" w:rsidRDefault="002B5D87" w:rsidP="002B5D87">
      <w:pPr>
        <w:pStyle w:val="Textebrut"/>
      </w:pPr>
      <w:r>
        <w:t>Métronidazole 250 mg et 500 mg, comprimé pelliculé – [métronidazole] – Remise à disposition à partir du 27/06/2024 (ANSM, 27/06/2024)</w:t>
      </w:r>
    </w:p>
    <w:p w:rsidR="002B5D87" w:rsidRDefault="002B5D87" w:rsidP="002B5D87">
      <w:pPr>
        <w:pStyle w:val="Textebrut"/>
      </w:pPr>
      <w:hyperlink r:id="rId197" w:history="1">
        <w:r w:rsidRPr="009347AA">
          <w:rPr>
            <w:rStyle w:val="Lienhypertexte"/>
          </w:rPr>
          <w:t>https://ansm.sante.fr/disponibilites-des-produits-de-sante/medicaments/metronidazole-250-mg-et-500-mg-comprime-pellicule-metronidazole</w:t>
        </w:r>
      </w:hyperlink>
    </w:p>
    <w:p w:rsidR="002B5D87" w:rsidRDefault="002B5D87" w:rsidP="002B5D87">
      <w:pPr>
        <w:pStyle w:val="Textebrut"/>
      </w:pPr>
    </w:p>
    <w:sectPr w:rsidR="002B5D87" w:rsidSect="004568FE">
      <w:headerReference w:type="even" r:id="rId198"/>
      <w:headerReference w:type="default" r:id="rId199"/>
      <w:footerReference w:type="even" r:id="rId200"/>
      <w:footerReference w:type="default" r:id="rId201"/>
      <w:headerReference w:type="first" r:id="rId202"/>
      <w:footerReference w:type="first" r:id="rId203"/>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5D87" w:rsidRDefault="002B5D87">
      <w:r>
        <w:separator/>
      </w:r>
    </w:p>
  </w:endnote>
  <w:endnote w:type="continuationSeparator" w:id="0">
    <w:p w:rsidR="002B5D87" w:rsidRDefault="002B5D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5D87" w:rsidRDefault="002B5D87">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5D87" w:rsidRDefault="002B5D87">
    <w:pPr>
      <w:pStyle w:val="Pieddepage"/>
    </w:pPr>
  </w:p>
  <w:p w:rsidR="002B5D87" w:rsidRDefault="002B5D87">
    <w:pPr>
      <w:pStyle w:val="Pieddepage"/>
    </w:pPr>
    <w:r>
      <w:t xml:space="preserve">Contact : </w:t>
    </w:r>
    <w:hyperlink r:id="rId1" w:history="1">
      <w:r w:rsidRPr="009D2627">
        <w:rPr>
          <w:rStyle w:val="Lienhypertexte"/>
        </w:rPr>
        <w:t>ars-bfc-peps@ars.sante.fr</w:t>
      </w:r>
    </w:hyperlink>
  </w:p>
  <w:p w:rsidR="002B5D87" w:rsidRDefault="002B5D87">
    <w:pPr>
      <w:pStyle w:val="Pieddepage"/>
    </w:pPr>
  </w:p>
  <w:p w:rsidR="002B5D87" w:rsidRPr="000A2FC6" w:rsidRDefault="002B5D87"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5D87" w:rsidRDefault="002B5D8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5D87" w:rsidRDefault="002B5D87">
      <w:r>
        <w:separator/>
      </w:r>
    </w:p>
  </w:footnote>
  <w:footnote w:type="continuationSeparator" w:id="0">
    <w:p w:rsidR="002B5D87" w:rsidRDefault="002B5D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5D87" w:rsidRDefault="002B5D87">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5D87" w:rsidRDefault="002B5D87">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5D87" w:rsidRDefault="002B5D87">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4" w15:restartNumberingAfterBreak="0">
    <w:nsid w:val="15911B76"/>
    <w:multiLevelType w:val="multilevel"/>
    <w:tmpl w:val="73562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8"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4"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0CB1D23"/>
    <w:multiLevelType w:val="hybridMultilevel"/>
    <w:tmpl w:val="DC92481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18"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9"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3" w15:restartNumberingAfterBreak="0">
    <w:nsid w:val="781811F8"/>
    <w:multiLevelType w:val="hybridMultilevel"/>
    <w:tmpl w:val="2EA27C1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7"/>
  </w:num>
  <w:num w:numId="2">
    <w:abstractNumId w:val="7"/>
  </w:num>
  <w:num w:numId="3">
    <w:abstractNumId w:val="0"/>
  </w:num>
  <w:num w:numId="4">
    <w:abstractNumId w:val="1"/>
  </w:num>
  <w:num w:numId="5">
    <w:abstractNumId w:val="13"/>
  </w:num>
  <w:num w:numId="6">
    <w:abstractNumId w:val="16"/>
  </w:num>
  <w:num w:numId="7">
    <w:abstractNumId w:val="3"/>
  </w:num>
  <w:num w:numId="8">
    <w:abstractNumId w:val="12"/>
  </w:num>
  <w:num w:numId="9">
    <w:abstractNumId w:val="2"/>
  </w:num>
  <w:num w:numId="10">
    <w:abstractNumId w:val="19"/>
  </w:num>
  <w:num w:numId="11">
    <w:abstractNumId w:val="8"/>
  </w:num>
  <w:num w:numId="12">
    <w:abstractNumId w:val="5"/>
  </w:num>
  <w:num w:numId="13">
    <w:abstractNumId w:val="22"/>
  </w:num>
  <w:num w:numId="14">
    <w:abstractNumId w:val="18"/>
  </w:num>
  <w:num w:numId="15">
    <w:abstractNumId w:val="24"/>
  </w:num>
  <w:num w:numId="16">
    <w:abstractNumId w:val="21"/>
  </w:num>
  <w:num w:numId="17">
    <w:abstractNumId w:val="20"/>
  </w:num>
  <w:num w:numId="18">
    <w:abstractNumId w:val="6"/>
  </w:num>
  <w:num w:numId="19">
    <w:abstractNumId w:val="11"/>
  </w:num>
  <w:num w:numId="20">
    <w:abstractNumId w:val="9"/>
  </w:num>
  <w:num w:numId="21">
    <w:abstractNumId w:val="10"/>
  </w:num>
  <w:num w:numId="22">
    <w:abstractNumId w:val="14"/>
  </w:num>
  <w:num w:numId="23">
    <w:abstractNumId w:val="25"/>
  </w:num>
  <w:num w:numId="24">
    <w:abstractNumId w:val="23"/>
  </w:num>
  <w:num w:numId="25">
    <w:abstractNumId w:val="15"/>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60E1"/>
    <w:rsid w:val="0000124D"/>
    <w:rsid w:val="00003243"/>
    <w:rsid w:val="000041FF"/>
    <w:rsid w:val="000100AD"/>
    <w:rsid w:val="000109A8"/>
    <w:rsid w:val="000109BE"/>
    <w:rsid w:val="00010FF1"/>
    <w:rsid w:val="0001329F"/>
    <w:rsid w:val="00016D9E"/>
    <w:rsid w:val="00021831"/>
    <w:rsid w:val="00021E7F"/>
    <w:rsid w:val="0002236E"/>
    <w:rsid w:val="000229A5"/>
    <w:rsid w:val="000229F1"/>
    <w:rsid w:val="000249BA"/>
    <w:rsid w:val="00025904"/>
    <w:rsid w:val="00025E10"/>
    <w:rsid w:val="00026AE2"/>
    <w:rsid w:val="00026E7D"/>
    <w:rsid w:val="00027897"/>
    <w:rsid w:val="00030833"/>
    <w:rsid w:val="00032E56"/>
    <w:rsid w:val="00033D82"/>
    <w:rsid w:val="00033F3D"/>
    <w:rsid w:val="00034346"/>
    <w:rsid w:val="000349FF"/>
    <w:rsid w:val="000354FF"/>
    <w:rsid w:val="00035A9A"/>
    <w:rsid w:val="00036C93"/>
    <w:rsid w:val="00044905"/>
    <w:rsid w:val="00045122"/>
    <w:rsid w:val="000468D6"/>
    <w:rsid w:val="00046D24"/>
    <w:rsid w:val="000474C3"/>
    <w:rsid w:val="00047BE1"/>
    <w:rsid w:val="00047CE5"/>
    <w:rsid w:val="0005013A"/>
    <w:rsid w:val="00051965"/>
    <w:rsid w:val="00051C3F"/>
    <w:rsid w:val="00052663"/>
    <w:rsid w:val="00052F60"/>
    <w:rsid w:val="00052FC0"/>
    <w:rsid w:val="00053858"/>
    <w:rsid w:val="0005411B"/>
    <w:rsid w:val="00055320"/>
    <w:rsid w:val="00055A22"/>
    <w:rsid w:val="00056C53"/>
    <w:rsid w:val="00057490"/>
    <w:rsid w:val="000620C4"/>
    <w:rsid w:val="000624DA"/>
    <w:rsid w:val="0006252A"/>
    <w:rsid w:val="0006276C"/>
    <w:rsid w:val="00063C43"/>
    <w:rsid w:val="00063E22"/>
    <w:rsid w:val="00063E91"/>
    <w:rsid w:val="00064D7B"/>
    <w:rsid w:val="000651AA"/>
    <w:rsid w:val="00066054"/>
    <w:rsid w:val="000660F2"/>
    <w:rsid w:val="0007085F"/>
    <w:rsid w:val="000708BD"/>
    <w:rsid w:val="00070DE1"/>
    <w:rsid w:val="00070F5F"/>
    <w:rsid w:val="00071943"/>
    <w:rsid w:val="00071E4C"/>
    <w:rsid w:val="000727B9"/>
    <w:rsid w:val="00072D49"/>
    <w:rsid w:val="00073344"/>
    <w:rsid w:val="0007377D"/>
    <w:rsid w:val="0008347C"/>
    <w:rsid w:val="00083886"/>
    <w:rsid w:val="000845FF"/>
    <w:rsid w:val="00085059"/>
    <w:rsid w:val="00085772"/>
    <w:rsid w:val="0008620E"/>
    <w:rsid w:val="0009060E"/>
    <w:rsid w:val="0009110B"/>
    <w:rsid w:val="00091989"/>
    <w:rsid w:val="00091AAB"/>
    <w:rsid w:val="00093E65"/>
    <w:rsid w:val="0009442E"/>
    <w:rsid w:val="00095B4D"/>
    <w:rsid w:val="00095DE4"/>
    <w:rsid w:val="00096208"/>
    <w:rsid w:val="000966C5"/>
    <w:rsid w:val="000A0A8E"/>
    <w:rsid w:val="000A1301"/>
    <w:rsid w:val="000A1E6A"/>
    <w:rsid w:val="000A2146"/>
    <w:rsid w:val="000A2796"/>
    <w:rsid w:val="000A29AB"/>
    <w:rsid w:val="000A2FC6"/>
    <w:rsid w:val="000A3795"/>
    <w:rsid w:val="000A4AE9"/>
    <w:rsid w:val="000A4B11"/>
    <w:rsid w:val="000A732D"/>
    <w:rsid w:val="000A774C"/>
    <w:rsid w:val="000A7DEF"/>
    <w:rsid w:val="000A7F92"/>
    <w:rsid w:val="000B139A"/>
    <w:rsid w:val="000B19AA"/>
    <w:rsid w:val="000B19CF"/>
    <w:rsid w:val="000B39A2"/>
    <w:rsid w:val="000B4A08"/>
    <w:rsid w:val="000B6D06"/>
    <w:rsid w:val="000C1264"/>
    <w:rsid w:val="000C1633"/>
    <w:rsid w:val="000C26FB"/>
    <w:rsid w:val="000C2A3C"/>
    <w:rsid w:val="000C4685"/>
    <w:rsid w:val="000C5402"/>
    <w:rsid w:val="000D1283"/>
    <w:rsid w:val="000D1AAE"/>
    <w:rsid w:val="000D1B53"/>
    <w:rsid w:val="000D1C93"/>
    <w:rsid w:val="000D2843"/>
    <w:rsid w:val="000D77FC"/>
    <w:rsid w:val="000E003E"/>
    <w:rsid w:val="000E091A"/>
    <w:rsid w:val="000E1029"/>
    <w:rsid w:val="000E1FB8"/>
    <w:rsid w:val="000E29F2"/>
    <w:rsid w:val="000E3AF0"/>
    <w:rsid w:val="000E3C77"/>
    <w:rsid w:val="000E4358"/>
    <w:rsid w:val="000E45A1"/>
    <w:rsid w:val="000E49BA"/>
    <w:rsid w:val="000E52DE"/>
    <w:rsid w:val="000E5ECC"/>
    <w:rsid w:val="000E66AC"/>
    <w:rsid w:val="000E77EE"/>
    <w:rsid w:val="000F0F48"/>
    <w:rsid w:val="000F0F8D"/>
    <w:rsid w:val="000F12BF"/>
    <w:rsid w:val="000F145C"/>
    <w:rsid w:val="000F17D1"/>
    <w:rsid w:val="000F23A5"/>
    <w:rsid w:val="000F2634"/>
    <w:rsid w:val="000F6083"/>
    <w:rsid w:val="000F72CA"/>
    <w:rsid w:val="000F7BAB"/>
    <w:rsid w:val="00100315"/>
    <w:rsid w:val="001006A6"/>
    <w:rsid w:val="00101BE3"/>
    <w:rsid w:val="001020D4"/>
    <w:rsid w:val="0010227F"/>
    <w:rsid w:val="0010256F"/>
    <w:rsid w:val="00102DE2"/>
    <w:rsid w:val="00103090"/>
    <w:rsid w:val="001031F4"/>
    <w:rsid w:val="00103237"/>
    <w:rsid w:val="00103D17"/>
    <w:rsid w:val="00104B6A"/>
    <w:rsid w:val="0010580E"/>
    <w:rsid w:val="0010711F"/>
    <w:rsid w:val="00107ABA"/>
    <w:rsid w:val="00107AFE"/>
    <w:rsid w:val="00111F2F"/>
    <w:rsid w:val="001124EF"/>
    <w:rsid w:val="00113CA0"/>
    <w:rsid w:val="00114E75"/>
    <w:rsid w:val="00116275"/>
    <w:rsid w:val="0011669C"/>
    <w:rsid w:val="0011781D"/>
    <w:rsid w:val="00117BB3"/>
    <w:rsid w:val="00117DAA"/>
    <w:rsid w:val="0012012F"/>
    <w:rsid w:val="00122229"/>
    <w:rsid w:val="001227EE"/>
    <w:rsid w:val="00123F25"/>
    <w:rsid w:val="001255E4"/>
    <w:rsid w:val="001259C3"/>
    <w:rsid w:val="00126647"/>
    <w:rsid w:val="00127D8C"/>
    <w:rsid w:val="00127F33"/>
    <w:rsid w:val="001313D8"/>
    <w:rsid w:val="00131476"/>
    <w:rsid w:val="0013232E"/>
    <w:rsid w:val="00133883"/>
    <w:rsid w:val="001355D7"/>
    <w:rsid w:val="00136108"/>
    <w:rsid w:val="00137E96"/>
    <w:rsid w:val="00140E13"/>
    <w:rsid w:val="00147846"/>
    <w:rsid w:val="00150170"/>
    <w:rsid w:val="00151590"/>
    <w:rsid w:val="00151EB5"/>
    <w:rsid w:val="00152A7F"/>
    <w:rsid w:val="001538BD"/>
    <w:rsid w:val="00154883"/>
    <w:rsid w:val="001555D0"/>
    <w:rsid w:val="0015590C"/>
    <w:rsid w:val="00157226"/>
    <w:rsid w:val="00160142"/>
    <w:rsid w:val="00160DCE"/>
    <w:rsid w:val="00160F02"/>
    <w:rsid w:val="00161EAF"/>
    <w:rsid w:val="00162E9F"/>
    <w:rsid w:val="00163E57"/>
    <w:rsid w:val="00163FBC"/>
    <w:rsid w:val="0016587E"/>
    <w:rsid w:val="00165BD5"/>
    <w:rsid w:val="00165F97"/>
    <w:rsid w:val="00167231"/>
    <w:rsid w:val="00170042"/>
    <w:rsid w:val="001715A5"/>
    <w:rsid w:val="00171EC6"/>
    <w:rsid w:val="0017429E"/>
    <w:rsid w:val="0017619F"/>
    <w:rsid w:val="00176C88"/>
    <w:rsid w:val="00176DB8"/>
    <w:rsid w:val="001775CF"/>
    <w:rsid w:val="00177678"/>
    <w:rsid w:val="00180C7C"/>
    <w:rsid w:val="00180D0B"/>
    <w:rsid w:val="00180EC2"/>
    <w:rsid w:val="001828BF"/>
    <w:rsid w:val="00183C3B"/>
    <w:rsid w:val="00184223"/>
    <w:rsid w:val="00184852"/>
    <w:rsid w:val="00191201"/>
    <w:rsid w:val="00193286"/>
    <w:rsid w:val="00193A66"/>
    <w:rsid w:val="00193C1F"/>
    <w:rsid w:val="001940DE"/>
    <w:rsid w:val="00194404"/>
    <w:rsid w:val="001956CE"/>
    <w:rsid w:val="00195AA6"/>
    <w:rsid w:val="001969EA"/>
    <w:rsid w:val="00197CFC"/>
    <w:rsid w:val="001A2213"/>
    <w:rsid w:val="001A5670"/>
    <w:rsid w:val="001B000B"/>
    <w:rsid w:val="001B039C"/>
    <w:rsid w:val="001B2FBB"/>
    <w:rsid w:val="001B39CB"/>
    <w:rsid w:val="001B3F35"/>
    <w:rsid w:val="001B5625"/>
    <w:rsid w:val="001B5903"/>
    <w:rsid w:val="001B5CF6"/>
    <w:rsid w:val="001B5FAB"/>
    <w:rsid w:val="001B69E3"/>
    <w:rsid w:val="001C022D"/>
    <w:rsid w:val="001C024A"/>
    <w:rsid w:val="001C0BC0"/>
    <w:rsid w:val="001C1B2F"/>
    <w:rsid w:val="001C1D20"/>
    <w:rsid w:val="001C39FF"/>
    <w:rsid w:val="001C4563"/>
    <w:rsid w:val="001C4D95"/>
    <w:rsid w:val="001C4EB8"/>
    <w:rsid w:val="001C52CB"/>
    <w:rsid w:val="001C7742"/>
    <w:rsid w:val="001D10BF"/>
    <w:rsid w:val="001D17B3"/>
    <w:rsid w:val="001D17BC"/>
    <w:rsid w:val="001D69E7"/>
    <w:rsid w:val="001D7996"/>
    <w:rsid w:val="001E123F"/>
    <w:rsid w:val="001E25E0"/>
    <w:rsid w:val="001E45D7"/>
    <w:rsid w:val="001E68AC"/>
    <w:rsid w:val="001E75EF"/>
    <w:rsid w:val="001E7D1B"/>
    <w:rsid w:val="001F0206"/>
    <w:rsid w:val="001F12B1"/>
    <w:rsid w:val="001F18E1"/>
    <w:rsid w:val="001F2484"/>
    <w:rsid w:val="001F2C29"/>
    <w:rsid w:val="001F535A"/>
    <w:rsid w:val="001F564F"/>
    <w:rsid w:val="001F5B9B"/>
    <w:rsid w:val="001F6248"/>
    <w:rsid w:val="001F66B2"/>
    <w:rsid w:val="001F7694"/>
    <w:rsid w:val="0020050C"/>
    <w:rsid w:val="0020070B"/>
    <w:rsid w:val="00200A3C"/>
    <w:rsid w:val="00200D08"/>
    <w:rsid w:val="00201104"/>
    <w:rsid w:val="002053C0"/>
    <w:rsid w:val="00206BA0"/>
    <w:rsid w:val="00207094"/>
    <w:rsid w:val="00207D4F"/>
    <w:rsid w:val="00210253"/>
    <w:rsid w:val="002116B6"/>
    <w:rsid w:val="00213F84"/>
    <w:rsid w:val="00214BA9"/>
    <w:rsid w:val="00216B65"/>
    <w:rsid w:val="00217095"/>
    <w:rsid w:val="00222D50"/>
    <w:rsid w:val="00223320"/>
    <w:rsid w:val="00224C6E"/>
    <w:rsid w:val="00226826"/>
    <w:rsid w:val="0022726E"/>
    <w:rsid w:val="00231A00"/>
    <w:rsid w:val="00231B3F"/>
    <w:rsid w:val="00232266"/>
    <w:rsid w:val="002329F6"/>
    <w:rsid w:val="00233A04"/>
    <w:rsid w:val="002346B5"/>
    <w:rsid w:val="0023513D"/>
    <w:rsid w:val="002367F1"/>
    <w:rsid w:val="002369DC"/>
    <w:rsid w:val="00237807"/>
    <w:rsid w:val="00240343"/>
    <w:rsid w:val="00240493"/>
    <w:rsid w:val="0024108D"/>
    <w:rsid w:val="0024121E"/>
    <w:rsid w:val="00242507"/>
    <w:rsid w:val="00243110"/>
    <w:rsid w:val="002433FE"/>
    <w:rsid w:val="002436A8"/>
    <w:rsid w:val="00243B8C"/>
    <w:rsid w:val="002445D4"/>
    <w:rsid w:val="00245420"/>
    <w:rsid w:val="002454B1"/>
    <w:rsid w:val="00245BB4"/>
    <w:rsid w:val="00245D31"/>
    <w:rsid w:val="00245EA3"/>
    <w:rsid w:val="0024649D"/>
    <w:rsid w:val="00246620"/>
    <w:rsid w:val="00250A93"/>
    <w:rsid w:val="00250AFA"/>
    <w:rsid w:val="00251FC3"/>
    <w:rsid w:val="002520A6"/>
    <w:rsid w:val="002520FC"/>
    <w:rsid w:val="00253FE8"/>
    <w:rsid w:val="0025634B"/>
    <w:rsid w:val="00257312"/>
    <w:rsid w:val="00260250"/>
    <w:rsid w:val="00260678"/>
    <w:rsid w:val="002609D5"/>
    <w:rsid w:val="002610A8"/>
    <w:rsid w:val="00262145"/>
    <w:rsid w:val="002623F7"/>
    <w:rsid w:val="002624CC"/>
    <w:rsid w:val="0026331A"/>
    <w:rsid w:val="00263E21"/>
    <w:rsid w:val="002640BD"/>
    <w:rsid w:val="002655EF"/>
    <w:rsid w:val="00265C85"/>
    <w:rsid w:val="00266A7A"/>
    <w:rsid w:val="002712B6"/>
    <w:rsid w:val="0027230B"/>
    <w:rsid w:val="00272C95"/>
    <w:rsid w:val="00274B89"/>
    <w:rsid w:val="002750B9"/>
    <w:rsid w:val="00281D23"/>
    <w:rsid w:val="00281ED9"/>
    <w:rsid w:val="00281F56"/>
    <w:rsid w:val="002823AE"/>
    <w:rsid w:val="002823F2"/>
    <w:rsid w:val="0028255C"/>
    <w:rsid w:val="00284306"/>
    <w:rsid w:val="002845D0"/>
    <w:rsid w:val="002849CE"/>
    <w:rsid w:val="0028547A"/>
    <w:rsid w:val="00285602"/>
    <w:rsid w:val="00285D84"/>
    <w:rsid w:val="0028625A"/>
    <w:rsid w:val="002865E4"/>
    <w:rsid w:val="00286AC8"/>
    <w:rsid w:val="002901C4"/>
    <w:rsid w:val="0029039F"/>
    <w:rsid w:val="00291247"/>
    <w:rsid w:val="00293321"/>
    <w:rsid w:val="00294049"/>
    <w:rsid w:val="002948EF"/>
    <w:rsid w:val="0029656F"/>
    <w:rsid w:val="00296A25"/>
    <w:rsid w:val="002A14A9"/>
    <w:rsid w:val="002A1906"/>
    <w:rsid w:val="002A1A06"/>
    <w:rsid w:val="002A38BF"/>
    <w:rsid w:val="002A47A5"/>
    <w:rsid w:val="002A4AB2"/>
    <w:rsid w:val="002A4AE5"/>
    <w:rsid w:val="002A5F84"/>
    <w:rsid w:val="002A6021"/>
    <w:rsid w:val="002A6762"/>
    <w:rsid w:val="002A6A59"/>
    <w:rsid w:val="002A6A75"/>
    <w:rsid w:val="002A750A"/>
    <w:rsid w:val="002A7858"/>
    <w:rsid w:val="002B0638"/>
    <w:rsid w:val="002B0A42"/>
    <w:rsid w:val="002B204C"/>
    <w:rsid w:val="002B2304"/>
    <w:rsid w:val="002B38DD"/>
    <w:rsid w:val="002B5D87"/>
    <w:rsid w:val="002B6496"/>
    <w:rsid w:val="002B6B38"/>
    <w:rsid w:val="002B6BD2"/>
    <w:rsid w:val="002B6DE2"/>
    <w:rsid w:val="002B7127"/>
    <w:rsid w:val="002B7292"/>
    <w:rsid w:val="002B7941"/>
    <w:rsid w:val="002C03AD"/>
    <w:rsid w:val="002C2134"/>
    <w:rsid w:val="002C25CE"/>
    <w:rsid w:val="002C3E26"/>
    <w:rsid w:val="002C4354"/>
    <w:rsid w:val="002C459B"/>
    <w:rsid w:val="002C521C"/>
    <w:rsid w:val="002C5D06"/>
    <w:rsid w:val="002C5DAD"/>
    <w:rsid w:val="002C5FBD"/>
    <w:rsid w:val="002C769C"/>
    <w:rsid w:val="002C76A1"/>
    <w:rsid w:val="002D02D1"/>
    <w:rsid w:val="002D05EC"/>
    <w:rsid w:val="002D06BE"/>
    <w:rsid w:val="002D0BA2"/>
    <w:rsid w:val="002D173A"/>
    <w:rsid w:val="002D3570"/>
    <w:rsid w:val="002D3ADB"/>
    <w:rsid w:val="002D3D50"/>
    <w:rsid w:val="002D3FA8"/>
    <w:rsid w:val="002D5A0E"/>
    <w:rsid w:val="002D5A7F"/>
    <w:rsid w:val="002D6B97"/>
    <w:rsid w:val="002D6C94"/>
    <w:rsid w:val="002E3075"/>
    <w:rsid w:val="002E4021"/>
    <w:rsid w:val="002E5370"/>
    <w:rsid w:val="002E6031"/>
    <w:rsid w:val="002E66F1"/>
    <w:rsid w:val="002E7065"/>
    <w:rsid w:val="002F0ECB"/>
    <w:rsid w:val="002F1EED"/>
    <w:rsid w:val="002F241F"/>
    <w:rsid w:val="002F3D2D"/>
    <w:rsid w:val="002F5590"/>
    <w:rsid w:val="002F5FA4"/>
    <w:rsid w:val="002F68E7"/>
    <w:rsid w:val="00301108"/>
    <w:rsid w:val="00301448"/>
    <w:rsid w:val="00304E06"/>
    <w:rsid w:val="00305CB2"/>
    <w:rsid w:val="00306396"/>
    <w:rsid w:val="00307FD2"/>
    <w:rsid w:val="0031111D"/>
    <w:rsid w:val="00314AB7"/>
    <w:rsid w:val="00314B33"/>
    <w:rsid w:val="00315F8A"/>
    <w:rsid w:val="00317010"/>
    <w:rsid w:val="003179F9"/>
    <w:rsid w:val="00317A93"/>
    <w:rsid w:val="0032096E"/>
    <w:rsid w:val="00320FB9"/>
    <w:rsid w:val="0032104D"/>
    <w:rsid w:val="00321375"/>
    <w:rsid w:val="00321788"/>
    <w:rsid w:val="00325BA8"/>
    <w:rsid w:val="00326432"/>
    <w:rsid w:val="00326EF6"/>
    <w:rsid w:val="0032721A"/>
    <w:rsid w:val="003272D8"/>
    <w:rsid w:val="0032770E"/>
    <w:rsid w:val="003303B2"/>
    <w:rsid w:val="003304E8"/>
    <w:rsid w:val="003333BA"/>
    <w:rsid w:val="003338B5"/>
    <w:rsid w:val="00334826"/>
    <w:rsid w:val="003356ED"/>
    <w:rsid w:val="003358F4"/>
    <w:rsid w:val="003369DB"/>
    <w:rsid w:val="00337240"/>
    <w:rsid w:val="003372C8"/>
    <w:rsid w:val="003406D7"/>
    <w:rsid w:val="00340DD9"/>
    <w:rsid w:val="00342875"/>
    <w:rsid w:val="003440D9"/>
    <w:rsid w:val="003445B7"/>
    <w:rsid w:val="00344F1E"/>
    <w:rsid w:val="0034740E"/>
    <w:rsid w:val="003477E6"/>
    <w:rsid w:val="00347FEF"/>
    <w:rsid w:val="003512CD"/>
    <w:rsid w:val="0035168B"/>
    <w:rsid w:val="00351CA2"/>
    <w:rsid w:val="00351D35"/>
    <w:rsid w:val="003526B9"/>
    <w:rsid w:val="00352A3D"/>
    <w:rsid w:val="00352FE8"/>
    <w:rsid w:val="00353352"/>
    <w:rsid w:val="0035487B"/>
    <w:rsid w:val="0035519D"/>
    <w:rsid w:val="0035718E"/>
    <w:rsid w:val="00360CA7"/>
    <w:rsid w:val="00361AD6"/>
    <w:rsid w:val="00361D5A"/>
    <w:rsid w:val="00361E55"/>
    <w:rsid w:val="00361F32"/>
    <w:rsid w:val="00363798"/>
    <w:rsid w:val="003638B8"/>
    <w:rsid w:val="00365D1F"/>
    <w:rsid w:val="00366114"/>
    <w:rsid w:val="00366AAC"/>
    <w:rsid w:val="0037060A"/>
    <w:rsid w:val="00371597"/>
    <w:rsid w:val="0037198A"/>
    <w:rsid w:val="0037207C"/>
    <w:rsid w:val="0037307E"/>
    <w:rsid w:val="00373F04"/>
    <w:rsid w:val="0037417B"/>
    <w:rsid w:val="00374283"/>
    <w:rsid w:val="00374292"/>
    <w:rsid w:val="00376E64"/>
    <w:rsid w:val="00377BCC"/>
    <w:rsid w:val="003814AA"/>
    <w:rsid w:val="003817D0"/>
    <w:rsid w:val="00381E33"/>
    <w:rsid w:val="003822F6"/>
    <w:rsid w:val="003837AD"/>
    <w:rsid w:val="00383B30"/>
    <w:rsid w:val="0038449D"/>
    <w:rsid w:val="00384C4E"/>
    <w:rsid w:val="00384D5C"/>
    <w:rsid w:val="00385288"/>
    <w:rsid w:val="0038577D"/>
    <w:rsid w:val="00386BCC"/>
    <w:rsid w:val="003870A9"/>
    <w:rsid w:val="003871A3"/>
    <w:rsid w:val="00387589"/>
    <w:rsid w:val="0038768A"/>
    <w:rsid w:val="00390661"/>
    <w:rsid w:val="00392158"/>
    <w:rsid w:val="0039229E"/>
    <w:rsid w:val="00392CF5"/>
    <w:rsid w:val="003945A8"/>
    <w:rsid w:val="00394E9F"/>
    <w:rsid w:val="00395B8E"/>
    <w:rsid w:val="00395F25"/>
    <w:rsid w:val="00397419"/>
    <w:rsid w:val="003A029C"/>
    <w:rsid w:val="003A24E9"/>
    <w:rsid w:val="003A2B61"/>
    <w:rsid w:val="003A5856"/>
    <w:rsid w:val="003A6D39"/>
    <w:rsid w:val="003A7A16"/>
    <w:rsid w:val="003B0E9F"/>
    <w:rsid w:val="003B1403"/>
    <w:rsid w:val="003B1B0B"/>
    <w:rsid w:val="003B1E6B"/>
    <w:rsid w:val="003B22CA"/>
    <w:rsid w:val="003B2C47"/>
    <w:rsid w:val="003B367E"/>
    <w:rsid w:val="003B378B"/>
    <w:rsid w:val="003B48F4"/>
    <w:rsid w:val="003B629A"/>
    <w:rsid w:val="003B65C7"/>
    <w:rsid w:val="003B7766"/>
    <w:rsid w:val="003B7E31"/>
    <w:rsid w:val="003C0C89"/>
    <w:rsid w:val="003C11F6"/>
    <w:rsid w:val="003C24C0"/>
    <w:rsid w:val="003C3C5D"/>
    <w:rsid w:val="003C5679"/>
    <w:rsid w:val="003C7D38"/>
    <w:rsid w:val="003D0611"/>
    <w:rsid w:val="003D0624"/>
    <w:rsid w:val="003D0E62"/>
    <w:rsid w:val="003D225D"/>
    <w:rsid w:val="003D3E5C"/>
    <w:rsid w:val="003D70D5"/>
    <w:rsid w:val="003D7119"/>
    <w:rsid w:val="003E28FC"/>
    <w:rsid w:val="003E3826"/>
    <w:rsid w:val="003E3A44"/>
    <w:rsid w:val="003E69CF"/>
    <w:rsid w:val="003E7F72"/>
    <w:rsid w:val="003F024E"/>
    <w:rsid w:val="003F1C56"/>
    <w:rsid w:val="003F344A"/>
    <w:rsid w:val="003F37EA"/>
    <w:rsid w:val="003F41F6"/>
    <w:rsid w:val="003F4613"/>
    <w:rsid w:val="003F46CC"/>
    <w:rsid w:val="003F534F"/>
    <w:rsid w:val="003F7F3C"/>
    <w:rsid w:val="00402BA6"/>
    <w:rsid w:val="00404C93"/>
    <w:rsid w:val="0040534B"/>
    <w:rsid w:val="004053F0"/>
    <w:rsid w:val="00405958"/>
    <w:rsid w:val="00405E40"/>
    <w:rsid w:val="004062A1"/>
    <w:rsid w:val="00407434"/>
    <w:rsid w:val="00407566"/>
    <w:rsid w:val="00407643"/>
    <w:rsid w:val="00412566"/>
    <w:rsid w:val="00413477"/>
    <w:rsid w:val="00413A49"/>
    <w:rsid w:val="0041480F"/>
    <w:rsid w:val="00414945"/>
    <w:rsid w:val="00417CE2"/>
    <w:rsid w:val="00417DB4"/>
    <w:rsid w:val="004240DA"/>
    <w:rsid w:val="00425066"/>
    <w:rsid w:val="00425504"/>
    <w:rsid w:val="004260E1"/>
    <w:rsid w:val="004269A0"/>
    <w:rsid w:val="004269B5"/>
    <w:rsid w:val="00430E44"/>
    <w:rsid w:val="0043211F"/>
    <w:rsid w:val="004324F8"/>
    <w:rsid w:val="0043261C"/>
    <w:rsid w:val="004335ED"/>
    <w:rsid w:val="00433ED5"/>
    <w:rsid w:val="00434C2E"/>
    <w:rsid w:val="0043575F"/>
    <w:rsid w:val="0043747D"/>
    <w:rsid w:val="00437B63"/>
    <w:rsid w:val="00437FFA"/>
    <w:rsid w:val="00440074"/>
    <w:rsid w:val="00441375"/>
    <w:rsid w:val="004436AF"/>
    <w:rsid w:val="0044388F"/>
    <w:rsid w:val="00443CB7"/>
    <w:rsid w:val="00444416"/>
    <w:rsid w:val="00445041"/>
    <w:rsid w:val="0044514A"/>
    <w:rsid w:val="00445254"/>
    <w:rsid w:val="00445A81"/>
    <w:rsid w:val="0044723D"/>
    <w:rsid w:val="004473F7"/>
    <w:rsid w:val="004520D8"/>
    <w:rsid w:val="004524B3"/>
    <w:rsid w:val="00453017"/>
    <w:rsid w:val="0045412F"/>
    <w:rsid w:val="00454EC9"/>
    <w:rsid w:val="00455197"/>
    <w:rsid w:val="004556F6"/>
    <w:rsid w:val="00455F24"/>
    <w:rsid w:val="004568FE"/>
    <w:rsid w:val="00456972"/>
    <w:rsid w:val="00457A99"/>
    <w:rsid w:val="00460CFB"/>
    <w:rsid w:val="004625B5"/>
    <w:rsid w:val="004629FE"/>
    <w:rsid w:val="00462B24"/>
    <w:rsid w:val="00465561"/>
    <w:rsid w:val="004665D6"/>
    <w:rsid w:val="00467D4C"/>
    <w:rsid w:val="00472AC1"/>
    <w:rsid w:val="004730C8"/>
    <w:rsid w:val="00474007"/>
    <w:rsid w:val="00475175"/>
    <w:rsid w:val="00476D29"/>
    <w:rsid w:val="004776D0"/>
    <w:rsid w:val="00480920"/>
    <w:rsid w:val="00481907"/>
    <w:rsid w:val="004830BB"/>
    <w:rsid w:val="004837F1"/>
    <w:rsid w:val="00484403"/>
    <w:rsid w:val="004849F8"/>
    <w:rsid w:val="00487537"/>
    <w:rsid w:val="00491744"/>
    <w:rsid w:val="004923C1"/>
    <w:rsid w:val="00492660"/>
    <w:rsid w:val="00494AF4"/>
    <w:rsid w:val="00494F55"/>
    <w:rsid w:val="0049544E"/>
    <w:rsid w:val="0049571E"/>
    <w:rsid w:val="00495B81"/>
    <w:rsid w:val="004961AB"/>
    <w:rsid w:val="004970EB"/>
    <w:rsid w:val="004A026F"/>
    <w:rsid w:val="004A043C"/>
    <w:rsid w:val="004A2444"/>
    <w:rsid w:val="004A24C6"/>
    <w:rsid w:val="004A253F"/>
    <w:rsid w:val="004A2A43"/>
    <w:rsid w:val="004A2E72"/>
    <w:rsid w:val="004A30CF"/>
    <w:rsid w:val="004A3203"/>
    <w:rsid w:val="004A33A0"/>
    <w:rsid w:val="004A3B2B"/>
    <w:rsid w:val="004A3DB8"/>
    <w:rsid w:val="004A584A"/>
    <w:rsid w:val="004A6ED8"/>
    <w:rsid w:val="004B0AAA"/>
    <w:rsid w:val="004B1C7D"/>
    <w:rsid w:val="004B25BB"/>
    <w:rsid w:val="004B2836"/>
    <w:rsid w:val="004B2F69"/>
    <w:rsid w:val="004B42DD"/>
    <w:rsid w:val="004B52F1"/>
    <w:rsid w:val="004B706F"/>
    <w:rsid w:val="004B759A"/>
    <w:rsid w:val="004C1F7B"/>
    <w:rsid w:val="004C215D"/>
    <w:rsid w:val="004C304E"/>
    <w:rsid w:val="004C3B33"/>
    <w:rsid w:val="004C4482"/>
    <w:rsid w:val="004C4F28"/>
    <w:rsid w:val="004C5695"/>
    <w:rsid w:val="004C5E58"/>
    <w:rsid w:val="004C5FE3"/>
    <w:rsid w:val="004C7AF7"/>
    <w:rsid w:val="004D0B23"/>
    <w:rsid w:val="004D0C50"/>
    <w:rsid w:val="004D0E58"/>
    <w:rsid w:val="004D17D0"/>
    <w:rsid w:val="004D2AA0"/>
    <w:rsid w:val="004D5CD7"/>
    <w:rsid w:val="004D6968"/>
    <w:rsid w:val="004D6D7F"/>
    <w:rsid w:val="004D6DA3"/>
    <w:rsid w:val="004D6DDD"/>
    <w:rsid w:val="004D7F20"/>
    <w:rsid w:val="004E000F"/>
    <w:rsid w:val="004E0B14"/>
    <w:rsid w:val="004E154A"/>
    <w:rsid w:val="004E172D"/>
    <w:rsid w:val="004E367F"/>
    <w:rsid w:val="004E39D7"/>
    <w:rsid w:val="004E4492"/>
    <w:rsid w:val="004E7514"/>
    <w:rsid w:val="004F0101"/>
    <w:rsid w:val="004F047F"/>
    <w:rsid w:val="004F28BA"/>
    <w:rsid w:val="004F305D"/>
    <w:rsid w:val="004F4074"/>
    <w:rsid w:val="004F40E1"/>
    <w:rsid w:val="004F416F"/>
    <w:rsid w:val="004F5584"/>
    <w:rsid w:val="004F5EAD"/>
    <w:rsid w:val="004F6454"/>
    <w:rsid w:val="004F64C7"/>
    <w:rsid w:val="004F78E7"/>
    <w:rsid w:val="00502047"/>
    <w:rsid w:val="0050218E"/>
    <w:rsid w:val="0050329D"/>
    <w:rsid w:val="0050338F"/>
    <w:rsid w:val="0050482D"/>
    <w:rsid w:val="00504A66"/>
    <w:rsid w:val="00504FE9"/>
    <w:rsid w:val="005066F5"/>
    <w:rsid w:val="0050702A"/>
    <w:rsid w:val="00507105"/>
    <w:rsid w:val="00507686"/>
    <w:rsid w:val="005102F6"/>
    <w:rsid w:val="005111DF"/>
    <w:rsid w:val="00511612"/>
    <w:rsid w:val="0051288B"/>
    <w:rsid w:val="00513D68"/>
    <w:rsid w:val="005142E8"/>
    <w:rsid w:val="00515C80"/>
    <w:rsid w:val="00515D2F"/>
    <w:rsid w:val="005162CC"/>
    <w:rsid w:val="005174CF"/>
    <w:rsid w:val="00520D2E"/>
    <w:rsid w:val="00522701"/>
    <w:rsid w:val="00523C2D"/>
    <w:rsid w:val="00523F15"/>
    <w:rsid w:val="00525A70"/>
    <w:rsid w:val="00525D98"/>
    <w:rsid w:val="00527431"/>
    <w:rsid w:val="005274AD"/>
    <w:rsid w:val="00531567"/>
    <w:rsid w:val="00534CE1"/>
    <w:rsid w:val="0053532B"/>
    <w:rsid w:val="0053668F"/>
    <w:rsid w:val="00536AE0"/>
    <w:rsid w:val="00536C83"/>
    <w:rsid w:val="00536D33"/>
    <w:rsid w:val="005402A7"/>
    <w:rsid w:val="00540633"/>
    <w:rsid w:val="00541AC8"/>
    <w:rsid w:val="00542499"/>
    <w:rsid w:val="005439DC"/>
    <w:rsid w:val="005447DD"/>
    <w:rsid w:val="00544C55"/>
    <w:rsid w:val="0054622B"/>
    <w:rsid w:val="00546EC7"/>
    <w:rsid w:val="00546F84"/>
    <w:rsid w:val="00546FFE"/>
    <w:rsid w:val="00547C82"/>
    <w:rsid w:val="00551432"/>
    <w:rsid w:val="00551DD4"/>
    <w:rsid w:val="00551E81"/>
    <w:rsid w:val="00552323"/>
    <w:rsid w:val="00552EB7"/>
    <w:rsid w:val="005530DB"/>
    <w:rsid w:val="005543A0"/>
    <w:rsid w:val="00555014"/>
    <w:rsid w:val="005552E8"/>
    <w:rsid w:val="0055559F"/>
    <w:rsid w:val="00555963"/>
    <w:rsid w:val="00555ED7"/>
    <w:rsid w:val="005566A0"/>
    <w:rsid w:val="005568FB"/>
    <w:rsid w:val="0055738E"/>
    <w:rsid w:val="005612D7"/>
    <w:rsid w:val="00561F70"/>
    <w:rsid w:val="005622BA"/>
    <w:rsid w:val="00563F99"/>
    <w:rsid w:val="005640FD"/>
    <w:rsid w:val="005644FA"/>
    <w:rsid w:val="005652D0"/>
    <w:rsid w:val="00565832"/>
    <w:rsid w:val="005658C5"/>
    <w:rsid w:val="00566A94"/>
    <w:rsid w:val="00567ABD"/>
    <w:rsid w:val="00571D94"/>
    <w:rsid w:val="005720C1"/>
    <w:rsid w:val="005720F5"/>
    <w:rsid w:val="00572910"/>
    <w:rsid w:val="00572FA3"/>
    <w:rsid w:val="00573305"/>
    <w:rsid w:val="00573630"/>
    <w:rsid w:val="00573B00"/>
    <w:rsid w:val="0057466C"/>
    <w:rsid w:val="00574ED5"/>
    <w:rsid w:val="00574F90"/>
    <w:rsid w:val="005764FC"/>
    <w:rsid w:val="00577F3A"/>
    <w:rsid w:val="00582CD4"/>
    <w:rsid w:val="00583583"/>
    <w:rsid w:val="00584697"/>
    <w:rsid w:val="005857AF"/>
    <w:rsid w:val="00585BF3"/>
    <w:rsid w:val="00586917"/>
    <w:rsid w:val="005906A0"/>
    <w:rsid w:val="00590A97"/>
    <w:rsid w:val="00591156"/>
    <w:rsid w:val="005925DC"/>
    <w:rsid w:val="0059329E"/>
    <w:rsid w:val="0059572A"/>
    <w:rsid w:val="005958B5"/>
    <w:rsid w:val="00596F19"/>
    <w:rsid w:val="005973BB"/>
    <w:rsid w:val="005A0430"/>
    <w:rsid w:val="005A0FE0"/>
    <w:rsid w:val="005A18AF"/>
    <w:rsid w:val="005A21EE"/>
    <w:rsid w:val="005A38DD"/>
    <w:rsid w:val="005A3F84"/>
    <w:rsid w:val="005A508A"/>
    <w:rsid w:val="005A56A5"/>
    <w:rsid w:val="005A582A"/>
    <w:rsid w:val="005A6288"/>
    <w:rsid w:val="005A66FA"/>
    <w:rsid w:val="005A70D1"/>
    <w:rsid w:val="005A7259"/>
    <w:rsid w:val="005B01A6"/>
    <w:rsid w:val="005B2229"/>
    <w:rsid w:val="005B23BF"/>
    <w:rsid w:val="005B24E4"/>
    <w:rsid w:val="005B2AC7"/>
    <w:rsid w:val="005B388B"/>
    <w:rsid w:val="005B3A86"/>
    <w:rsid w:val="005B3D52"/>
    <w:rsid w:val="005B452C"/>
    <w:rsid w:val="005B4844"/>
    <w:rsid w:val="005B60E3"/>
    <w:rsid w:val="005B6417"/>
    <w:rsid w:val="005B69AE"/>
    <w:rsid w:val="005B6DCE"/>
    <w:rsid w:val="005B7C96"/>
    <w:rsid w:val="005C00E8"/>
    <w:rsid w:val="005C17EF"/>
    <w:rsid w:val="005C191C"/>
    <w:rsid w:val="005C273D"/>
    <w:rsid w:val="005C395D"/>
    <w:rsid w:val="005C3BA1"/>
    <w:rsid w:val="005C647A"/>
    <w:rsid w:val="005C65DF"/>
    <w:rsid w:val="005C6980"/>
    <w:rsid w:val="005C7AE7"/>
    <w:rsid w:val="005D0C75"/>
    <w:rsid w:val="005D0F1B"/>
    <w:rsid w:val="005D2313"/>
    <w:rsid w:val="005D28A8"/>
    <w:rsid w:val="005D333D"/>
    <w:rsid w:val="005D38B6"/>
    <w:rsid w:val="005D4D5B"/>
    <w:rsid w:val="005D64C4"/>
    <w:rsid w:val="005D68A1"/>
    <w:rsid w:val="005D774C"/>
    <w:rsid w:val="005E1004"/>
    <w:rsid w:val="005E2CC8"/>
    <w:rsid w:val="005E3C40"/>
    <w:rsid w:val="005E4670"/>
    <w:rsid w:val="005E520C"/>
    <w:rsid w:val="005E586A"/>
    <w:rsid w:val="005E6120"/>
    <w:rsid w:val="005E6A8D"/>
    <w:rsid w:val="005E7297"/>
    <w:rsid w:val="005E7E8F"/>
    <w:rsid w:val="005F0DA9"/>
    <w:rsid w:val="005F2D2A"/>
    <w:rsid w:val="005F3682"/>
    <w:rsid w:val="005F38B3"/>
    <w:rsid w:val="005F41D7"/>
    <w:rsid w:val="005F4A21"/>
    <w:rsid w:val="005F647F"/>
    <w:rsid w:val="005F6AC3"/>
    <w:rsid w:val="005F6D77"/>
    <w:rsid w:val="005F7087"/>
    <w:rsid w:val="005F7209"/>
    <w:rsid w:val="005F72E4"/>
    <w:rsid w:val="00600631"/>
    <w:rsid w:val="00600ABC"/>
    <w:rsid w:val="00601F1B"/>
    <w:rsid w:val="00602FC4"/>
    <w:rsid w:val="00603A8B"/>
    <w:rsid w:val="00605014"/>
    <w:rsid w:val="006052C2"/>
    <w:rsid w:val="006061B3"/>
    <w:rsid w:val="006062CE"/>
    <w:rsid w:val="00606C48"/>
    <w:rsid w:val="00607816"/>
    <w:rsid w:val="00610B2A"/>
    <w:rsid w:val="0061128D"/>
    <w:rsid w:val="00611471"/>
    <w:rsid w:val="00612724"/>
    <w:rsid w:val="00612F83"/>
    <w:rsid w:val="00614898"/>
    <w:rsid w:val="0061543D"/>
    <w:rsid w:val="006168F6"/>
    <w:rsid w:val="00616A79"/>
    <w:rsid w:val="00616CB5"/>
    <w:rsid w:val="00616CFA"/>
    <w:rsid w:val="006177C9"/>
    <w:rsid w:val="00620073"/>
    <w:rsid w:val="00620B83"/>
    <w:rsid w:val="00622638"/>
    <w:rsid w:val="00622859"/>
    <w:rsid w:val="0062297B"/>
    <w:rsid w:val="00622E39"/>
    <w:rsid w:val="00623741"/>
    <w:rsid w:val="00623DAF"/>
    <w:rsid w:val="00623E9D"/>
    <w:rsid w:val="00624158"/>
    <w:rsid w:val="00624705"/>
    <w:rsid w:val="00625C4C"/>
    <w:rsid w:val="006262D4"/>
    <w:rsid w:val="006264DD"/>
    <w:rsid w:val="00626947"/>
    <w:rsid w:val="00626AFE"/>
    <w:rsid w:val="00630987"/>
    <w:rsid w:val="00631A01"/>
    <w:rsid w:val="00631E3D"/>
    <w:rsid w:val="00631E7B"/>
    <w:rsid w:val="00632498"/>
    <w:rsid w:val="00633C2F"/>
    <w:rsid w:val="00634129"/>
    <w:rsid w:val="00634A2E"/>
    <w:rsid w:val="006352B5"/>
    <w:rsid w:val="00636F1C"/>
    <w:rsid w:val="00636F1D"/>
    <w:rsid w:val="0063746A"/>
    <w:rsid w:val="00642845"/>
    <w:rsid w:val="00642C3A"/>
    <w:rsid w:val="00644051"/>
    <w:rsid w:val="00644C21"/>
    <w:rsid w:val="00644F7C"/>
    <w:rsid w:val="0064581D"/>
    <w:rsid w:val="006468AE"/>
    <w:rsid w:val="00646A46"/>
    <w:rsid w:val="0064747D"/>
    <w:rsid w:val="00650358"/>
    <w:rsid w:val="006509BC"/>
    <w:rsid w:val="0065111E"/>
    <w:rsid w:val="006517F2"/>
    <w:rsid w:val="00651BEA"/>
    <w:rsid w:val="00653860"/>
    <w:rsid w:val="00654A2B"/>
    <w:rsid w:val="006551A5"/>
    <w:rsid w:val="00655EF2"/>
    <w:rsid w:val="006576F5"/>
    <w:rsid w:val="00657D27"/>
    <w:rsid w:val="006602BF"/>
    <w:rsid w:val="00660385"/>
    <w:rsid w:val="0066157A"/>
    <w:rsid w:val="006634A5"/>
    <w:rsid w:val="006636E8"/>
    <w:rsid w:val="00663C2B"/>
    <w:rsid w:val="00664321"/>
    <w:rsid w:val="00665ACB"/>
    <w:rsid w:val="006700E2"/>
    <w:rsid w:val="00670544"/>
    <w:rsid w:val="00670F50"/>
    <w:rsid w:val="00671321"/>
    <w:rsid w:val="00672CE5"/>
    <w:rsid w:val="00672DFE"/>
    <w:rsid w:val="00672EFA"/>
    <w:rsid w:val="006752B1"/>
    <w:rsid w:val="00675582"/>
    <w:rsid w:val="00675C34"/>
    <w:rsid w:val="006768AF"/>
    <w:rsid w:val="006770CD"/>
    <w:rsid w:val="006809EE"/>
    <w:rsid w:val="00680A28"/>
    <w:rsid w:val="00680FDD"/>
    <w:rsid w:val="006812A2"/>
    <w:rsid w:val="0068188A"/>
    <w:rsid w:val="00685819"/>
    <w:rsid w:val="00686A2B"/>
    <w:rsid w:val="00686B44"/>
    <w:rsid w:val="00686DF7"/>
    <w:rsid w:val="006948F9"/>
    <w:rsid w:val="00696037"/>
    <w:rsid w:val="006962F9"/>
    <w:rsid w:val="006A1397"/>
    <w:rsid w:val="006A1FF1"/>
    <w:rsid w:val="006A37A4"/>
    <w:rsid w:val="006A4469"/>
    <w:rsid w:val="006A4827"/>
    <w:rsid w:val="006A4D06"/>
    <w:rsid w:val="006A54B0"/>
    <w:rsid w:val="006A589C"/>
    <w:rsid w:val="006A5D05"/>
    <w:rsid w:val="006A6D4B"/>
    <w:rsid w:val="006A7622"/>
    <w:rsid w:val="006B1963"/>
    <w:rsid w:val="006B49A5"/>
    <w:rsid w:val="006B61FF"/>
    <w:rsid w:val="006B65F1"/>
    <w:rsid w:val="006B68F3"/>
    <w:rsid w:val="006B6EFA"/>
    <w:rsid w:val="006B7B81"/>
    <w:rsid w:val="006C1A2A"/>
    <w:rsid w:val="006C26C2"/>
    <w:rsid w:val="006C4B48"/>
    <w:rsid w:val="006C4D53"/>
    <w:rsid w:val="006C5101"/>
    <w:rsid w:val="006C6266"/>
    <w:rsid w:val="006C6F13"/>
    <w:rsid w:val="006D21A4"/>
    <w:rsid w:val="006D22CC"/>
    <w:rsid w:val="006D2F28"/>
    <w:rsid w:val="006D351B"/>
    <w:rsid w:val="006D37B1"/>
    <w:rsid w:val="006D4AC4"/>
    <w:rsid w:val="006D5FC1"/>
    <w:rsid w:val="006E0B5D"/>
    <w:rsid w:val="006E0C07"/>
    <w:rsid w:val="006E1A5E"/>
    <w:rsid w:val="006E2346"/>
    <w:rsid w:val="006E2512"/>
    <w:rsid w:val="006E3449"/>
    <w:rsid w:val="006E3DDB"/>
    <w:rsid w:val="006E4A7B"/>
    <w:rsid w:val="006E53A5"/>
    <w:rsid w:val="006E5B3E"/>
    <w:rsid w:val="006E76E5"/>
    <w:rsid w:val="006F0FEA"/>
    <w:rsid w:val="006F127C"/>
    <w:rsid w:val="006F3281"/>
    <w:rsid w:val="006F4ED6"/>
    <w:rsid w:val="006F5FE6"/>
    <w:rsid w:val="006F61DD"/>
    <w:rsid w:val="006F6736"/>
    <w:rsid w:val="006F7288"/>
    <w:rsid w:val="006F7B62"/>
    <w:rsid w:val="00700B55"/>
    <w:rsid w:val="00700C29"/>
    <w:rsid w:val="00700CC2"/>
    <w:rsid w:val="00700D2C"/>
    <w:rsid w:val="00703F10"/>
    <w:rsid w:val="007044DE"/>
    <w:rsid w:val="007061E5"/>
    <w:rsid w:val="0070691F"/>
    <w:rsid w:val="0071017F"/>
    <w:rsid w:val="00710B5F"/>
    <w:rsid w:val="00712476"/>
    <w:rsid w:val="00713001"/>
    <w:rsid w:val="00713E59"/>
    <w:rsid w:val="007164A0"/>
    <w:rsid w:val="00716D94"/>
    <w:rsid w:val="007170B8"/>
    <w:rsid w:val="0071722B"/>
    <w:rsid w:val="0071743E"/>
    <w:rsid w:val="00717B36"/>
    <w:rsid w:val="00717DE4"/>
    <w:rsid w:val="00717EAD"/>
    <w:rsid w:val="007205FE"/>
    <w:rsid w:val="00720757"/>
    <w:rsid w:val="007207A1"/>
    <w:rsid w:val="00720B01"/>
    <w:rsid w:val="007214AA"/>
    <w:rsid w:val="007223F0"/>
    <w:rsid w:val="007226C5"/>
    <w:rsid w:val="00724072"/>
    <w:rsid w:val="007244D2"/>
    <w:rsid w:val="00727349"/>
    <w:rsid w:val="00731EB6"/>
    <w:rsid w:val="007329DE"/>
    <w:rsid w:val="00733533"/>
    <w:rsid w:val="00734025"/>
    <w:rsid w:val="00734C00"/>
    <w:rsid w:val="00740508"/>
    <w:rsid w:val="007414C4"/>
    <w:rsid w:val="00742F0E"/>
    <w:rsid w:val="007439C7"/>
    <w:rsid w:val="00743CD5"/>
    <w:rsid w:val="00743F5B"/>
    <w:rsid w:val="007447CE"/>
    <w:rsid w:val="00745873"/>
    <w:rsid w:val="00745923"/>
    <w:rsid w:val="00745DCD"/>
    <w:rsid w:val="00747764"/>
    <w:rsid w:val="00750257"/>
    <w:rsid w:val="00750A9B"/>
    <w:rsid w:val="00751000"/>
    <w:rsid w:val="00751C5D"/>
    <w:rsid w:val="0075447F"/>
    <w:rsid w:val="0075453D"/>
    <w:rsid w:val="007554A0"/>
    <w:rsid w:val="00755999"/>
    <w:rsid w:val="007566D8"/>
    <w:rsid w:val="00756ADE"/>
    <w:rsid w:val="007570D1"/>
    <w:rsid w:val="007575DF"/>
    <w:rsid w:val="00760F00"/>
    <w:rsid w:val="00765CA6"/>
    <w:rsid w:val="0076624D"/>
    <w:rsid w:val="0077001E"/>
    <w:rsid w:val="00771196"/>
    <w:rsid w:val="00771719"/>
    <w:rsid w:val="00772B4F"/>
    <w:rsid w:val="00772C4B"/>
    <w:rsid w:val="00773534"/>
    <w:rsid w:val="00773E07"/>
    <w:rsid w:val="00774E1C"/>
    <w:rsid w:val="00775AD9"/>
    <w:rsid w:val="00775C18"/>
    <w:rsid w:val="007769E6"/>
    <w:rsid w:val="00776E34"/>
    <w:rsid w:val="007771D7"/>
    <w:rsid w:val="00780D68"/>
    <w:rsid w:val="00781BBA"/>
    <w:rsid w:val="0078207E"/>
    <w:rsid w:val="007827FF"/>
    <w:rsid w:val="00785E09"/>
    <w:rsid w:val="00787381"/>
    <w:rsid w:val="00787398"/>
    <w:rsid w:val="007874D9"/>
    <w:rsid w:val="007909DD"/>
    <w:rsid w:val="00790CC3"/>
    <w:rsid w:val="0079101F"/>
    <w:rsid w:val="00792604"/>
    <w:rsid w:val="00792E6B"/>
    <w:rsid w:val="00794964"/>
    <w:rsid w:val="00795219"/>
    <w:rsid w:val="00795403"/>
    <w:rsid w:val="0079551C"/>
    <w:rsid w:val="007972E5"/>
    <w:rsid w:val="007A0D36"/>
    <w:rsid w:val="007A0E0C"/>
    <w:rsid w:val="007A133E"/>
    <w:rsid w:val="007A1690"/>
    <w:rsid w:val="007A1ED5"/>
    <w:rsid w:val="007A20EB"/>
    <w:rsid w:val="007A37A1"/>
    <w:rsid w:val="007A3F4D"/>
    <w:rsid w:val="007A5B94"/>
    <w:rsid w:val="007A6C2D"/>
    <w:rsid w:val="007B2093"/>
    <w:rsid w:val="007B253F"/>
    <w:rsid w:val="007B25BC"/>
    <w:rsid w:val="007B2B11"/>
    <w:rsid w:val="007B3CA5"/>
    <w:rsid w:val="007B421C"/>
    <w:rsid w:val="007B5137"/>
    <w:rsid w:val="007B5157"/>
    <w:rsid w:val="007B54D3"/>
    <w:rsid w:val="007B58E8"/>
    <w:rsid w:val="007B7B69"/>
    <w:rsid w:val="007C0596"/>
    <w:rsid w:val="007C10B0"/>
    <w:rsid w:val="007C1E7F"/>
    <w:rsid w:val="007C1ED7"/>
    <w:rsid w:val="007C2587"/>
    <w:rsid w:val="007C29F2"/>
    <w:rsid w:val="007C36D8"/>
    <w:rsid w:val="007C3ACC"/>
    <w:rsid w:val="007C3B77"/>
    <w:rsid w:val="007C4260"/>
    <w:rsid w:val="007C4308"/>
    <w:rsid w:val="007C4395"/>
    <w:rsid w:val="007C47BB"/>
    <w:rsid w:val="007C52BD"/>
    <w:rsid w:val="007C581D"/>
    <w:rsid w:val="007C7017"/>
    <w:rsid w:val="007D0EB0"/>
    <w:rsid w:val="007D112E"/>
    <w:rsid w:val="007D12D8"/>
    <w:rsid w:val="007D14FA"/>
    <w:rsid w:val="007D17DD"/>
    <w:rsid w:val="007D2445"/>
    <w:rsid w:val="007D392E"/>
    <w:rsid w:val="007D5F85"/>
    <w:rsid w:val="007D6A10"/>
    <w:rsid w:val="007D756A"/>
    <w:rsid w:val="007E0006"/>
    <w:rsid w:val="007E040A"/>
    <w:rsid w:val="007E1CA3"/>
    <w:rsid w:val="007E366D"/>
    <w:rsid w:val="007E3F23"/>
    <w:rsid w:val="007E5148"/>
    <w:rsid w:val="007E68B6"/>
    <w:rsid w:val="007E72BF"/>
    <w:rsid w:val="007E7D47"/>
    <w:rsid w:val="007F0B81"/>
    <w:rsid w:val="007F0C2E"/>
    <w:rsid w:val="007F0D2F"/>
    <w:rsid w:val="007F182B"/>
    <w:rsid w:val="007F1E7A"/>
    <w:rsid w:val="007F1EF6"/>
    <w:rsid w:val="007F1F08"/>
    <w:rsid w:val="007F216B"/>
    <w:rsid w:val="007F251E"/>
    <w:rsid w:val="007F287F"/>
    <w:rsid w:val="007F440D"/>
    <w:rsid w:val="007F4D79"/>
    <w:rsid w:val="007F6AAC"/>
    <w:rsid w:val="007F7C54"/>
    <w:rsid w:val="007F7F88"/>
    <w:rsid w:val="00800C53"/>
    <w:rsid w:val="00800E6A"/>
    <w:rsid w:val="008016F5"/>
    <w:rsid w:val="00801F93"/>
    <w:rsid w:val="00802146"/>
    <w:rsid w:val="00802AC2"/>
    <w:rsid w:val="00802F8E"/>
    <w:rsid w:val="00803A61"/>
    <w:rsid w:val="008056AF"/>
    <w:rsid w:val="00805A85"/>
    <w:rsid w:val="0080692F"/>
    <w:rsid w:val="00810907"/>
    <w:rsid w:val="00810CBE"/>
    <w:rsid w:val="00811FCA"/>
    <w:rsid w:val="008121B9"/>
    <w:rsid w:val="00812724"/>
    <w:rsid w:val="00812AEA"/>
    <w:rsid w:val="00813150"/>
    <w:rsid w:val="008132E9"/>
    <w:rsid w:val="00814D59"/>
    <w:rsid w:val="00815D5B"/>
    <w:rsid w:val="008209C9"/>
    <w:rsid w:val="00820A37"/>
    <w:rsid w:val="00820A74"/>
    <w:rsid w:val="00820BDD"/>
    <w:rsid w:val="00820BF8"/>
    <w:rsid w:val="0082120F"/>
    <w:rsid w:val="0082169B"/>
    <w:rsid w:val="00822856"/>
    <w:rsid w:val="00822A89"/>
    <w:rsid w:val="00822A8D"/>
    <w:rsid w:val="00823C54"/>
    <w:rsid w:val="008245ED"/>
    <w:rsid w:val="00825724"/>
    <w:rsid w:val="00825C70"/>
    <w:rsid w:val="00825FCF"/>
    <w:rsid w:val="00826C8D"/>
    <w:rsid w:val="00827D87"/>
    <w:rsid w:val="00827DEA"/>
    <w:rsid w:val="008314BA"/>
    <w:rsid w:val="008315AA"/>
    <w:rsid w:val="008330A4"/>
    <w:rsid w:val="008332EC"/>
    <w:rsid w:val="0083465E"/>
    <w:rsid w:val="008346F7"/>
    <w:rsid w:val="008348BE"/>
    <w:rsid w:val="008364D6"/>
    <w:rsid w:val="00837D1D"/>
    <w:rsid w:val="0084019F"/>
    <w:rsid w:val="0084036B"/>
    <w:rsid w:val="008425DB"/>
    <w:rsid w:val="0084347F"/>
    <w:rsid w:val="008444E9"/>
    <w:rsid w:val="00844D22"/>
    <w:rsid w:val="00845514"/>
    <w:rsid w:val="008455F3"/>
    <w:rsid w:val="00845741"/>
    <w:rsid w:val="00845946"/>
    <w:rsid w:val="00845AFA"/>
    <w:rsid w:val="00845D7B"/>
    <w:rsid w:val="0084726E"/>
    <w:rsid w:val="00847729"/>
    <w:rsid w:val="00850A15"/>
    <w:rsid w:val="00853AB7"/>
    <w:rsid w:val="008544CC"/>
    <w:rsid w:val="0085453A"/>
    <w:rsid w:val="00854C2E"/>
    <w:rsid w:val="008553BB"/>
    <w:rsid w:val="00856E5F"/>
    <w:rsid w:val="0086054A"/>
    <w:rsid w:val="00861801"/>
    <w:rsid w:val="008649A7"/>
    <w:rsid w:val="0086580B"/>
    <w:rsid w:val="00871D7B"/>
    <w:rsid w:val="00871E3F"/>
    <w:rsid w:val="00872E02"/>
    <w:rsid w:val="00872F82"/>
    <w:rsid w:val="008756F4"/>
    <w:rsid w:val="008768E0"/>
    <w:rsid w:val="00877680"/>
    <w:rsid w:val="0087777D"/>
    <w:rsid w:val="00881549"/>
    <w:rsid w:val="008832F3"/>
    <w:rsid w:val="008841D7"/>
    <w:rsid w:val="008858EB"/>
    <w:rsid w:val="00887D68"/>
    <w:rsid w:val="00887EDD"/>
    <w:rsid w:val="00890116"/>
    <w:rsid w:val="0089122C"/>
    <w:rsid w:val="00892413"/>
    <w:rsid w:val="00893072"/>
    <w:rsid w:val="00894AE5"/>
    <w:rsid w:val="0089584B"/>
    <w:rsid w:val="00895A6C"/>
    <w:rsid w:val="00896E59"/>
    <w:rsid w:val="00897458"/>
    <w:rsid w:val="00897C61"/>
    <w:rsid w:val="008A0649"/>
    <w:rsid w:val="008A0C6E"/>
    <w:rsid w:val="008A15E8"/>
    <w:rsid w:val="008A184E"/>
    <w:rsid w:val="008A1A1D"/>
    <w:rsid w:val="008A24C3"/>
    <w:rsid w:val="008A4324"/>
    <w:rsid w:val="008A49B5"/>
    <w:rsid w:val="008A55A3"/>
    <w:rsid w:val="008A63D9"/>
    <w:rsid w:val="008A652E"/>
    <w:rsid w:val="008A679A"/>
    <w:rsid w:val="008A6B79"/>
    <w:rsid w:val="008A6C4B"/>
    <w:rsid w:val="008A6C9E"/>
    <w:rsid w:val="008A7CD2"/>
    <w:rsid w:val="008B022F"/>
    <w:rsid w:val="008B1B47"/>
    <w:rsid w:val="008B30C1"/>
    <w:rsid w:val="008B3189"/>
    <w:rsid w:val="008B3410"/>
    <w:rsid w:val="008B3F09"/>
    <w:rsid w:val="008B4875"/>
    <w:rsid w:val="008B69D8"/>
    <w:rsid w:val="008B6F60"/>
    <w:rsid w:val="008B6FEF"/>
    <w:rsid w:val="008B70C5"/>
    <w:rsid w:val="008C04B3"/>
    <w:rsid w:val="008C082A"/>
    <w:rsid w:val="008C1539"/>
    <w:rsid w:val="008C153A"/>
    <w:rsid w:val="008C27BC"/>
    <w:rsid w:val="008C3001"/>
    <w:rsid w:val="008C3F4D"/>
    <w:rsid w:val="008C4C9A"/>
    <w:rsid w:val="008C4D7A"/>
    <w:rsid w:val="008C51F8"/>
    <w:rsid w:val="008C5B01"/>
    <w:rsid w:val="008D0D40"/>
    <w:rsid w:val="008D0D41"/>
    <w:rsid w:val="008D1522"/>
    <w:rsid w:val="008D1532"/>
    <w:rsid w:val="008D36C5"/>
    <w:rsid w:val="008D4986"/>
    <w:rsid w:val="008D4C55"/>
    <w:rsid w:val="008D511D"/>
    <w:rsid w:val="008D5586"/>
    <w:rsid w:val="008D5BA8"/>
    <w:rsid w:val="008D7D5A"/>
    <w:rsid w:val="008E076E"/>
    <w:rsid w:val="008E1DA7"/>
    <w:rsid w:val="008E1ED7"/>
    <w:rsid w:val="008E2B9F"/>
    <w:rsid w:val="008E5B52"/>
    <w:rsid w:val="008E6063"/>
    <w:rsid w:val="008E726F"/>
    <w:rsid w:val="008E7598"/>
    <w:rsid w:val="008F0CCC"/>
    <w:rsid w:val="008F0E39"/>
    <w:rsid w:val="008F36F6"/>
    <w:rsid w:val="008F3CD3"/>
    <w:rsid w:val="008F4681"/>
    <w:rsid w:val="008F5265"/>
    <w:rsid w:val="008F5AEF"/>
    <w:rsid w:val="008F64CD"/>
    <w:rsid w:val="008F7073"/>
    <w:rsid w:val="008F70E1"/>
    <w:rsid w:val="008F7D61"/>
    <w:rsid w:val="008F7D92"/>
    <w:rsid w:val="00901349"/>
    <w:rsid w:val="00901E6E"/>
    <w:rsid w:val="00902B20"/>
    <w:rsid w:val="009033B3"/>
    <w:rsid w:val="0090370B"/>
    <w:rsid w:val="00903ED4"/>
    <w:rsid w:val="009062B5"/>
    <w:rsid w:val="00907078"/>
    <w:rsid w:val="0090785A"/>
    <w:rsid w:val="00911771"/>
    <w:rsid w:val="00911F95"/>
    <w:rsid w:val="00912953"/>
    <w:rsid w:val="00914BF5"/>
    <w:rsid w:val="0091527F"/>
    <w:rsid w:val="00916AC7"/>
    <w:rsid w:val="00917A85"/>
    <w:rsid w:val="0092053D"/>
    <w:rsid w:val="00920836"/>
    <w:rsid w:val="0092232C"/>
    <w:rsid w:val="00922B08"/>
    <w:rsid w:val="00923CEB"/>
    <w:rsid w:val="0092617E"/>
    <w:rsid w:val="0092664C"/>
    <w:rsid w:val="009278FB"/>
    <w:rsid w:val="009307F0"/>
    <w:rsid w:val="00930CE0"/>
    <w:rsid w:val="0093127C"/>
    <w:rsid w:val="0093156A"/>
    <w:rsid w:val="00933D61"/>
    <w:rsid w:val="00933DF7"/>
    <w:rsid w:val="0093468C"/>
    <w:rsid w:val="0093487C"/>
    <w:rsid w:val="009359AB"/>
    <w:rsid w:val="00936182"/>
    <w:rsid w:val="00936555"/>
    <w:rsid w:val="009412D2"/>
    <w:rsid w:val="00942EFC"/>
    <w:rsid w:val="00942F03"/>
    <w:rsid w:val="0094662C"/>
    <w:rsid w:val="00947196"/>
    <w:rsid w:val="009513AC"/>
    <w:rsid w:val="00951B64"/>
    <w:rsid w:val="009528A6"/>
    <w:rsid w:val="00952ABF"/>
    <w:rsid w:val="009543A5"/>
    <w:rsid w:val="00954C6E"/>
    <w:rsid w:val="009550F2"/>
    <w:rsid w:val="009558DB"/>
    <w:rsid w:val="00955F3C"/>
    <w:rsid w:val="0095735D"/>
    <w:rsid w:val="00961C94"/>
    <w:rsid w:val="009624E1"/>
    <w:rsid w:val="009628CD"/>
    <w:rsid w:val="00962929"/>
    <w:rsid w:val="00964EB4"/>
    <w:rsid w:val="00965BD6"/>
    <w:rsid w:val="0096602A"/>
    <w:rsid w:val="00966A49"/>
    <w:rsid w:val="00971594"/>
    <w:rsid w:val="0097159B"/>
    <w:rsid w:val="00971DD0"/>
    <w:rsid w:val="00972A18"/>
    <w:rsid w:val="00972BBA"/>
    <w:rsid w:val="00972C10"/>
    <w:rsid w:val="009740C9"/>
    <w:rsid w:val="0097457F"/>
    <w:rsid w:val="00974CDB"/>
    <w:rsid w:val="00974E28"/>
    <w:rsid w:val="00974E2E"/>
    <w:rsid w:val="009757B0"/>
    <w:rsid w:val="009766C5"/>
    <w:rsid w:val="00976718"/>
    <w:rsid w:val="00976DD3"/>
    <w:rsid w:val="009772ED"/>
    <w:rsid w:val="00980EF0"/>
    <w:rsid w:val="0098185C"/>
    <w:rsid w:val="00982244"/>
    <w:rsid w:val="00982576"/>
    <w:rsid w:val="00982CAA"/>
    <w:rsid w:val="00983AEB"/>
    <w:rsid w:val="00986211"/>
    <w:rsid w:val="00987023"/>
    <w:rsid w:val="00987053"/>
    <w:rsid w:val="00987555"/>
    <w:rsid w:val="00987B6C"/>
    <w:rsid w:val="009903FC"/>
    <w:rsid w:val="00990FEC"/>
    <w:rsid w:val="0099213F"/>
    <w:rsid w:val="0099368E"/>
    <w:rsid w:val="00994288"/>
    <w:rsid w:val="009949A0"/>
    <w:rsid w:val="00994E9C"/>
    <w:rsid w:val="009959C5"/>
    <w:rsid w:val="009971A2"/>
    <w:rsid w:val="009976AD"/>
    <w:rsid w:val="009A1A8B"/>
    <w:rsid w:val="009A1D23"/>
    <w:rsid w:val="009A2A2A"/>
    <w:rsid w:val="009A2BEA"/>
    <w:rsid w:val="009A2D57"/>
    <w:rsid w:val="009A3C8A"/>
    <w:rsid w:val="009A3F3D"/>
    <w:rsid w:val="009A5051"/>
    <w:rsid w:val="009A6008"/>
    <w:rsid w:val="009A653A"/>
    <w:rsid w:val="009A67B3"/>
    <w:rsid w:val="009A6B1F"/>
    <w:rsid w:val="009A6DFA"/>
    <w:rsid w:val="009A762C"/>
    <w:rsid w:val="009B0E86"/>
    <w:rsid w:val="009B161B"/>
    <w:rsid w:val="009B2B9D"/>
    <w:rsid w:val="009B481C"/>
    <w:rsid w:val="009B4D88"/>
    <w:rsid w:val="009B50B0"/>
    <w:rsid w:val="009B551F"/>
    <w:rsid w:val="009B61E9"/>
    <w:rsid w:val="009B64B4"/>
    <w:rsid w:val="009B6B60"/>
    <w:rsid w:val="009B6BD5"/>
    <w:rsid w:val="009C04AD"/>
    <w:rsid w:val="009C7265"/>
    <w:rsid w:val="009C72BF"/>
    <w:rsid w:val="009C7E16"/>
    <w:rsid w:val="009C7E66"/>
    <w:rsid w:val="009D03C7"/>
    <w:rsid w:val="009D175E"/>
    <w:rsid w:val="009D3F38"/>
    <w:rsid w:val="009D431B"/>
    <w:rsid w:val="009D4BC7"/>
    <w:rsid w:val="009D4EFC"/>
    <w:rsid w:val="009D566B"/>
    <w:rsid w:val="009D6AB9"/>
    <w:rsid w:val="009D7D5C"/>
    <w:rsid w:val="009E017C"/>
    <w:rsid w:val="009E0E69"/>
    <w:rsid w:val="009E2652"/>
    <w:rsid w:val="009E26AF"/>
    <w:rsid w:val="009E3C56"/>
    <w:rsid w:val="009E4199"/>
    <w:rsid w:val="009E4AB0"/>
    <w:rsid w:val="009E581B"/>
    <w:rsid w:val="009E5B58"/>
    <w:rsid w:val="009E61CF"/>
    <w:rsid w:val="009F1579"/>
    <w:rsid w:val="009F223C"/>
    <w:rsid w:val="009F25BB"/>
    <w:rsid w:val="009F281F"/>
    <w:rsid w:val="009F3A12"/>
    <w:rsid w:val="009F5106"/>
    <w:rsid w:val="009F510E"/>
    <w:rsid w:val="009F68C4"/>
    <w:rsid w:val="009F7DB6"/>
    <w:rsid w:val="00A00611"/>
    <w:rsid w:val="00A00764"/>
    <w:rsid w:val="00A03103"/>
    <w:rsid w:val="00A03510"/>
    <w:rsid w:val="00A03CEB"/>
    <w:rsid w:val="00A043C8"/>
    <w:rsid w:val="00A04C3F"/>
    <w:rsid w:val="00A07A40"/>
    <w:rsid w:val="00A07C45"/>
    <w:rsid w:val="00A1069E"/>
    <w:rsid w:val="00A1128B"/>
    <w:rsid w:val="00A123AA"/>
    <w:rsid w:val="00A12B5A"/>
    <w:rsid w:val="00A14418"/>
    <w:rsid w:val="00A14D82"/>
    <w:rsid w:val="00A14E32"/>
    <w:rsid w:val="00A15DB2"/>
    <w:rsid w:val="00A1694B"/>
    <w:rsid w:val="00A16B57"/>
    <w:rsid w:val="00A16CF5"/>
    <w:rsid w:val="00A17B6D"/>
    <w:rsid w:val="00A20224"/>
    <w:rsid w:val="00A20697"/>
    <w:rsid w:val="00A20D23"/>
    <w:rsid w:val="00A20F00"/>
    <w:rsid w:val="00A21E3B"/>
    <w:rsid w:val="00A227AA"/>
    <w:rsid w:val="00A22BAD"/>
    <w:rsid w:val="00A23AAE"/>
    <w:rsid w:val="00A23C7E"/>
    <w:rsid w:val="00A24146"/>
    <w:rsid w:val="00A24287"/>
    <w:rsid w:val="00A2544B"/>
    <w:rsid w:val="00A25500"/>
    <w:rsid w:val="00A256E2"/>
    <w:rsid w:val="00A2651E"/>
    <w:rsid w:val="00A2727B"/>
    <w:rsid w:val="00A2734A"/>
    <w:rsid w:val="00A27E64"/>
    <w:rsid w:val="00A307AC"/>
    <w:rsid w:val="00A3395F"/>
    <w:rsid w:val="00A34E6D"/>
    <w:rsid w:val="00A41D94"/>
    <w:rsid w:val="00A42521"/>
    <w:rsid w:val="00A434D6"/>
    <w:rsid w:val="00A453DD"/>
    <w:rsid w:val="00A45C22"/>
    <w:rsid w:val="00A469AA"/>
    <w:rsid w:val="00A469BA"/>
    <w:rsid w:val="00A5107A"/>
    <w:rsid w:val="00A51B0A"/>
    <w:rsid w:val="00A52015"/>
    <w:rsid w:val="00A533E0"/>
    <w:rsid w:val="00A53F75"/>
    <w:rsid w:val="00A56314"/>
    <w:rsid w:val="00A56545"/>
    <w:rsid w:val="00A60DAD"/>
    <w:rsid w:val="00A60E8E"/>
    <w:rsid w:val="00A61740"/>
    <w:rsid w:val="00A624B9"/>
    <w:rsid w:val="00A63531"/>
    <w:rsid w:val="00A63E34"/>
    <w:rsid w:val="00A63E9C"/>
    <w:rsid w:val="00A6419E"/>
    <w:rsid w:val="00A64BD2"/>
    <w:rsid w:val="00A65145"/>
    <w:rsid w:val="00A654DC"/>
    <w:rsid w:val="00A661B9"/>
    <w:rsid w:val="00A666BF"/>
    <w:rsid w:val="00A66B60"/>
    <w:rsid w:val="00A67151"/>
    <w:rsid w:val="00A671AE"/>
    <w:rsid w:val="00A67374"/>
    <w:rsid w:val="00A67B17"/>
    <w:rsid w:val="00A67D48"/>
    <w:rsid w:val="00A71026"/>
    <w:rsid w:val="00A71AA6"/>
    <w:rsid w:val="00A735E8"/>
    <w:rsid w:val="00A736AB"/>
    <w:rsid w:val="00A73AB0"/>
    <w:rsid w:val="00A76B18"/>
    <w:rsid w:val="00A801B7"/>
    <w:rsid w:val="00A80ACE"/>
    <w:rsid w:val="00A819B4"/>
    <w:rsid w:val="00A81A92"/>
    <w:rsid w:val="00A826FB"/>
    <w:rsid w:val="00A82D5A"/>
    <w:rsid w:val="00A82F66"/>
    <w:rsid w:val="00A83B92"/>
    <w:rsid w:val="00A843E4"/>
    <w:rsid w:val="00A846F4"/>
    <w:rsid w:val="00A87984"/>
    <w:rsid w:val="00A90685"/>
    <w:rsid w:val="00A909A3"/>
    <w:rsid w:val="00A928CF"/>
    <w:rsid w:val="00A934DD"/>
    <w:rsid w:val="00A94FB0"/>
    <w:rsid w:val="00A953A4"/>
    <w:rsid w:val="00A954D3"/>
    <w:rsid w:val="00A96781"/>
    <w:rsid w:val="00A96ABF"/>
    <w:rsid w:val="00A96B81"/>
    <w:rsid w:val="00A9710A"/>
    <w:rsid w:val="00A97B42"/>
    <w:rsid w:val="00AA4EAB"/>
    <w:rsid w:val="00AA5DA2"/>
    <w:rsid w:val="00AA629C"/>
    <w:rsid w:val="00AA6E5B"/>
    <w:rsid w:val="00AB140A"/>
    <w:rsid w:val="00AB1E62"/>
    <w:rsid w:val="00AB2266"/>
    <w:rsid w:val="00AB25E9"/>
    <w:rsid w:val="00AB2A91"/>
    <w:rsid w:val="00AB3EFA"/>
    <w:rsid w:val="00AB51DE"/>
    <w:rsid w:val="00AB78DB"/>
    <w:rsid w:val="00AC041B"/>
    <w:rsid w:val="00AC075A"/>
    <w:rsid w:val="00AC1470"/>
    <w:rsid w:val="00AC1EE8"/>
    <w:rsid w:val="00AC2704"/>
    <w:rsid w:val="00AC503D"/>
    <w:rsid w:val="00AC5983"/>
    <w:rsid w:val="00AC6275"/>
    <w:rsid w:val="00AC71B3"/>
    <w:rsid w:val="00AC7C3E"/>
    <w:rsid w:val="00AC7DA1"/>
    <w:rsid w:val="00AD018A"/>
    <w:rsid w:val="00AD13E8"/>
    <w:rsid w:val="00AD257E"/>
    <w:rsid w:val="00AD266C"/>
    <w:rsid w:val="00AD28D0"/>
    <w:rsid w:val="00AD2D8B"/>
    <w:rsid w:val="00AD31D8"/>
    <w:rsid w:val="00AD3E63"/>
    <w:rsid w:val="00AD4360"/>
    <w:rsid w:val="00AD4D57"/>
    <w:rsid w:val="00AD56CA"/>
    <w:rsid w:val="00AD75C8"/>
    <w:rsid w:val="00AE3C8F"/>
    <w:rsid w:val="00AE5D23"/>
    <w:rsid w:val="00AE614B"/>
    <w:rsid w:val="00AE6EF4"/>
    <w:rsid w:val="00AE6FB0"/>
    <w:rsid w:val="00AF17BE"/>
    <w:rsid w:val="00AF21A9"/>
    <w:rsid w:val="00AF3791"/>
    <w:rsid w:val="00AF413D"/>
    <w:rsid w:val="00AF486D"/>
    <w:rsid w:val="00AF6380"/>
    <w:rsid w:val="00AF6DFA"/>
    <w:rsid w:val="00AF7190"/>
    <w:rsid w:val="00AF7FD1"/>
    <w:rsid w:val="00B01092"/>
    <w:rsid w:val="00B01EF1"/>
    <w:rsid w:val="00B02EDF"/>
    <w:rsid w:val="00B045BB"/>
    <w:rsid w:val="00B05293"/>
    <w:rsid w:val="00B06205"/>
    <w:rsid w:val="00B06A3D"/>
    <w:rsid w:val="00B070CF"/>
    <w:rsid w:val="00B0716F"/>
    <w:rsid w:val="00B10906"/>
    <w:rsid w:val="00B11450"/>
    <w:rsid w:val="00B1295B"/>
    <w:rsid w:val="00B12AE0"/>
    <w:rsid w:val="00B12E11"/>
    <w:rsid w:val="00B13223"/>
    <w:rsid w:val="00B1512F"/>
    <w:rsid w:val="00B15658"/>
    <w:rsid w:val="00B1658F"/>
    <w:rsid w:val="00B16D2E"/>
    <w:rsid w:val="00B17332"/>
    <w:rsid w:val="00B20081"/>
    <w:rsid w:val="00B20AD8"/>
    <w:rsid w:val="00B20B31"/>
    <w:rsid w:val="00B22343"/>
    <w:rsid w:val="00B224BB"/>
    <w:rsid w:val="00B22D51"/>
    <w:rsid w:val="00B23498"/>
    <w:rsid w:val="00B24257"/>
    <w:rsid w:val="00B259BB"/>
    <w:rsid w:val="00B25DF5"/>
    <w:rsid w:val="00B25E23"/>
    <w:rsid w:val="00B25F50"/>
    <w:rsid w:val="00B260D8"/>
    <w:rsid w:val="00B2628F"/>
    <w:rsid w:val="00B264F2"/>
    <w:rsid w:val="00B2655E"/>
    <w:rsid w:val="00B307DF"/>
    <w:rsid w:val="00B316BC"/>
    <w:rsid w:val="00B32BE5"/>
    <w:rsid w:val="00B33C37"/>
    <w:rsid w:val="00B356C7"/>
    <w:rsid w:val="00B42830"/>
    <w:rsid w:val="00B45521"/>
    <w:rsid w:val="00B46026"/>
    <w:rsid w:val="00B4640B"/>
    <w:rsid w:val="00B46A46"/>
    <w:rsid w:val="00B521B0"/>
    <w:rsid w:val="00B523B4"/>
    <w:rsid w:val="00B52666"/>
    <w:rsid w:val="00B5323D"/>
    <w:rsid w:val="00B5395A"/>
    <w:rsid w:val="00B55E19"/>
    <w:rsid w:val="00B55F07"/>
    <w:rsid w:val="00B60398"/>
    <w:rsid w:val="00B608E5"/>
    <w:rsid w:val="00B6091C"/>
    <w:rsid w:val="00B619FE"/>
    <w:rsid w:val="00B61A92"/>
    <w:rsid w:val="00B6258C"/>
    <w:rsid w:val="00B6283B"/>
    <w:rsid w:val="00B62C6A"/>
    <w:rsid w:val="00B63FDB"/>
    <w:rsid w:val="00B64137"/>
    <w:rsid w:val="00B64240"/>
    <w:rsid w:val="00B6468B"/>
    <w:rsid w:val="00B647F8"/>
    <w:rsid w:val="00B66A34"/>
    <w:rsid w:val="00B67A53"/>
    <w:rsid w:val="00B67EE1"/>
    <w:rsid w:val="00B70960"/>
    <w:rsid w:val="00B71BE8"/>
    <w:rsid w:val="00B72076"/>
    <w:rsid w:val="00B72587"/>
    <w:rsid w:val="00B73169"/>
    <w:rsid w:val="00B740FD"/>
    <w:rsid w:val="00B7457E"/>
    <w:rsid w:val="00B74FE3"/>
    <w:rsid w:val="00B75E43"/>
    <w:rsid w:val="00B76244"/>
    <w:rsid w:val="00B76503"/>
    <w:rsid w:val="00B77099"/>
    <w:rsid w:val="00B7715B"/>
    <w:rsid w:val="00B800BA"/>
    <w:rsid w:val="00B805EE"/>
    <w:rsid w:val="00B80A46"/>
    <w:rsid w:val="00B825FE"/>
    <w:rsid w:val="00B83F52"/>
    <w:rsid w:val="00B851BA"/>
    <w:rsid w:val="00B9018C"/>
    <w:rsid w:val="00B9071E"/>
    <w:rsid w:val="00B917BA"/>
    <w:rsid w:val="00B92E16"/>
    <w:rsid w:val="00B9303C"/>
    <w:rsid w:val="00B934ED"/>
    <w:rsid w:val="00B9463E"/>
    <w:rsid w:val="00BA1BE2"/>
    <w:rsid w:val="00BA4100"/>
    <w:rsid w:val="00BA411D"/>
    <w:rsid w:val="00BA48D1"/>
    <w:rsid w:val="00BA57CB"/>
    <w:rsid w:val="00BA5A0F"/>
    <w:rsid w:val="00BA5B4D"/>
    <w:rsid w:val="00BA73FF"/>
    <w:rsid w:val="00BA7604"/>
    <w:rsid w:val="00BA7638"/>
    <w:rsid w:val="00BA77AF"/>
    <w:rsid w:val="00BA7EB5"/>
    <w:rsid w:val="00BB05FE"/>
    <w:rsid w:val="00BB0F27"/>
    <w:rsid w:val="00BB124D"/>
    <w:rsid w:val="00BB26FC"/>
    <w:rsid w:val="00BB30E8"/>
    <w:rsid w:val="00BB35A4"/>
    <w:rsid w:val="00BB3D30"/>
    <w:rsid w:val="00BB65D3"/>
    <w:rsid w:val="00BC20C8"/>
    <w:rsid w:val="00BC2F1B"/>
    <w:rsid w:val="00BC4964"/>
    <w:rsid w:val="00BC4DB0"/>
    <w:rsid w:val="00BC528F"/>
    <w:rsid w:val="00BC6052"/>
    <w:rsid w:val="00BD0611"/>
    <w:rsid w:val="00BD100A"/>
    <w:rsid w:val="00BD173B"/>
    <w:rsid w:val="00BD1944"/>
    <w:rsid w:val="00BD1EE5"/>
    <w:rsid w:val="00BD2A43"/>
    <w:rsid w:val="00BD3394"/>
    <w:rsid w:val="00BD4679"/>
    <w:rsid w:val="00BD65E4"/>
    <w:rsid w:val="00BD73D8"/>
    <w:rsid w:val="00BD7537"/>
    <w:rsid w:val="00BE2139"/>
    <w:rsid w:val="00BE2AD0"/>
    <w:rsid w:val="00BE2FBF"/>
    <w:rsid w:val="00BE4C1C"/>
    <w:rsid w:val="00BE53E6"/>
    <w:rsid w:val="00BE7954"/>
    <w:rsid w:val="00BF02A0"/>
    <w:rsid w:val="00BF0DD5"/>
    <w:rsid w:val="00BF142B"/>
    <w:rsid w:val="00BF2172"/>
    <w:rsid w:val="00BF3637"/>
    <w:rsid w:val="00BF3BD4"/>
    <w:rsid w:val="00BF4B03"/>
    <w:rsid w:val="00BF5106"/>
    <w:rsid w:val="00BF79F2"/>
    <w:rsid w:val="00BF7E57"/>
    <w:rsid w:val="00C004DA"/>
    <w:rsid w:val="00C019D6"/>
    <w:rsid w:val="00C027D5"/>
    <w:rsid w:val="00C03EF2"/>
    <w:rsid w:val="00C0589F"/>
    <w:rsid w:val="00C11B39"/>
    <w:rsid w:val="00C126C9"/>
    <w:rsid w:val="00C1433D"/>
    <w:rsid w:val="00C163EF"/>
    <w:rsid w:val="00C16DF9"/>
    <w:rsid w:val="00C1765B"/>
    <w:rsid w:val="00C179A4"/>
    <w:rsid w:val="00C17DD2"/>
    <w:rsid w:val="00C17F21"/>
    <w:rsid w:val="00C226EE"/>
    <w:rsid w:val="00C22F9E"/>
    <w:rsid w:val="00C235F2"/>
    <w:rsid w:val="00C23ACB"/>
    <w:rsid w:val="00C24A0D"/>
    <w:rsid w:val="00C260CC"/>
    <w:rsid w:val="00C2706E"/>
    <w:rsid w:val="00C2714C"/>
    <w:rsid w:val="00C30C2E"/>
    <w:rsid w:val="00C30F6C"/>
    <w:rsid w:val="00C319CB"/>
    <w:rsid w:val="00C3309B"/>
    <w:rsid w:val="00C331DB"/>
    <w:rsid w:val="00C34317"/>
    <w:rsid w:val="00C343EA"/>
    <w:rsid w:val="00C35982"/>
    <w:rsid w:val="00C372A4"/>
    <w:rsid w:val="00C37A09"/>
    <w:rsid w:val="00C40D1C"/>
    <w:rsid w:val="00C40EE7"/>
    <w:rsid w:val="00C410BE"/>
    <w:rsid w:val="00C411D5"/>
    <w:rsid w:val="00C42B3C"/>
    <w:rsid w:val="00C42B88"/>
    <w:rsid w:val="00C43A5F"/>
    <w:rsid w:val="00C43AAB"/>
    <w:rsid w:val="00C4592F"/>
    <w:rsid w:val="00C4635C"/>
    <w:rsid w:val="00C470ED"/>
    <w:rsid w:val="00C47128"/>
    <w:rsid w:val="00C47252"/>
    <w:rsid w:val="00C50F05"/>
    <w:rsid w:val="00C52055"/>
    <w:rsid w:val="00C53387"/>
    <w:rsid w:val="00C53FE8"/>
    <w:rsid w:val="00C54204"/>
    <w:rsid w:val="00C55DF0"/>
    <w:rsid w:val="00C56CDB"/>
    <w:rsid w:val="00C56E18"/>
    <w:rsid w:val="00C60325"/>
    <w:rsid w:val="00C61036"/>
    <w:rsid w:val="00C6219E"/>
    <w:rsid w:val="00C63014"/>
    <w:rsid w:val="00C63441"/>
    <w:rsid w:val="00C63A6F"/>
    <w:rsid w:val="00C6419B"/>
    <w:rsid w:val="00C641AD"/>
    <w:rsid w:val="00C64F04"/>
    <w:rsid w:val="00C65356"/>
    <w:rsid w:val="00C654BD"/>
    <w:rsid w:val="00C65FD0"/>
    <w:rsid w:val="00C667AF"/>
    <w:rsid w:val="00C67F89"/>
    <w:rsid w:val="00C700AA"/>
    <w:rsid w:val="00C703D2"/>
    <w:rsid w:val="00C70E74"/>
    <w:rsid w:val="00C71C7E"/>
    <w:rsid w:val="00C72744"/>
    <w:rsid w:val="00C73176"/>
    <w:rsid w:val="00C732DD"/>
    <w:rsid w:val="00C73778"/>
    <w:rsid w:val="00C73E01"/>
    <w:rsid w:val="00C75DE8"/>
    <w:rsid w:val="00C76294"/>
    <w:rsid w:val="00C7653D"/>
    <w:rsid w:val="00C765A0"/>
    <w:rsid w:val="00C76FC6"/>
    <w:rsid w:val="00C7778C"/>
    <w:rsid w:val="00C802A6"/>
    <w:rsid w:val="00C8261E"/>
    <w:rsid w:val="00C8294E"/>
    <w:rsid w:val="00C83194"/>
    <w:rsid w:val="00C8508B"/>
    <w:rsid w:val="00C85389"/>
    <w:rsid w:val="00C87325"/>
    <w:rsid w:val="00C87506"/>
    <w:rsid w:val="00C90E10"/>
    <w:rsid w:val="00C90F55"/>
    <w:rsid w:val="00C91214"/>
    <w:rsid w:val="00C91361"/>
    <w:rsid w:val="00C9191C"/>
    <w:rsid w:val="00C91A93"/>
    <w:rsid w:val="00C92022"/>
    <w:rsid w:val="00C92961"/>
    <w:rsid w:val="00C92A26"/>
    <w:rsid w:val="00C92EF3"/>
    <w:rsid w:val="00C93E28"/>
    <w:rsid w:val="00C948A6"/>
    <w:rsid w:val="00C94EF6"/>
    <w:rsid w:val="00C95F9A"/>
    <w:rsid w:val="00C97FD9"/>
    <w:rsid w:val="00CA00DC"/>
    <w:rsid w:val="00CA0A55"/>
    <w:rsid w:val="00CA1440"/>
    <w:rsid w:val="00CA1811"/>
    <w:rsid w:val="00CA1EC9"/>
    <w:rsid w:val="00CA2784"/>
    <w:rsid w:val="00CA4CD7"/>
    <w:rsid w:val="00CA5184"/>
    <w:rsid w:val="00CA5B5A"/>
    <w:rsid w:val="00CA624F"/>
    <w:rsid w:val="00CA6444"/>
    <w:rsid w:val="00CA6791"/>
    <w:rsid w:val="00CA74F6"/>
    <w:rsid w:val="00CA759E"/>
    <w:rsid w:val="00CB04FA"/>
    <w:rsid w:val="00CB073C"/>
    <w:rsid w:val="00CB17C5"/>
    <w:rsid w:val="00CB1F1D"/>
    <w:rsid w:val="00CB2014"/>
    <w:rsid w:val="00CB23B0"/>
    <w:rsid w:val="00CB25F9"/>
    <w:rsid w:val="00CB2744"/>
    <w:rsid w:val="00CB2922"/>
    <w:rsid w:val="00CB368F"/>
    <w:rsid w:val="00CB4B5B"/>
    <w:rsid w:val="00CB5F2A"/>
    <w:rsid w:val="00CB7E2C"/>
    <w:rsid w:val="00CC01D8"/>
    <w:rsid w:val="00CC01E0"/>
    <w:rsid w:val="00CC0584"/>
    <w:rsid w:val="00CC0C7D"/>
    <w:rsid w:val="00CC1383"/>
    <w:rsid w:val="00CC174B"/>
    <w:rsid w:val="00CC1BE4"/>
    <w:rsid w:val="00CC28D0"/>
    <w:rsid w:val="00CC2B6B"/>
    <w:rsid w:val="00CC3AF8"/>
    <w:rsid w:val="00CC56E9"/>
    <w:rsid w:val="00CC5E1F"/>
    <w:rsid w:val="00CC7481"/>
    <w:rsid w:val="00CC79B0"/>
    <w:rsid w:val="00CD0076"/>
    <w:rsid w:val="00CD0470"/>
    <w:rsid w:val="00CD0724"/>
    <w:rsid w:val="00CD12E6"/>
    <w:rsid w:val="00CD37D6"/>
    <w:rsid w:val="00CD47B5"/>
    <w:rsid w:val="00CD514D"/>
    <w:rsid w:val="00CD51E8"/>
    <w:rsid w:val="00CD63C0"/>
    <w:rsid w:val="00CD7408"/>
    <w:rsid w:val="00CE0918"/>
    <w:rsid w:val="00CE1203"/>
    <w:rsid w:val="00CE17C0"/>
    <w:rsid w:val="00CE1A7D"/>
    <w:rsid w:val="00CE2925"/>
    <w:rsid w:val="00CE3595"/>
    <w:rsid w:val="00CF1CF1"/>
    <w:rsid w:val="00CF2429"/>
    <w:rsid w:val="00CF2C06"/>
    <w:rsid w:val="00CF5BE7"/>
    <w:rsid w:val="00CF6195"/>
    <w:rsid w:val="00CF6D34"/>
    <w:rsid w:val="00CF79FA"/>
    <w:rsid w:val="00D0089B"/>
    <w:rsid w:val="00D01B6E"/>
    <w:rsid w:val="00D026E7"/>
    <w:rsid w:val="00D027B2"/>
    <w:rsid w:val="00D0377C"/>
    <w:rsid w:val="00D03980"/>
    <w:rsid w:val="00D07083"/>
    <w:rsid w:val="00D10080"/>
    <w:rsid w:val="00D11611"/>
    <w:rsid w:val="00D11FE0"/>
    <w:rsid w:val="00D133C4"/>
    <w:rsid w:val="00D138C3"/>
    <w:rsid w:val="00D16378"/>
    <w:rsid w:val="00D16705"/>
    <w:rsid w:val="00D16C67"/>
    <w:rsid w:val="00D22871"/>
    <w:rsid w:val="00D23452"/>
    <w:rsid w:val="00D2350B"/>
    <w:rsid w:val="00D23FDE"/>
    <w:rsid w:val="00D25BE8"/>
    <w:rsid w:val="00D26CD3"/>
    <w:rsid w:val="00D26EB9"/>
    <w:rsid w:val="00D26F7A"/>
    <w:rsid w:val="00D2718B"/>
    <w:rsid w:val="00D271E3"/>
    <w:rsid w:val="00D3042D"/>
    <w:rsid w:val="00D305BB"/>
    <w:rsid w:val="00D310D9"/>
    <w:rsid w:val="00D312C3"/>
    <w:rsid w:val="00D31377"/>
    <w:rsid w:val="00D3219B"/>
    <w:rsid w:val="00D34308"/>
    <w:rsid w:val="00D34362"/>
    <w:rsid w:val="00D34C3C"/>
    <w:rsid w:val="00D3564C"/>
    <w:rsid w:val="00D36CB2"/>
    <w:rsid w:val="00D37FF2"/>
    <w:rsid w:val="00D42271"/>
    <w:rsid w:val="00D42AE0"/>
    <w:rsid w:val="00D44634"/>
    <w:rsid w:val="00D4527C"/>
    <w:rsid w:val="00D45A02"/>
    <w:rsid w:val="00D45ADA"/>
    <w:rsid w:val="00D45E21"/>
    <w:rsid w:val="00D461B3"/>
    <w:rsid w:val="00D473E9"/>
    <w:rsid w:val="00D506BE"/>
    <w:rsid w:val="00D511B8"/>
    <w:rsid w:val="00D522D3"/>
    <w:rsid w:val="00D5299D"/>
    <w:rsid w:val="00D538DF"/>
    <w:rsid w:val="00D54C50"/>
    <w:rsid w:val="00D54D31"/>
    <w:rsid w:val="00D54ED5"/>
    <w:rsid w:val="00D552D2"/>
    <w:rsid w:val="00D553E9"/>
    <w:rsid w:val="00D555E7"/>
    <w:rsid w:val="00D57057"/>
    <w:rsid w:val="00D609BD"/>
    <w:rsid w:val="00D614B2"/>
    <w:rsid w:val="00D61CB8"/>
    <w:rsid w:val="00D62546"/>
    <w:rsid w:val="00D62771"/>
    <w:rsid w:val="00D640BC"/>
    <w:rsid w:val="00D644E2"/>
    <w:rsid w:val="00D64C45"/>
    <w:rsid w:val="00D65102"/>
    <w:rsid w:val="00D6686D"/>
    <w:rsid w:val="00D668E4"/>
    <w:rsid w:val="00D6690A"/>
    <w:rsid w:val="00D669F8"/>
    <w:rsid w:val="00D66FF5"/>
    <w:rsid w:val="00D700B5"/>
    <w:rsid w:val="00D70ECA"/>
    <w:rsid w:val="00D718C0"/>
    <w:rsid w:val="00D72557"/>
    <w:rsid w:val="00D72769"/>
    <w:rsid w:val="00D732C5"/>
    <w:rsid w:val="00D73909"/>
    <w:rsid w:val="00D74016"/>
    <w:rsid w:val="00D748D9"/>
    <w:rsid w:val="00D750D8"/>
    <w:rsid w:val="00D756B6"/>
    <w:rsid w:val="00D75C42"/>
    <w:rsid w:val="00D77C9B"/>
    <w:rsid w:val="00D804AB"/>
    <w:rsid w:val="00D80C15"/>
    <w:rsid w:val="00D81956"/>
    <w:rsid w:val="00D81E10"/>
    <w:rsid w:val="00D82342"/>
    <w:rsid w:val="00D82BEE"/>
    <w:rsid w:val="00D83EB3"/>
    <w:rsid w:val="00D84FB6"/>
    <w:rsid w:val="00D8567A"/>
    <w:rsid w:val="00D85C84"/>
    <w:rsid w:val="00D8602A"/>
    <w:rsid w:val="00D86765"/>
    <w:rsid w:val="00D87BC3"/>
    <w:rsid w:val="00D87EB2"/>
    <w:rsid w:val="00D90ED3"/>
    <w:rsid w:val="00D91D83"/>
    <w:rsid w:val="00D924F2"/>
    <w:rsid w:val="00D9335A"/>
    <w:rsid w:val="00D93748"/>
    <w:rsid w:val="00D93DCA"/>
    <w:rsid w:val="00D94855"/>
    <w:rsid w:val="00D94B54"/>
    <w:rsid w:val="00D95580"/>
    <w:rsid w:val="00D956DA"/>
    <w:rsid w:val="00D95700"/>
    <w:rsid w:val="00D96EDC"/>
    <w:rsid w:val="00D97541"/>
    <w:rsid w:val="00DA12C0"/>
    <w:rsid w:val="00DA1B24"/>
    <w:rsid w:val="00DA2227"/>
    <w:rsid w:val="00DA27D8"/>
    <w:rsid w:val="00DA2FE5"/>
    <w:rsid w:val="00DA32C9"/>
    <w:rsid w:val="00DA5C42"/>
    <w:rsid w:val="00DA6513"/>
    <w:rsid w:val="00DA6DAE"/>
    <w:rsid w:val="00DA7494"/>
    <w:rsid w:val="00DB0096"/>
    <w:rsid w:val="00DB0BCF"/>
    <w:rsid w:val="00DB3DD4"/>
    <w:rsid w:val="00DB46E1"/>
    <w:rsid w:val="00DB4A21"/>
    <w:rsid w:val="00DB54D9"/>
    <w:rsid w:val="00DB70A2"/>
    <w:rsid w:val="00DB717A"/>
    <w:rsid w:val="00DB7463"/>
    <w:rsid w:val="00DC09AC"/>
    <w:rsid w:val="00DC242C"/>
    <w:rsid w:val="00DC2773"/>
    <w:rsid w:val="00DC27FD"/>
    <w:rsid w:val="00DC296F"/>
    <w:rsid w:val="00DC2EEE"/>
    <w:rsid w:val="00DC40C7"/>
    <w:rsid w:val="00DC50F5"/>
    <w:rsid w:val="00DC5183"/>
    <w:rsid w:val="00DC6BE5"/>
    <w:rsid w:val="00DC6DE6"/>
    <w:rsid w:val="00DC6F86"/>
    <w:rsid w:val="00DD077A"/>
    <w:rsid w:val="00DD0EBC"/>
    <w:rsid w:val="00DD18DD"/>
    <w:rsid w:val="00DD2D9C"/>
    <w:rsid w:val="00DD3A7E"/>
    <w:rsid w:val="00DD4436"/>
    <w:rsid w:val="00DD5121"/>
    <w:rsid w:val="00DD5C04"/>
    <w:rsid w:val="00DD6865"/>
    <w:rsid w:val="00DE0ECB"/>
    <w:rsid w:val="00DE2519"/>
    <w:rsid w:val="00DE3622"/>
    <w:rsid w:val="00DE3EF3"/>
    <w:rsid w:val="00DE40FD"/>
    <w:rsid w:val="00DE421F"/>
    <w:rsid w:val="00DE4828"/>
    <w:rsid w:val="00DE602B"/>
    <w:rsid w:val="00DF02B5"/>
    <w:rsid w:val="00DF5154"/>
    <w:rsid w:val="00DF5BD2"/>
    <w:rsid w:val="00DF63C0"/>
    <w:rsid w:val="00DF67AD"/>
    <w:rsid w:val="00DF731C"/>
    <w:rsid w:val="00DF76A9"/>
    <w:rsid w:val="00E0041A"/>
    <w:rsid w:val="00E02A56"/>
    <w:rsid w:val="00E04C76"/>
    <w:rsid w:val="00E06468"/>
    <w:rsid w:val="00E06E3D"/>
    <w:rsid w:val="00E0790C"/>
    <w:rsid w:val="00E07982"/>
    <w:rsid w:val="00E1012A"/>
    <w:rsid w:val="00E10A71"/>
    <w:rsid w:val="00E11460"/>
    <w:rsid w:val="00E1182B"/>
    <w:rsid w:val="00E13736"/>
    <w:rsid w:val="00E138D4"/>
    <w:rsid w:val="00E15B72"/>
    <w:rsid w:val="00E163AC"/>
    <w:rsid w:val="00E164C1"/>
    <w:rsid w:val="00E16B87"/>
    <w:rsid w:val="00E20CE5"/>
    <w:rsid w:val="00E20F91"/>
    <w:rsid w:val="00E235B3"/>
    <w:rsid w:val="00E2557D"/>
    <w:rsid w:val="00E26131"/>
    <w:rsid w:val="00E2691A"/>
    <w:rsid w:val="00E27A49"/>
    <w:rsid w:val="00E30204"/>
    <w:rsid w:val="00E309EF"/>
    <w:rsid w:val="00E31469"/>
    <w:rsid w:val="00E32B34"/>
    <w:rsid w:val="00E35D7B"/>
    <w:rsid w:val="00E364D4"/>
    <w:rsid w:val="00E3698D"/>
    <w:rsid w:val="00E36B43"/>
    <w:rsid w:val="00E37B6E"/>
    <w:rsid w:val="00E37D1B"/>
    <w:rsid w:val="00E413D9"/>
    <w:rsid w:val="00E455C3"/>
    <w:rsid w:val="00E45B43"/>
    <w:rsid w:val="00E46EDC"/>
    <w:rsid w:val="00E477B6"/>
    <w:rsid w:val="00E479DC"/>
    <w:rsid w:val="00E50319"/>
    <w:rsid w:val="00E50562"/>
    <w:rsid w:val="00E5064B"/>
    <w:rsid w:val="00E5091F"/>
    <w:rsid w:val="00E52300"/>
    <w:rsid w:val="00E544CD"/>
    <w:rsid w:val="00E5668B"/>
    <w:rsid w:val="00E60275"/>
    <w:rsid w:val="00E60F6E"/>
    <w:rsid w:val="00E620B5"/>
    <w:rsid w:val="00E63307"/>
    <w:rsid w:val="00E65B57"/>
    <w:rsid w:val="00E65B7A"/>
    <w:rsid w:val="00E6620B"/>
    <w:rsid w:val="00E6713E"/>
    <w:rsid w:val="00E67905"/>
    <w:rsid w:val="00E705F6"/>
    <w:rsid w:val="00E7063D"/>
    <w:rsid w:val="00E71A1A"/>
    <w:rsid w:val="00E71D85"/>
    <w:rsid w:val="00E72D64"/>
    <w:rsid w:val="00E74AAE"/>
    <w:rsid w:val="00E77816"/>
    <w:rsid w:val="00E8000C"/>
    <w:rsid w:val="00E80EF2"/>
    <w:rsid w:val="00E8145A"/>
    <w:rsid w:val="00E82857"/>
    <w:rsid w:val="00E83111"/>
    <w:rsid w:val="00E83D86"/>
    <w:rsid w:val="00E842F0"/>
    <w:rsid w:val="00E8524D"/>
    <w:rsid w:val="00E8595A"/>
    <w:rsid w:val="00E8671A"/>
    <w:rsid w:val="00E8744E"/>
    <w:rsid w:val="00E87617"/>
    <w:rsid w:val="00E87CB7"/>
    <w:rsid w:val="00E9036A"/>
    <w:rsid w:val="00E916AB"/>
    <w:rsid w:val="00E919BE"/>
    <w:rsid w:val="00E91D21"/>
    <w:rsid w:val="00E923D8"/>
    <w:rsid w:val="00E93D9D"/>
    <w:rsid w:val="00E94578"/>
    <w:rsid w:val="00E95B83"/>
    <w:rsid w:val="00E95BD4"/>
    <w:rsid w:val="00E96B26"/>
    <w:rsid w:val="00E9764D"/>
    <w:rsid w:val="00EA03E9"/>
    <w:rsid w:val="00EA0A76"/>
    <w:rsid w:val="00EA0D06"/>
    <w:rsid w:val="00EA208E"/>
    <w:rsid w:val="00EA2C03"/>
    <w:rsid w:val="00EA3D4C"/>
    <w:rsid w:val="00EA5250"/>
    <w:rsid w:val="00EA53F9"/>
    <w:rsid w:val="00EA57F5"/>
    <w:rsid w:val="00EA6CBD"/>
    <w:rsid w:val="00EA7ACB"/>
    <w:rsid w:val="00EB0488"/>
    <w:rsid w:val="00EB32B2"/>
    <w:rsid w:val="00EB469F"/>
    <w:rsid w:val="00EB49EF"/>
    <w:rsid w:val="00EB4DC1"/>
    <w:rsid w:val="00EB55EB"/>
    <w:rsid w:val="00EB6D9A"/>
    <w:rsid w:val="00EB75EA"/>
    <w:rsid w:val="00EB7779"/>
    <w:rsid w:val="00EC6FE8"/>
    <w:rsid w:val="00EC7BB1"/>
    <w:rsid w:val="00EC7CB4"/>
    <w:rsid w:val="00ED0184"/>
    <w:rsid w:val="00ED0E70"/>
    <w:rsid w:val="00ED28B3"/>
    <w:rsid w:val="00ED2E7C"/>
    <w:rsid w:val="00ED33D3"/>
    <w:rsid w:val="00ED3F32"/>
    <w:rsid w:val="00ED4EE8"/>
    <w:rsid w:val="00EE039A"/>
    <w:rsid w:val="00EE185C"/>
    <w:rsid w:val="00EE24C1"/>
    <w:rsid w:val="00EE475F"/>
    <w:rsid w:val="00EE48F5"/>
    <w:rsid w:val="00EE4D91"/>
    <w:rsid w:val="00EE688D"/>
    <w:rsid w:val="00EE779C"/>
    <w:rsid w:val="00EE781B"/>
    <w:rsid w:val="00EF112D"/>
    <w:rsid w:val="00EF30AA"/>
    <w:rsid w:val="00EF3CBC"/>
    <w:rsid w:val="00EF4A93"/>
    <w:rsid w:val="00EF4F2A"/>
    <w:rsid w:val="00EF4FD9"/>
    <w:rsid w:val="00EF54E7"/>
    <w:rsid w:val="00EF58F9"/>
    <w:rsid w:val="00EF59D0"/>
    <w:rsid w:val="00EF5E07"/>
    <w:rsid w:val="00EF61FC"/>
    <w:rsid w:val="00EF6288"/>
    <w:rsid w:val="00EF797E"/>
    <w:rsid w:val="00F00362"/>
    <w:rsid w:val="00F00463"/>
    <w:rsid w:val="00F00F83"/>
    <w:rsid w:val="00F0183D"/>
    <w:rsid w:val="00F0414A"/>
    <w:rsid w:val="00F049BC"/>
    <w:rsid w:val="00F06B81"/>
    <w:rsid w:val="00F07C59"/>
    <w:rsid w:val="00F10594"/>
    <w:rsid w:val="00F10D9B"/>
    <w:rsid w:val="00F10E95"/>
    <w:rsid w:val="00F11A82"/>
    <w:rsid w:val="00F1281B"/>
    <w:rsid w:val="00F14C34"/>
    <w:rsid w:val="00F14FA2"/>
    <w:rsid w:val="00F15253"/>
    <w:rsid w:val="00F15E2D"/>
    <w:rsid w:val="00F16CF7"/>
    <w:rsid w:val="00F1766C"/>
    <w:rsid w:val="00F2016C"/>
    <w:rsid w:val="00F20BD9"/>
    <w:rsid w:val="00F23570"/>
    <w:rsid w:val="00F24AA7"/>
    <w:rsid w:val="00F24EE1"/>
    <w:rsid w:val="00F24F76"/>
    <w:rsid w:val="00F251BA"/>
    <w:rsid w:val="00F25681"/>
    <w:rsid w:val="00F25EA1"/>
    <w:rsid w:val="00F264B7"/>
    <w:rsid w:val="00F26613"/>
    <w:rsid w:val="00F26D65"/>
    <w:rsid w:val="00F27632"/>
    <w:rsid w:val="00F30377"/>
    <w:rsid w:val="00F30734"/>
    <w:rsid w:val="00F31D7F"/>
    <w:rsid w:val="00F32617"/>
    <w:rsid w:val="00F32C88"/>
    <w:rsid w:val="00F338AB"/>
    <w:rsid w:val="00F33E90"/>
    <w:rsid w:val="00F3403F"/>
    <w:rsid w:val="00F35097"/>
    <w:rsid w:val="00F3529C"/>
    <w:rsid w:val="00F364E2"/>
    <w:rsid w:val="00F40008"/>
    <w:rsid w:val="00F4056F"/>
    <w:rsid w:val="00F40959"/>
    <w:rsid w:val="00F43A4D"/>
    <w:rsid w:val="00F43B8E"/>
    <w:rsid w:val="00F45803"/>
    <w:rsid w:val="00F45EAE"/>
    <w:rsid w:val="00F464E7"/>
    <w:rsid w:val="00F47527"/>
    <w:rsid w:val="00F47DC9"/>
    <w:rsid w:val="00F50F5D"/>
    <w:rsid w:val="00F516A8"/>
    <w:rsid w:val="00F537F3"/>
    <w:rsid w:val="00F539DB"/>
    <w:rsid w:val="00F556E5"/>
    <w:rsid w:val="00F55EC0"/>
    <w:rsid w:val="00F57B62"/>
    <w:rsid w:val="00F57E53"/>
    <w:rsid w:val="00F60D9E"/>
    <w:rsid w:val="00F61A12"/>
    <w:rsid w:val="00F62122"/>
    <w:rsid w:val="00F622C2"/>
    <w:rsid w:val="00F62559"/>
    <w:rsid w:val="00F6482A"/>
    <w:rsid w:val="00F64B91"/>
    <w:rsid w:val="00F64E30"/>
    <w:rsid w:val="00F64F37"/>
    <w:rsid w:val="00F651D7"/>
    <w:rsid w:val="00F669DB"/>
    <w:rsid w:val="00F70996"/>
    <w:rsid w:val="00F70ED6"/>
    <w:rsid w:val="00F710F1"/>
    <w:rsid w:val="00F719DE"/>
    <w:rsid w:val="00F71F67"/>
    <w:rsid w:val="00F72993"/>
    <w:rsid w:val="00F731F5"/>
    <w:rsid w:val="00F74010"/>
    <w:rsid w:val="00F741BE"/>
    <w:rsid w:val="00F7463D"/>
    <w:rsid w:val="00F75203"/>
    <w:rsid w:val="00F77CDB"/>
    <w:rsid w:val="00F81520"/>
    <w:rsid w:val="00F8196E"/>
    <w:rsid w:val="00F823A2"/>
    <w:rsid w:val="00F82B4E"/>
    <w:rsid w:val="00F8376D"/>
    <w:rsid w:val="00F84288"/>
    <w:rsid w:val="00F84852"/>
    <w:rsid w:val="00F84D3B"/>
    <w:rsid w:val="00F84F7B"/>
    <w:rsid w:val="00F8571B"/>
    <w:rsid w:val="00F86853"/>
    <w:rsid w:val="00F86A80"/>
    <w:rsid w:val="00F876E5"/>
    <w:rsid w:val="00F9049B"/>
    <w:rsid w:val="00F912D3"/>
    <w:rsid w:val="00F92BEF"/>
    <w:rsid w:val="00F94E5B"/>
    <w:rsid w:val="00F97771"/>
    <w:rsid w:val="00FA43AC"/>
    <w:rsid w:val="00FA4972"/>
    <w:rsid w:val="00FA5457"/>
    <w:rsid w:val="00FA6869"/>
    <w:rsid w:val="00FA6C60"/>
    <w:rsid w:val="00FA6F4B"/>
    <w:rsid w:val="00FB03A2"/>
    <w:rsid w:val="00FB0EA6"/>
    <w:rsid w:val="00FB1DE7"/>
    <w:rsid w:val="00FB1E49"/>
    <w:rsid w:val="00FB2890"/>
    <w:rsid w:val="00FB2970"/>
    <w:rsid w:val="00FB37C7"/>
    <w:rsid w:val="00FB42F0"/>
    <w:rsid w:val="00FB45E4"/>
    <w:rsid w:val="00FB5818"/>
    <w:rsid w:val="00FB5915"/>
    <w:rsid w:val="00FB65C7"/>
    <w:rsid w:val="00FC001D"/>
    <w:rsid w:val="00FC14BE"/>
    <w:rsid w:val="00FC265C"/>
    <w:rsid w:val="00FC283E"/>
    <w:rsid w:val="00FC3DAA"/>
    <w:rsid w:val="00FC5165"/>
    <w:rsid w:val="00FC542F"/>
    <w:rsid w:val="00FC5505"/>
    <w:rsid w:val="00FD0494"/>
    <w:rsid w:val="00FD15F0"/>
    <w:rsid w:val="00FD1955"/>
    <w:rsid w:val="00FD1CCC"/>
    <w:rsid w:val="00FD21DD"/>
    <w:rsid w:val="00FD5337"/>
    <w:rsid w:val="00FD5DE0"/>
    <w:rsid w:val="00FD61FB"/>
    <w:rsid w:val="00FD6291"/>
    <w:rsid w:val="00FE15DE"/>
    <w:rsid w:val="00FE349E"/>
    <w:rsid w:val="00FE37E7"/>
    <w:rsid w:val="00FE4EE7"/>
    <w:rsid w:val="00FE600D"/>
    <w:rsid w:val="00FE6479"/>
    <w:rsid w:val="00FE755D"/>
    <w:rsid w:val="00FE77AA"/>
    <w:rsid w:val="00FF0FE0"/>
    <w:rsid w:val="00FF12F9"/>
    <w:rsid w:val="00FF2B34"/>
    <w:rsid w:val="00FF3BC0"/>
    <w:rsid w:val="00FF4141"/>
    <w:rsid w:val="00FF4591"/>
    <w:rsid w:val="00FF4C70"/>
    <w:rsid w:val="00FF4FF0"/>
    <w:rsid w:val="00FF6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o:shapelayout v:ext="edit">
      <o:idmap v:ext="edit" data="1"/>
    </o:shapelayout>
  </w:shapeDefaults>
  <w:decimalSymbol w:val=","/>
  <w:listSeparator w:val=";"/>
  <w14:docId w14:val="5CC3F5C4"/>
  <w15:chartTrackingRefBased/>
  <w15:docId w15:val="{61886A3C-7CFF-4CCF-B10B-C0DCB6437E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1040319">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281624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60766663">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3957448">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6987703">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1508049">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leparisien.fr/faits-divers/plus-de-400-ordonnances-derobees-ou-falsifiees-un-trafic-de-fentanyl-demantele-en-bretagne-12-06-2024-PR67YN2FUNCKPK6PE6O5H3MYEM.php" TargetMode="External"/><Relationship Id="rId21" Type="http://schemas.openxmlformats.org/officeDocument/2006/relationships/hyperlink" Target="https://peps.sante.gouv.fr/themes/subst_ven/subst.html" TargetMode="External"/><Relationship Id="rId42" Type="http://schemas.openxmlformats.org/officeDocument/2006/relationships/hyperlink" Target="https://www.legifrance.gouv.fr/jorf/id/JORFTEXT000049734339" TargetMode="External"/><Relationship Id="rId63" Type="http://schemas.openxmlformats.org/officeDocument/2006/relationships/hyperlink" Target="https://sante.gouv.fr/IMG/pdf/dgs-urgent__09_-_covid-19_-_interruption_des_commandes_et_arret_du_teleservice_vaccin_covid.pdf" TargetMode="External"/><Relationship Id="rId84" Type="http://schemas.openxmlformats.org/officeDocument/2006/relationships/hyperlink" Target="https://www.leem.org/publication/reduisons-le-volume-guide-du-bon-usage-des-medicaments-apres-65-ans" TargetMode="External"/><Relationship Id="rId138" Type="http://schemas.openxmlformats.org/officeDocument/2006/relationships/hyperlink" Target="https://657gg.r.a.d.sendibm1.com/mk/mr/sh/SMJz09SDriOHWPUdu9ZxkroEZuAV/6CHFbPTQGUHG" TargetMode="External"/><Relationship Id="rId159" Type="http://schemas.openxmlformats.org/officeDocument/2006/relationships/hyperlink" Target="https://ansm.sante.fr/actualites/progestatifs-et-risque-de-meningiome-renforcement-des-conditions-de-prescription-et-de-delivrance-de-depo-provera-150-mg-3-ml-et-colprone-5-mg" TargetMode="External"/><Relationship Id="rId170" Type="http://schemas.openxmlformats.org/officeDocument/2006/relationships/hyperlink" Target="https://ansm.sante.fr/disponibilites-des-produits-de-sante/medicaments/gabapentine100-mg-300-mg-400-mg-gelule-gabapentine" TargetMode="External"/><Relationship Id="rId191" Type="http://schemas.openxmlformats.org/officeDocument/2006/relationships/hyperlink" Target="https://ansm.sante.fr/disponibilites-des-produits-de-sante/medicaments/digoxine-nativelle-0-25-mg-comprime-digoxine" TargetMode="External"/><Relationship Id="rId205" Type="http://schemas.openxmlformats.org/officeDocument/2006/relationships/theme" Target="theme/theme1.xml"/><Relationship Id="rId107" Type="http://schemas.openxmlformats.org/officeDocument/2006/relationships/hyperlink" Target="https://www.preventioninfection.fr/actualites/primo-matis-prevention-du-risque-infectieux-en-esms-vos-protocoles-en-3-clics/" TargetMode="External"/><Relationship Id="rId11" Type="http://schemas.openxmlformats.org/officeDocument/2006/relationships/hyperlink" Target="https://peps.sante.gouv.fr/themes/subst_ven/subst.html" TargetMode="External"/><Relationship Id="rId32" Type="http://schemas.openxmlformats.org/officeDocument/2006/relationships/hyperlink" Target="https://www.legifrance.gouv.fr/jorf/id/JORFTEXT000049666154" TargetMode="External"/><Relationship Id="rId53" Type="http://schemas.openxmlformats.org/officeDocument/2006/relationships/hyperlink" Target="https://www.legifrance.gouv.fr/jorf/id/JORFTEXT000049765083" TargetMode="External"/><Relationship Id="rId74" Type="http://schemas.openxmlformats.org/officeDocument/2006/relationships/hyperlink" Target="https://www.ameli.fr/assure/actualites/semaine-nationale-de-la-sante-sexuelle-prevention-et-acces-la-contraception" TargetMode="External"/><Relationship Id="rId128" Type="http://schemas.openxmlformats.org/officeDocument/2006/relationships/hyperlink" Target="https://peps.sante.gouv.fr/actu/2024/24_dgs_epilation-laser_17062024.pdf" TargetMode="External"/><Relationship Id="rId149" Type="http://schemas.openxmlformats.org/officeDocument/2006/relationships/hyperlink" Target="https://www.ordre.pharmacien.fr/les-communications/focus-sur/les-communiques-de-presse/assurer-une-presence-pharmaceutique-en-tous-points-du-territoire-un-enjeu-de-sante-publique" TargetMode="External"/><Relationship Id="rId5" Type="http://schemas.openxmlformats.org/officeDocument/2006/relationships/footnotes" Target="footnotes.xml"/><Relationship Id="rId95" Type="http://schemas.openxmlformats.org/officeDocument/2006/relationships/hyperlink" Target="https://videos.senat.fr/video.4547528_660cee97a963d?timecode=1125000" TargetMode="External"/><Relationship Id="rId160" Type="http://schemas.openxmlformats.org/officeDocument/2006/relationships/hyperlink" Target="https://ansm.sante.fr/actualites/fortes-tensions-dapprovisionnement-en-methotrexate-injectable-1g-et-5g-des-alternatives-pour-pallier-la-rupture" TargetMode="External"/><Relationship Id="rId181" Type="http://schemas.openxmlformats.org/officeDocument/2006/relationships/hyperlink" Target="https://ansm.sante.fr/disponibilites-des-produits-de-sante/medicaments/solution-injectable-dadrenaline-en-stylo-prerempli-anapen-epipen-jext-adrenaline" TargetMode="External"/><Relationship Id="rId22" Type="http://schemas.openxmlformats.org/officeDocument/2006/relationships/hyperlink" Target="https://peps.sante.gouv.fr/themes/subst_ven/subst.html" TargetMode="External"/><Relationship Id="rId43" Type="http://schemas.openxmlformats.org/officeDocument/2006/relationships/hyperlink" Target="https://www.legifrance.gouv.fr/jorf/id/JORFTEXT000049734400" TargetMode="External"/><Relationship Id="rId64" Type="http://schemas.openxmlformats.org/officeDocument/2006/relationships/hyperlink" Target="https://www.ordre.pharmacien.fr/les-communications/focus-sur/les-actualites/teleservice-vaccin-covid-fermeture-definitive-le-28-juin" TargetMode="External"/><Relationship Id="rId118" Type="http://schemas.openxmlformats.org/officeDocument/2006/relationships/hyperlink" Target="https://igas.gouv.fr/Programmes-sanitaires-d-elevage-et-vente-de-medicaments-veterinaires-par-les.html" TargetMode="External"/><Relationship Id="rId139" Type="http://schemas.openxmlformats.org/officeDocument/2006/relationships/hyperlink" Target="https://peps.sante.gouv.fr/actu/2024/24_dgs_ide-preana-centrifugation_24062024.pdf" TargetMode="External"/><Relationship Id="rId85" Type="http://schemas.openxmlformats.org/officeDocument/2006/relationships/hyperlink" Target="https://www.leem.org/sites/default/files/2024-06/Leaflet%20BUM_1.pdf" TargetMode="External"/><Relationship Id="rId150" Type="http://schemas.openxmlformats.org/officeDocument/2006/relationships/hyperlink" Target="https://www.ameli.fr/laboratoire-d-analyses-medicales/actualites/depistage-organise-du-cancer-du-col-de-l-uterus-nouvelles-regles-de-facturation" TargetMode="External"/><Relationship Id="rId171" Type="http://schemas.openxmlformats.org/officeDocument/2006/relationships/hyperlink" Target="https://ansm.sante.fr/disponibilites-des-produits-de-sante/medicaments/neuleptil-10-mg-gelule-propericiazine" TargetMode="External"/><Relationship Id="rId192" Type="http://schemas.openxmlformats.org/officeDocument/2006/relationships/hyperlink" Target="https://ansm.sante.fr/disponibilites-des-produits-de-sante/medicaments/heparine-calcique-panpharma-25-000-ui-ml-solution-injectable-en-seringue-pre-remplie-s-c-de-0-2-ml-heparine-calcique" TargetMode="External"/><Relationship Id="rId206" Type="http://schemas.openxmlformats.org/officeDocument/2006/relationships/customXml" Target="../customXml/item1.xml"/><Relationship Id="rId12" Type="http://schemas.openxmlformats.org/officeDocument/2006/relationships/hyperlink" Target="https://peps.sante.gouv.fr/themes/subst_ven/subst.html" TargetMode="External"/><Relationship Id="rId33" Type="http://schemas.openxmlformats.org/officeDocument/2006/relationships/hyperlink" Target="https://www.legifrance.gouv.fr/jorf/id/JORFTEXT000049666157" TargetMode="External"/><Relationship Id="rId108" Type="http://schemas.openxmlformats.org/officeDocument/2006/relationships/hyperlink" Target="https://www.has-sante.fr/jcms/p_3520845/fr/detection-des-genomes-du-virus-de-la-grippe-a-et-b-et-du-sars-cov-2-par-rt-pcr-dans-un-contexte-d-exposition-a-risque-a-un-virus-influenza-zoonotique" TargetMode="External"/><Relationship Id="rId129" Type="http://schemas.openxmlformats.org/officeDocument/2006/relationships/hyperlink" Target="https://www.epi-phare.fr/rapports-detudes-et-publications/age-relatif-methylphenidate-orthophonie/" TargetMode="External"/><Relationship Id="rId54" Type="http://schemas.openxmlformats.org/officeDocument/2006/relationships/hyperlink" Target="https://www.legifrance.gouv.fr/jorf/id/JORFTEXT000049780515" TargetMode="External"/><Relationship Id="rId75" Type="http://schemas.openxmlformats.org/officeDocument/2006/relationships/hyperlink" Target="https://www.santepubliquefrance.fr/les-actualites/2024/sante-sexuelle-l-importance-du-dialogue-et-de-l-information" TargetMode="External"/><Relationship Id="rId96" Type="http://schemas.openxmlformats.org/officeDocument/2006/relationships/hyperlink" Target="https://videos.senat.fr/video.4580538_661667b9f25fd" TargetMode="External"/><Relationship Id="rId140" Type="http://schemas.openxmlformats.org/officeDocument/2006/relationships/hyperlink" Target="https://peps.sante.gouv.fr/actu/2024/24_dgos_ltr-cofrac-ide-preana-centrifugation_27102023.pdf" TargetMode="External"/><Relationship Id="rId161" Type="http://schemas.openxmlformats.org/officeDocument/2006/relationships/hyperlink" Target="https://ansm.sante.fr/actualites/difficultes-dapprovisionnement-en-rythmodan-250-mg-lp-ce-medicament-doit-etre-remplace-par-rythmodan-100-mg" TargetMode="External"/><Relationship Id="rId182" Type="http://schemas.openxmlformats.org/officeDocument/2006/relationships/hyperlink" Target="https://ansm.sante.fr/disponibilites-des-produits-de-sante/medicaments/iopamiron-370-mg-iode-ml-solution-injectable-en-100-200-et-500-ml-iopamidol" TargetMode="External"/><Relationship Id="rId6" Type="http://schemas.openxmlformats.org/officeDocument/2006/relationships/endnotes" Target="endnotes.xml"/><Relationship Id="rId23" Type="http://schemas.openxmlformats.org/officeDocument/2006/relationships/hyperlink" Target="https://peps.sante.gouv.fr/outils/guide_proced/guide.html" TargetMode="External"/><Relationship Id="rId119" Type="http://schemas.openxmlformats.org/officeDocument/2006/relationships/hyperlink" Target="https://www.lequotidiendupharmacien.fr/exercice-pro/des-gardes-mieux-remunerees-et-une-majoration-en-nuit-profonde" TargetMode="External"/><Relationship Id="rId44" Type="http://schemas.openxmlformats.org/officeDocument/2006/relationships/hyperlink" Target="https://www.ordre.pharmacien.fr/les-communications/focus-sur/les-actualites/delivrance-sans-ordonnance-d-antibiotiques-suite-a-un-test-positif-par-les-pharmaciens-d-officine-publication-des-textes" TargetMode="External"/><Relationship Id="rId65" Type="http://schemas.openxmlformats.org/officeDocument/2006/relationships/hyperlink" Target="https://www.ameli.fr/pharmacien/actualites/arret-total-du-teleservice-vaccin-covid-partir-du-28-juin" TargetMode="External"/><Relationship Id="rId86" Type="http://schemas.openxmlformats.org/officeDocument/2006/relationships/hyperlink" Target="https://www.ordre.pharmacien.fr/les-communications/focus-sur/les-actualites/extension-des-trod-realises-a-l-officine" TargetMode="External"/><Relationship Id="rId130" Type="http://schemas.openxmlformats.org/officeDocument/2006/relationships/hyperlink" Target="https://ansm.sante.fr/actualites/recours-au-methylphenidate-et-a-lorthophonie-chez-les-enfants-ages-de-5-a-10-ans-les-natifs-de-la-fin-dannee-y-sont-davantage-exposes-que-ceux-nes-en-debut-dannee-a-niveau-egal-de-scolarite" TargetMode="External"/><Relationship Id="rId151" Type="http://schemas.openxmlformats.org/officeDocument/2006/relationships/hyperlink" Target="https://ansm.sante.fr/actualites/rappel-de-cannes-anglaises-thuasne-globe-trotter-et-globe-trotter-pour-des-patients-pesant-plus-de-130-kg" TargetMode="External"/><Relationship Id="rId172" Type="http://schemas.openxmlformats.org/officeDocument/2006/relationships/hyperlink" Target="https://ansm.sante.fr/disponibilites-des-produits-de-sante/medicaments/largactil-100-mg-comprime-pellicule-secable-chlorpromazine" TargetMode="External"/><Relationship Id="rId193" Type="http://schemas.openxmlformats.org/officeDocument/2006/relationships/hyperlink" Target="https://ansm.sante.fr/disponibilites-des-produits-de-sante/vaccins/zostavax-poudre-et-solvant-pour-suspension-injectable-en-seringue-preremplie-vaccin-zona-vivant-attenue" TargetMode="External"/><Relationship Id="rId207" Type="http://schemas.openxmlformats.org/officeDocument/2006/relationships/customXml" Target="../customXml/item2.xml"/><Relationship Id="rId13" Type="http://schemas.openxmlformats.org/officeDocument/2006/relationships/hyperlink" Target="https://peps.sante.gouv.fr/themes/subst_ven/subst.html" TargetMode="External"/><Relationship Id="rId109" Type="http://schemas.openxmlformats.org/officeDocument/2006/relationships/hyperlink" Target="https://www.has-sante.fr/jcms/p_3520858/fr/avis-n2024-0048/ac/seap-du-6-juin-2024-du-college-de-la-has-relatif-a-l-extension-d-indication-sur-la-lap-mentionnee-a-l-article-l-162-1-7-du-css-de-l-acte-de-detection-des-genomes-du-virus-de-la-grippe-a-et-b-et-du-sars-cov-2-par-rt-pcr" TargetMode="External"/><Relationship Id="rId34" Type="http://schemas.openxmlformats.org/officeDocument/2006/relationships/hyperlink" Target="https://www.legifrance.gouv.fr/jorf/id/JORFTEXT000049666160" TargetMode="External"/><Relationship Id="rId55" Type="http://schemas.openxmlformats.org/officeDocument/2006/relationships/hyperlink" Target="https://www.legifrance.gouv.fr/jorf/id/JORFTEXT000049780632" TargetMode="External"/><Relationship Id="rId76" Type="http://schemas.openxmlformats.org/officeDocument/2006/relationships/hyperlink" Target="https://sante.gouv.fr/actualites/presse/communiques-de-presse/article/ouverture-de-la-session-2024-des-epreuves-de-verification-des-connaissances" TargetMode="External"/><Relationship Id="rId97" Type="http://schemas.openxmlformats.org/officeDocument/2006/relationships/hyperlink" Target="https://www.lesechos.fr/industrie-services/pharmacie-sante/pharmacie-euroapi-entame-une-procedure-de-mediation-avec-ses-creanciers-2099851" TargetMode="External"/><Relationship Id="rId120" Type="http://schemas.openxmlformats.org/officeDocument/2006/relationships/hyperlink" Target="https://www.occitanie.ars.sante.fr/professionnels-de-sante-conseils-pour-votre-pratique" TargetMode="External"/><Relationship Id="rId141" Type="http://schemas.openxmlformats.org/officeDocument/2006/relationships/hyperlink" Target="https://peps.sante.gouv.fr/actu/2024/24_cofrac_note-lbm-ide-preana_juin2024.pdf" TargetMode="External"/><Relationship Id="rId7" Type="http://schemas.openxmlformats.org/officeDocument/2006/relationships/image" Target="media/image1.jpeg"/><Relationship Id="rId162" Type="http://schemas.openxmlformats.org/officeDocument/2006/relationships/hyperlink" Target="https://www.lesechos.fr/industrie-services/pharmacie-sante/la-ventoline-sajoute-a-la-liste-des-medicaments-sous-tension-2099907" TargetMode="External"/><Relationship Id="rId183" Type="http://schemas.openxmlformats.org/officeDocument/2006/relationships/hyperlink" Target="https://ansm.sante.fr/disponibilites-des-produits-de-sante/medicaments/iomeron-150-250-300-350-et-400-mg-iode-ml-solution-injectable-en-100-150-200-250-et-500-ml-iomeprol" TargetMode="External"/><Relationship Id="rId24" Type="http://schemas.openxmlformats.org/officeDocument/2006/relationships/hyperlink" Target="https://peps.sante.gouv.fr/textes_projets/projets.html" TargetMode="External"/><Relationship Id="rId40" Type="http://schemas.openxmlformats.org/officeDocument/2006/relationships/hyperlink" Target="https://peps.sante.gouv.fr/outils/docu/textes_texto/24_note_2024-85_immunoglobulines.pdf" TargetMode="External"/><Relationship Id="rId45" Type="http://schemas.openxmlformats.org/officeDocument/2006/relationships/hyperlink" Target="https://www.lequotidiendupharmacien.fr/exercice-pro/trod-angine-et-cystite-la-prescription-des-antibiotiques-cest-presque-parti" TargetMode="External"/><Relationship Id="rId66" Type="http://schemas.openxmlformats.org/officeDocument/2006/relationships/hyperlink" Target="https://www.ameli.fr/assure/actualites/covid-19-le-teleservice-attestation-de-vaccination-sera-ferme-partir-du-2-septembre-2024" TargetMode="External"/><Relationship Id="rId87" Type="http://schemas.openxmlformats.org/officeDocument/2006/relationships/hyperlink" Target="https://www.ordre.pharmacien.fr/les-communications/focus-sur/les-actualites/acide-hyaluronique-injectable-uniquement-sur-prescription" TargetMode="External"/><Relationship Id="rId110" Type="http://schemas.openxmlformats.org/officeDocument/2006/relationships/hyperlink" Target="https://www.has-sante.fr/jcms/p_3520844/fr/detection-des-genomes-du-virus-de-la-grippe-a-et-b-et-du-sars-cov-2-par-rt-pcr-dans-un-contexte-d-exposition-a-risque-a-un-virus-influenza-zoonotique-argumentaire" TargetMode="External"/><Relationship Id="rId115" Type="http://schemas.openxmlformats.org/officeDocument/2006/relationships/hyperlink" Target="https://www.ordre.pharmacien.fr/les-communications/focus-sur/les-actualites/experimentation-le-plastique-de-stylos-injecteurs-desormais-recycle-dans-les-boi-tes-violettes-recypen" TargetMode="External"/><Relationship Id="rId131" Type="http://schemas.openxmlformats.org/officeDocument/2006/relationships/hyperlink" Target="https://www.hcsp.fr/Explore.cgi/avisrapportsdomaine?clefr=1379" TargetMode="External"/><Relationship Id="rId136" Type="http://schemas.openxmlformats.org/officeDocument/2006/relationships/hyperlink" Target="https://657gg.r.a.d.sendibm1.com/mk/mr/sh/SMJz09SDriOHWPUdu9ZxkroEZuAV/iyNDQ_svWzlt" TargetMode="External"/><Relationship Id="rId157" Type="http://schemas.openxmlformats.org/officeDocument/2006/relationships/hyperlink" Target="https://uspo.fr/reseau-officinal-en-declin-va-t-on-vers-la-generalisation-de-deserts-pharmaceutiques/" TargetMode="External"/><Relationship Id="rId178" Type="http://schemas.openxmlformats.org/officeDocument/2006/relationships/hyperlink" Target="https://ansm.sante.fr/disponibilites-des-produits-de-sante/medicaments/methotrexate-teva-10-pour-cent-solution-injectable-flacon-de-50-ml-methotrexate" TargetMode="External"/><Relationship Id="rId61" Type="http://schemas.openxmlformats.org/officeDocument/2006/relationships/hyperlink" Target="https://www.santepubliquefrance.fr/media/files/01-maladies-et-traumatismes/maladies-et-infections-respiratoires/infection-a-coronavirus/analyse-de-risque-liee-aux-variants-emergents-de-sars-cov-2-10-06-24" TargetMode="External"/><Relationship Id="rId82" Type="http://schemas.openxmlformats.org/officeDocument/2006/relationships/hyperlink" Target="https://www.santepubliquefrance.fr/maladies-et-traumatismes/maladies-a-transmission-vectorielle/chikungunya/articles/donnees-en-france-metropolitaine/chikungunya-dengue-et-zika-donnees-de-la-surveillance-renforcee-en-france-hexagonale-2024" TargetMode="External"/><Relationship Id="rId152" Type="http://schemas.openxmlformats.org/officeDocument/2006/relationships/hyperlink" Target="https://www.has-sante.fr/jcms/p_3525542/fr/choix-et-durees-d-antibiotherapies-coqueluche-chez-le-nourrisson-l-enfant-et-l-adulte" TargetMode="External"/><Relationship Id="rId173" Type="http://schemas.openxmlformats.org/officeDocument/2006/relationships/hyperlink" Target="https://ansm.sante.fr/disponibilites-des-produits-de-sante/medicaments/largactil-25-mg-comprime-pellicule-chlorpromazine" TargetMode="External"/><Relationship Id="rId194" Type="http://schemas.openxmlformats.org/officeDocument/2006/relationships/hyperlink" Target="https://ansm.sante.fr/disponibilites-des-produits-de-sante/medicaments/concerta-lp-comprime-a-liberation-prolongee-methylphenidate-chlorhydrate-de" TargetMode="External"/><Relationship Id="rId199" Type="http://schemas.openxmlformats.org/officeDocument/2006/relationships/header" Target="header2.xml"/><Relationship Id="rId203" Type="http://schemas.openxmlformats.org/officeDocument/2006/relationships/footer" Target="footer3.xml"/><Relationship Id="rId19" Type="http://schemas.openxmlformats.org/officeDocument/2006/relationships/hyperlink" Target="https://peps.sante.gouv.fr/themes/subst_ven/subst.html" TargetMode="External"/><Relationship Id="rId14" Type="http://schemas.openxmlformats.org/officeDocument/2006/relationships/hyperlink" Target="https://peps.sante.gouv.fr/themes/subst_ven/subst.html" TargetMode="External"/><Relationship Id="rId30" Type="http://schemas.openxmlformats.org/officeDocument/2006/relationships/hyperlink" Target="https://ansm.sante.fr/actualites/decision-du-22-05-2024-portant-modification-de-la-liste-des-substances-classees-comme-stupefiants" TargetMode="External"/><Relationship Id="rId35" Type="http://schemas.openxmlformats.org/officeDocument/2006/relationships/hyperlink" Target="https://peps.sante.gouv.fr/actu/2024/24_ce-474127_anapath-coresponsable-lbm_24052024.docx" TargetMode="External"/><Relationship Id="rId56" Type="http://schemas.openxmlformats.org/officeDocument/2006/relationships/hyperlink" Target="https://ansm.sante.fr/actualites/decision-du-21-06-2024-portant-inscription-sur-les-listes-i-et-ii-des-substances-veneneuses-definies-a-larticle-l-5132-6-du-code-de-la-sante-publique" TargetMode="External"/><Relationship Id="rId77" Type="http://schemas.openxmlformats.org/officeDocument/2006/relationships/hyperlink" Target="https://www.legifrance.gouv.fr/jorf/id/JORFTEXT000049631434" TargetMode="External"/><Relationship Id="rId100" Type="http://schemas.openxmlformats.org/officeDocument/2006/relationships/hyperlink" Target="https://www.santepubliquefrance.fr/les-actualites/2024/resurgence-de-la-coqueluche-en-france-les-mesures-de-prevention-sont-essentielles-pour-eviter-des-cas-graves-et-des-deces-chez-les-nourrissons" TargetMode="External"/><Relationship Id="rId105" Type="http://schemas.openxmlformats.org/officeDocument/2006/relationships/hyperlink" Target="https://www.santepubliquefrance.fr/maladies-et-traumatismes/infections-associees-aux-soins-et-resistance-aux-antibiotiques/resistance-aux-antibiotiques/documents/rapport-synthese/surveillance-de-la-consommation-d-antibiotiques-et-des-resistances-bacteriennes-en-etablissement-de-sante.-mission-spares-resultats-2022" TargetMode="External"/><Relationship Id="rId126" Type="http://schemas.openxmlformats.org/officeDocument/2006/relationships/hyperlink" Target="https://www.fspf.fr/avenant-economique-pourquoi-il-etait-vital-de-signer/" TargetMode="External"/><Relationship Id="rId147" Type="http://schemas.openxmlformats.org/officeDocument/2006/relationships/hyperlink" Target="https://sante.gouv.fr/IMG/pdf/covars-aviscomplem._wnv_-_usutu_2024.pdf" TargetMode="External"/><Relationship Id="rId168" Type="http://schemas.openxmlformats.org/officeDocument/2006/relationships/hyperlink" Target="https://ansm.sante.fr/disponibilites-des-produits-de-sante/medicaments/immunoglobuline-humaine-normale-iv-et-sc-a-base-de-immunoglobuline-humaine-normale-igg" TargetMode="External"/><Relationship Id="rId8" Type="http://schemas.openxmlformats.org/officeDocument/2006/relationships/image" Target="media/image2.png"/><Relationship Id="rId51" Type="http://schemas.openxmlformats.org/officeDocument/2006/relationships/hyperlink" Target="https://sante.gouv.fr/actualites/presse/communiques-de-presse/article/loi-visant-a-ameliorer-l-encadrement-des-centres-de-sante-publication-des" TargetMode="External"/><Relationship Id="rId72" Type="http://schemas.openxmlformats.org/officeDocument/2006/relationships/hyperlink" Target="https://peps.sante.gouv.fr/actu/2024/24_mars_2024-06.pdf" TargetMode="External"/><Relationship Id="rId93" Type="http://schemas.openxmlformats.org/officeDocument/2006/relationships/hyperlink" Target="https://presse.agence-biomedecine.fr/barometre-dopinion-sur-le-don-de-gametes-les-francais-de-mieux-en-mieux-informes-les-jeunes-moins-prets-a-donner/" TargetMode="External"/><Relationship Id="rId98" Type="http://schemas.openxmlformats.org/officeDocument/2006/relationships/hyperlink" Target="https://peps.sante.gouv.fr/actu/2024/24_mars_2024-07.pdf" TargetMode="External"/><Relationship Id="rId121" Type="http://schemas.openxmlformats.org/officeDocument/2006/relationships/hyperlink" Target="https://rese.intranet.sante.gouv.fr/santenv/interven/lav/metro/aedes/ars34/po.htm" TargetMode="External"/><Relationship Id="rId142" Type="http://schemas.openxmlformats.org/officeDocument/2006/relationships/hyperlink" Target="https://www.ameli.fr/pharmacien/actualites/simplification-de-la-prise-en-charge-des-angines-et-cystites-par-les-pharmaciens" TargetMode="External"/><Relationship Id="rId163" Type="http://schemas.openxmlformats.org/officeDocument/2006/relationships/hyperlink" Target="https://ansm.sante.fr/disponibilites-des-produits-de-sante/medicaments/methylphenidate-arrow-lp-gelule-a-liberation-prolongee-methylphenidate-chlorhydrate-de" TargetMode="External"/><Relationship Id="rId184" Type="http://schemas.openxmlformats.org/officeDocument/2006/relationships/hyperlink" Target="https://ansm.sante.fr/disponibilites-des-produits-de-sante/medicaments/glucantime-1-5-g-5-ml-solution-injectable-meglumine-antimoniate-de" TargetMode="External"/><Relationship Id="rId189" Type="http://schemas.openxmlformats.org/officeDocument/2006/relationships/hyperlink" Target="https://ansm.sante.fr/disponibilites-des-produits-de-sante/medicaments/gabapentine-100-mg-et-400-mg-gelule-gabapentine" TargetMode="External"/><Relationship Id="rId3" Type="http://schemas.openxmlformats.org/officeDocument/2006/relationships/settings" Target="settings.xml"/><Relationship Id="rId25" Type="http://schemas.openxmlformats.org/officeDocument/2006/relationships/hyperlink" Target="https://peps.sante.gouv.fr/outils/docu/texto.xlsm" TargetMode="External"/><Relationship Id="rId46" Type="http://schemas.openxmlformats.org/officeDocument/2006/relationships/hyperlink" Target="https://www.service-public.fr/particuliers/actualites/A17229" TargetMode="External"/><Relationship Id="rId67" Type="http://schemas.openxmlformats.org/officeDocument/2006/relationships/hyperlink" Target="https://www.santepubliquefrance.fr/maladies-et-traumatismes/maladies-et-infections-respiratoires/infection-a-coronavirus/documents/bulletin-national/covid-19-en-france.-point-au-19-juin-2024" TargetMode="External"/><Relationship Id="rId116" Type="http://schemas.openxmlformats.org/officeDocument/2006/relationships/hyperlink" Target="https://www.lequotidiendupharmacien.fr/exercice-pro/recycler-les-stylos-insuline-oui-mais-pas-nimporte-quel-prix" TargetMode="External"/><Relationship Id="rId137" Type="http://schemas.openxmlformats.org/officeDocument/2006/relationships/hyperlink" Target="https://657gg.r.a.d.sendibm1.com/mk/mr/sh/SMJz09SDriOHWPUdu9ZxkroEZuAV/7arnIxi4IH6Y" TargetMode="External"/><Relationship Id="rId158" Type="http://schemas.openxmlformats.org/officeDocument/2006/relationships/hyperlink" Target="https://peps.sante.gouv.fr/actu/2024/24_prescrire_implants-mammaires-lymphomes_26062024.pdf" TargetMode="External"/><Relationship Id="rId20" Type="http://schemas.openxmlformats.org/officeDocument/2006/relationships/hyperlink" Target="https://peps.sante.gouv.fr/themes/subst_ven/subst.html" TargetMode="External"/><Relationship Id="rId41" Type="http://schemas.openxmlformats.org/officeDocument/2006/relationships/hyperlink" Target="https://www.legifrance.gouv.fr/jorf/id/JORFTEXT000049734265" TargetMode="External"/><Relationship Id="rId62" Type="http://schemas.openxmlformats.org/officeDocument/2006/relationships/hyperlink" Target="https://peps.sante.gouv.fr/actu/ncov/24_mars_2024-08.pdf" TargetMode="External"/><Relationship Id="rId83" Type="http://schemas.openxmlformats.org/officeDocument/2006/relationships/hyperlink" Target="https://ansm.sante.fr/actualites/la-liste-des-never-events-est-actualisee" TargetMode="External"/><Relationship Id="rId88" Type="http://schemas.openxmlformats.org/officeDocument/2006/relationships/hyperlink" Target="https://www.ameli.fr/bouches-du-rhone/assure/actualites/medecine-esthetique-une-prescription-medicale-obligatoire-pour-l-injection-d-acide-hyaluronique" TargetMode="External"/><Relationship Id="rId111" Type="http://schemas.openxmlformats.org/officeDocument/2006/relationships/hyperlink" Target="https://peps.sante.gouv.fr/actu/2024/24_prescrire_isotretinoine-femme-enceinte-france_juin2024.pdf" TargetMode="External"/><Relationship Id="rId132" Type="http://schemas.openxmlformats.org/officeDocument/2006/relationships/hyperlink" Target="https://www.lequotidiendupharmacien.fr/exercice-pro/plus-de-90-000-ordonnances-numeriques-executees-en-pharmacie" TargetMode="External"/><Relationship Id="rId153" Type="http://schemas.openxmlformats.org/officeDocument/2006/relationships/hyperlink" Target="https://www.has-sante.fr/jcms/p_3525561/fr/choix-et-durees-d-antibiotherapies-coqueluche-chez-le-nourrisson-l-enfant-et-l-adulte-fiche-memo" TargetMode="External"/><Relationship Id="rId174" Type="http://schemas.openxmlformats.org/officeDocument/2006/relationships/hyperlink" Target="https://ansm.sante.fr/disponibilites-des-produits-de-sante/medicaments/rythmodan-250-mg-a-liberation-prolongee-comprime-enrobe-disopyramide-phosphate-de" TargetMode="External"/><Relationship Id="rId179" Type="http://schemas.openxmlformats.org/officeDocument/2006/relationships/hyperlink" Target="https://ansm.sante.fr/disponibilites-des-produits-de-sante/medicaments/umuline-profil-30-100-ui-ml-suspension-injectable-en-flacon-insuline-humaine-recombinante-isophane-biphasique" TargetMode="External"/><Relationship Id="rId195" Type="http://schemas.openxmlformats.org/officeDocument/2006/relationships/hyperlink" Target="https://ansm.sante.fr/disponibilites-des-produits-de-sante/medicaments/heparine-calcique-panpharma-25-000-ui-ml-solution-injectable-en-seringue-pre-remplie-s-c-de-0-2-ml-heparine-calcique" TargetMode="External"/><Relationship Id="rId190" Type="http://schemas.openxmlformats.org/officeDocument/2006/relationships/hyperlink" Target="https://ansm.sante.fr/disponibilites-des-produits-de-sante/medicaments/acarbose-50-mg-specialites-a-base-d" TargetMode="External"/><Relationship Id="rId204" Type="http://schemas.openxmlformats.org/officeDocument/2006/relationships/fontTable" Target="fontTable.xml"/><Relationship Id="rId15" Type="http://schemas.openxmlformats.org/officeDocument/2006/relationships/hyperlink" Target="https://peps.sante.gouv.fr/themes/subst_ven/subst.html" TargetMode="External"/><Relationship Id="rId36" Type="http://schemas.openxmlformats.org/officeDocument/2006/relationships/hyperlink" Target="https://peps.sante.gouv.fr/outils/docu/textes_texto/24_note_2024-83_beyfortus.pdf" TargetMode="External"/><Relationship Id="rId57" Type="http://schemas.openxmlformats.org/officeDocument/2006/relationships/hyperlink" Target="https://ansm.sante.fr/actualites/a-compter-du-10-07-2024-la-cyproheptadine-periactine-4mg-sera-dispensee-uniquement-sur-ordonnance" TargetMode="External"/><Relationship Id="rId106" Type="http://schemas.openxmlformats.org/officeDocument/2006/relationships/hyperlink" Target="https://www.drogues.gouv.fr/sites/default/files/2024-06/Fiche_cocaine-sport.pdf" TargetMode="External"/><Relationship Id="rId127" Type="http://schemas.openxmlformats.org/officeDocument/2006/relationships/hyperlink" Target="https://www.fspf.fr/wp-content/uploads/2024/06/Infographie-2024-Avenant-economique.pdf" TargetMode="External"/><Relationship Id="rId10" Type="http://schemas.openxmlformats.org/officeDocument/2006/relationships/hyperlink" Target="https://peps.sante.gouv.fr/themes/subst_ven/subst.html" TargetMode="External"/><Relationship Id="rId31" Type="http://schemas.openxmlformats.org/officeDocument/2006/relationships/hyperlink" Target="https://ansm.sante.fr/actualites/decision-du-28-05-2024-fixant-les-regles-auxquelles-se-conforment-les-ersa-pour-effectuer-le-deconditionnement-et-le-reconditionnement-des-specialites-pharmaceutiques-beneficiant-dune-amm-prevue-a-larticle-l-5121-8-du-csp" TargetMode="External"/><Relationship Id="rId52" Type="http://schemas.openxmlformats.org/officeDocument/2006/relationships/hyperlink" Target="https://www.legifrance.gouv.fr/jorf/id/JORFTEXT000049765073" TargetMode="External"/><Relationship Id="rId73" Type="http://schemas.openxmlformats.org/officeDocument/2006/relationships/hyperlink" Target="https://sante.gouv.fr/actualites/presse/communiques-de-presse/article/troisieme-edition-de-la-semaine-de-la-sante-sexuelle-du-3-au-9-juin-2024" TargetMode="External"/><Relationship Id="rId78" Type="http://schemas.openxmlformats.org/officeDocument/2006/relationships/hyperlink" Target="https://www.santepubliquefrance.fr/content/download/629983/4300390?version=3" TargetMode="External"/><Relationship Id="rId94" Type="http://schemas.openxmlformats.org/officeDocument/2006/relationships/hyperlink" Target="https://videos.senat.fr/video.4580397_6616677de3e42" TargetMode="External"/><Relationship Id="rId99" Type="http://schemas.openxmlformats.org/officeDocument/2006/relationships/hyperlink" Target="https://sante.gouv.fr/IMG/pdf/dgs-urgent_no2024_08_coqueluche.pdf" TargetMode="External"/><Relationship Id="rId101" Type="http://schemas.openxmlformats.org/officeDocument/2006/relationships/hyperlink" Target="https://www.santepubliquefrance.fr/les-actualites/2024/chikungunya-dengue-et-zika-les-professionnels-de-sante-au-centre-du-dispositif-de-prevention-et-de-surveillance-epidemiologique" TargetMode="External"/><Relationship Id="rId122" Type="http://schemas.openxmlformats.org/officeDocument/2006/relationships/hyperlink" Target="https://www.infectiologie.com/UserFiles/File/spilf/recos/doses-spilf-sfpt-casfm-2024.pdf" TargetMode="External"/><Relationship Id="rId143" Type="http://schemas.openxmlformats.org/officeDocument/2006/relationships/hyperlink" Target="https://peps.sante.gouv.fr/actu/2024/24_prescrire_angine-cystites-officine_21062024.pdf" TargetMode="External"/><Relationship Id="rId148" Type="http://schemas.openxmlformats.org/officeDocument/2006/relationships/hyperlink" Target="https://r.lactu.ordre.pharmacien.fr/mk/mr/sh/1t6AVsd2XFnIGKAdDopc3lJpAaJhBp/V-vD_gpHMGr5" TargetMode="External"/><Relationship Id="rId164" Type="http://schemas.openxmlformats.org/officeDocument/2006/relationships/hyperlink" Target="https://ansm.sante.fr/disponibilites-des-produits-de-sante/medicaments/ritaline-l-p-10-mg-20-mg-30-mg-et-40mg-gelule-a-liberation-prolongee-methylphenidate-chlorhydrate-de" TargetMode="External"/><Relationship Id="rId169" Type="http://schemas.openxmlformats.org/officeDocument/2006/relationships/hyperlink" Target="https://ansm.sante.fr/disponibilites-des-produits-de-sante/medicaments/humalog-100-ui-ml-solution-injectable-en-flacon-insuline-lispro" TargetMode="External"/><Relationship Id="rId185" Type="http://schemas.openxmlformats.org/officeDocument/2006/relationships/hyperlink" Target="https://ansm.sante.fr/disponibilites-des-produits-de-sante/medicaments/timoptol-0-25-collyre-en-solution-timolol-maleate-de" TargetMode="External"/><Relationship Id="rId4" Type="http://schemas.openxmlformats.org/officeDocument/2006/relationships/webSettings" Target="webSettings.xml"/><Relationship Id="rId9" Type="http://schemas.openxmlformats.org/officeDocument/2006/relationships/hyperlink" Target="https://peps.sante.gouv.fr/themes/subst_ven/subst.html" TargetMode="External"/><Relationship Id="rId180" Type="http://schemas.openxmlformats.org/officeDocument/2006/relationships/hyperlink" Target="https://ansm.sante.fr/disponibilites-des-produits-de-sante/medicaments/acarbose-50-mg-specialites-a-base-d" TargetMode="External"/><Relationship Id="rId26" Type="http://schemas.openxmlformats.org/officeDocument/2006/relationships/hyperlink" Target="https://www.ordre.pharmacien.fr/les-communications/focus-sur/les-actualites/dissolution-de-l-assemblee-nationale-quelles-consequences-pour-les-textes-en-cours" TargetMode="External"/><Relationship Id="rId47" Type="http://schemas.openxmlformats.org/officeDocument/2006/relationships/hyperlink" Target="https://www.legifrance.gouv.fr/jorf/id/JORFTEXT000049734354" TargetMode="External"/><Relationship Id="rId68" Type="http://schemas.openxmlformats.org/officeDocument/2006/relationships/hyperlink" Target="http://peps.intranet.sante.gouv.fr/actu/actualites.html" TargetMode="External"/><Relationship Id="rId89" Type="http://schemas.openxmlformats.org/officeDocument/2006/relationships/hyperlink" Target="https://www.has-sante.fr/jcms/p_3520515/fr/diabete-de-type-2-les-therapies-non-medicamenteuses-d-abord" TargetMode="External"/><Relationship Id="rId112" Type="http://schemas.openxmlformats.org/officeDocument/2006/relationships/hyperlink" Target="https://www.has-sante.fr/jcms/p_3522378/fr/vaccination-maternelle-contre-le-vrs-une-nouvelle-possibilite-pour-proteger-le-nouveau-ne" TargetMode="External"/><Relationship Id="rId133" Type="http://schemas.openxmlformats.org/officeDocument/2006/relationships/hyperlink" Target="https://www.ordre.pharmacien.fr/les-communications/focus-sur/les-actualites/dossier-pharmaceutique-generalisation-du-nouveau-regime" TargetMode="External"/><Relationship Id="rId154" Type="http://schemas.openxmlformats.org/officeDocument/2006/relationships/hyperlink" Target="https://www.hcsp.fr/Explore.cgi/avisrapportsdomaine?clefr=1381" TargetMode="External"/><Relationship Id="rId175" Type="http://schemas.openxmlformats.org/officeDocument/2006/relationships/hyperlink" Target="https://ansm.sante.fr/disponibilites-des-produits-de-sante/medicaments/xylocaine-5-mg-ml-sans-conservateur-solution-injectable-chlorhydrate-de-lidocaine" TargetMode="External"/><Relationship Id="rId196" Type="http://schemas.openxmlformats.org/officeDocument/2006/relationships/hyperlink" Target="https://ansm.sante.fr/disponibilites-des-produits-de-sante/medicaments/heparine-sodique-panpharma-5000-ui-ml-en-flacon-de-5ml-solution-injectable-heparine-sodique" TargetMode="External"/><Relationship Id="rId200" Type="http://schemas.openxmlformats.org/officeDocument/2006/relationships/footer" Target="footer1.xml"/><Relationship Id="rId16" Type="http://schemas.openxmlformats.org/officeDocument/2006/relationships/hyperlink" Target="https://peps.sante.gouv.fr/themes/subst_ven/subst.html" TargetMode="External"/><Relationship Id="rId37" Type="http://schemas.openxmlformats.org/officeDocument/2006/relationships/hyperlink" Target="https://peps.sante.gouv.fr/actu/2024/24_instruction_2024-70_vagues-chaleur.pdf" TargetMode="External"/><Relationship Id="rId58" Type="http://schemas.openxmlformats.org/officeDocument/2006/relationships/hyperlink" Target="http://peps.intranet.sante.gouv.fr/actu/actualites.html" TargetMode="External"/><Relationship Id="rId79" Type="http://schemas.openxmlformats.org/officeDocument/2006/relationships/hyperlink" Target="https://www.ofdt.fr/BDD/publications/docs/ENCLASS_DROM_2024.pdf" TargetMode="External"/><Relationship Id="rId102" Type="http://schemas.openxmlformats.org/officeDocument/2006/relationships/hyperlink" Target="https://www.anses.fr/fr/content/comment-fonctionne-reach" TargetMode="External"/><Relationship Id="rId123" Type="http://schemas.openxmlformats.org/officeDocument/2006/relationships/hyperlink" Target="https://www.has-sante.fr/jcms/p_3525164/fr/certification-des-prestataires-de-services-et-distributeurs-de-materiel-psdm-la-has-publie-le-referentiel" TargetMode="External"/><Relationship Id="rId144" Type="http://schemas.openxmlformats.org/officeDocument/2006/relationships/hyperlink" Target="https://peps.sante.gouv.fr/actu/2024/24_prescrire_effet-duree-vie-depistage-systematique-cancer_20062024.pdf" TargetMode="External"/><Relationship Id="rId90" Type="http://schemas.openxmlformats.org/officeDocument/2006/relationships/hyperlink" Target="https://www.infectiologie.com/fr/actualites/gazette-de-l-infectiologie-la-phagotherapie-ces-virus-qui-nous-font-du-bien_-n.html" TargetMode="External"/><Relationship Id="rId165" Type="http://schemas.openxmlformats.org/officeDocument/2006/relationships/hyperlink" Target="https://ansm.sante.fr/disponibilites-des-produits-de-sante/medicaments/colofoam-mousse-rectale-acetate-dhydrocortisone" TargetMode="External"/><Relationship Id="rId186" Type="http://schemas.openxmlformats.org/officeDocument/2006/relationships/hyperlink" Target="https://ansm.sante.fr/disponibilites-des-produits-de-sante/medicaments/zinnat-125-mg-5-ml-enfants-et-nourrissons-granules-pour-suspension-buvable-en-flacon-de-40-ml-cefuroxime-axetil" TargetMode="External"/><Relationship Id="rId27" Type="http://schemas.openxmlformats.org/officeDocument/2006/relationships/hyperlink" Target="https://www.legifrance.gouv.fr/jorf/id/JORFTEXT000049629987" TargetMode="External"/><Relationship Id="rId48" Type="http://schemas.openxmlformats.org/officeDocument/2006/relationships/hyperlink" Target="https://www.legifrance.gouv.fr/jorf/id/JORFTEXT000049734366" TargetMode="External"/><Relationship Id="rId69" Type="http://schemas.openxmlformats.org/officeDocument/2006/relationships/hyperlink" Target="https://peps.sante.gouv.fr/actu/actualites.html" TargetMode="External"/><Relationship Id="rId113" Type="http://schemas.openxmlformats.org/officeDocument/2006/relationships/hyperlink" Target="https://www.santepubliquefrance.fr/maladies-et-traumatismes/maladies-transmissibles-de-l-animal-a-l-homme/monkeypox/documents/bulletin-national/infection-a-virus-monkeypox-en-france.-janvier-a-avril-2024" TargetMode="External"/><Relationship Id="rId134" Type="http://schemas.openxmlformats.org/officeDocument/2006/relationships/hyperlink" Target="https://www.ordre.pharmacien.fr/les-communications/focus-sur/les-actualites/risque-de-meningiomes-nouvelles-conditions-de-prescription-et-de-delivrance-de-colprone-et-depo-provera" TargetMode="External"/><Relationship Id="rId80" Type="http://schemas.openxmlformats.org/officeDocument/2006/relationships/hyperlink" Target="https://peps.sante.gouv.fr/actu/2024/24_ars-ara_analyse-jugement-ta-inaction-fautive-inspection_30052024.pdf" TargetMode="External"/><Relationship Id="rId155" Type="http://schemas.openxmlformats.org/officeDocument/2006/relationships/hyperlink" Target="https://www.dastri.fr/wp-content/uploads/2024/06/CP-DASTRI-RA-2023-chiffres-25.06.2024.pdf" TargetMode="External"/><Relationship Id="rId176" Type="http://schemas.openxmlformats.org/officeDocument/2006/relationships/hyperlink" Target="https://ansm.sante.fr/disponibilites-des-produits-de-sante/medicaments/zophren-4-mg-5-ml-sirop-ondansetron" TargetMode="External"/><Relationship Id="rId197" Type="http://schemas.openxmlformats.org/officeDocument/2006/relationships/hyperlink" Target="https://ansm.sante.fr/disponibilites-des-produits-de-sante/medicaments/metronidazole-250-mg-et-500-mg-comprime-pellicule-metronidazole" TargetMode="External"/><Relationship Id="rId201" Type="http://schemas.openxmlformats.org/officeDocument/2006/relationships/footer" Target="footer2.xml"/><Relationship Id="rId17" Type="http://schemas.openxmlformats.org/officeDocument/2006/relationships/hyperlink" Target="https://peps.sante.gouv.fr/themes/subst_ven/subst.html" TargetMode="External"/><Relationship Id="rId38" Type="http://schemas.openxmlformats.org/officeDocument/2006/relationships/hyperlink" Target="https://ansm.sante.fr/actualites/decision-du-28-05-2024-modifiant-la-decision-du-29-12-2015-modifiee-relative-aux-bonnes-pratiques-de-fabrication" TargetMode="External"/><Relationship Id="rId59" Type="http://schemas.openxmlformats.org/officeDocument/2006/relationships/hyperlink" Target="https://peps.sante.gouv.fr/actu/ncov/actus_2019-ncov.html" TargetMode="External"/><Relationship Id="rId103" Type="http://schemas.openxmlformats.org/officeDocument/2006/relationships/hyperlink" Target="https://ansm.sante.fr/actualites/synapse-labs-la-commission-europeenne-impose-la-suspension-des-autorisations-de-mise-sur-le-marche-de-certains-medicaments" TargetMode="External"/><Relationship Id="rId124" Type="http://schemas.openxmlformats.org/officeDocument/2006/relationships/hyperlink" Target="https://www.has-sante.fr/jcms/p_3293982/fr/bonnes-pratiques-professionnelles-des-prestataires-de-services-et-distributeurs-de-materiel-psdm" TargetMode="External"/><Relationship Id="rId70" Type="http://schemas.openxmlformats.org/officeDocument/2006/relationships/hyperlink" Target="https://www.mediapart.fr/journal/international/220524/les-pays-de-l-union-europeenne-se-disputent-les-medecins-etrangers" TargetMode="External"/><Relationship Id="rId91" Type="http://schemas.openxmlformats.org/officeDocument/2006/relationships/hyperlink" Target="https://www.infectiologie.com/fr/actualites/dengue_-n.html" TargetMode="External"/><Relationship Id="rId145" Type="http://schemas.openxmlformats.org/officeDocument/2006/relationships/hyperlink" Target="https://www.has-sante.fr/jcms/p_3525823/fr/la-has-precise-le-cadre-du-pari-de-l-acces-precoce-aux-medicaments" TargetMode="External"/><Relationship Id="rId166" Type="http://schemas.openxmlformats.org/officeDocument/2006/relationships/hyperlink" Target="https://ansm.sante.fr/uploads/2024/06/03/20240603-rs-methotexate-lettre-pds.pdf" TargetMode="External"/><Relationship Id="rId187" Type="http://schemas.openxmlformats.org/officeDocument/2006/relationships/hyperlink" Target="https://ansm.sante.fr/disponibilites-des-produits-de-sante/medicaments/zinnat-125-mg-5-ml-enfants-et-nourrissons-granules-pour-suspension-buvable-en-flacon-de-80-ml-cefuroxime-axetil" TargetMode="External"/><Relationship Id="rId1" Type="http://schemas.openxmlformats.org/officeDocument/2006/relationships/numbering" Target="numbering.xml"/><Relationship Id="rId28" Type="http://schemas.openxmlformats.org/officeDocument/2006/relationships/hyperlink" Target="https://www.legifrance.gouv.fr/jorf/id/JORFTEXT000049631434" TargetMode="External"/><Relationship Id="rId49" Type="http://schemas.openxmlformats.org/officeDocument/2006/relationships/hyperlink" Target="https://www.legifrance.gouv.fr/jorf/id/JORFTEXT000049757421" TargetMode="External"/><Relationship Id="rId114" Type="http://schemas.openxmlformats.org/officeDocument/2006/relationships/hyperlink" Target="https://www.ameli.fr/pharmacien/actualites/signature-de-l-avenant-1-la-convention-qui-favorise-la-lutte-contre-les-deserts-pharmaceutiques" TargetMode="External"/><Relationship Id="rId60" Type="http://schemas.openxmlformats.org/officeDocument/2006/relationships/hyperlink" Target="https://www.legifrance.gouv.fr/jorf/id/JORFTEXT000049699195" TargetMode="External"/><Relationship Id="rId81" Type="http://schemas.openxmlformats.org/officeDocument/2006/relationships/hyperlink" Target="https://www.conseil-national.medecin.fr/publications/communiques-presse/sante-patients-danger" TargetMode="External"/><Relationship Id="rId135" Type="http://schemas.openxmlformats.org/officeDocument/2006/relationships/hyperlink" Target="https://www.santepubliquefrance.fr/les-actualites/2024/jeux-olympiques-et-paralympiques-de-paris-sante-publique-france-se-mobilise-et-renforce-sa-surveillance" TargetMode="External"/><Relationship Id="rId156" Type="http://schemas.openxmlformats.org/officeDocument/2006/relationships/hyperlink" Target="https://ansm.sante.fr/actualites/retour-dinformation-sur-le-prac-de-juin-2024-10-13-juin" TargetMode="External"/><Relationship Id="rId177" Type="http://schemas.openxmlformats.org/officeDocument/2006/relationships/hyperlink" Target="https://ansm.sante.fr/disponibilites-des-produits-de-sante/medicaments/neuleptil-1-pour-cent-solution-buvable-propericiazine" TargetMode="External"/><Relationship Id="rId198" Type="http://schemas.openxmlformats.org/officeDocument/2006/relationships/header" Target="header1.xml"/><Relationship Id="rId202" Type="http://schemas.openxmlformats.org/officeDocument/2006/relationships/header" Target="header3.xml"/><Relationship Id="rId18" Type="http://schemas.openxmlformats.org/officeDocument/2006/relationships/hyperlink" Target="https://peps.sante.gouv.fr/themes/subst_ven/subst.html" TargetMode="External"/><Relationship Id="rId39" Type="http://schemas.openxmlformats.org/officeDocument/2006/relationships/hyperlink" Target="https://ansm.sante.fr/uploads/2024/06/13/20240613-guide-bpf-2024-2.pdf" TargetMode="External"/><Relationship Id="rId50" Type="http://schemas.openxmlformats.org/officeDocument/2006/relationships/hyperlink" Target="https://www.legifrance.gouv.fr/jorf/id/JORFTEXT000049757928" TargetMode="External"/><Relationship Id="rId104" Type="http://schemas.openxmlformats.org/officeDocument/2006/relationships/hyperlink" Target="https://ansm.sante.fr/informations-de-securite/bromure-de-pyridostigmine-laboratoire-inresa-1" TargetMode="External"/><Relationship Id="rId125" Type="http://schemas.openxmlformats.org/officeDocument/2006/relationships/hyperlink" Target="https://www.has-sante.fr/jcms/p_3524902/fr/bonnes-pratiques-professionnelles-des-prestataires-de-services-et-distributeurs-de-materiel-psdm-referentiel" TargetMode="External"/><Relationship Id="rId146" Type="http://schemas.openxmlformats.org/officeDocument/2006/relationships/hyperlink" Target="https://www.enseignementsup-recherche.gouv.fr/fr/avis-du-covars-du-24-mai-2024-point-sur-la-situation-liee-au-virus-influenza-h5n1-96345" TargetMode="External"/><Relationship Id="rId167" Type="http://schemas.openxmlformats.org/officeDocument/2006/relationships/hyperlink" Target="https://ansm.sante.fr/disponibilites-des-produits-de-sante/medicaments/methotrexate-accord-100-mg-ml-solution-a-diluer-pour-perfusion-methotrexate" TargetMode="External"/><Relationship Id="rId188" Type="http://schemas.openxmlformats.org/officeDocument/2006/relationships/hyperlink" Target="https://ansm.sante.fr/disponibilites-des-produits-de-sante/medicaments/gabapentine-300-mg-gelule-gabapentine" TargetMode="External"/><Relationship Id="rId71" Type="http://schemas.openxmlformats.org/officeDocument/2006/relationships/hyperlink" Target="https://peps.sante.gouv.fr/actu/2024/24_minsante-ccs_2024-06.pdf" TargetMode="External"/><Relationship Id="rId92" Type="http://schemas.openxmlformats.org/officeDocument/2006/relationships/hyperlink" Target="https://www.academie-medecine.fr/lissage-chimique-des-cheveux-et-risques-pour-la-sante/" TargetMode="External"/><Relationship Id="rId2" Type="http://schemas.openxmlformats.org/officeDocument/2006/relationships/styles" Target="styles.xml"/><Relationship Id="rId29" Type="http://schemas.openxmlformats.org/officeDocument/2006/relationships/hyperlink" Target="https://ansm.sante.fr/actualites/decision-du-03-06-2024-portant-modification-de-la-liste-des-substances-classees-comme-stupefiants"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2188bfb1440b6e9ca5c08594cfb0c4a">
  <xsd:schema xmlns:xsd="http://www.w3.org/2001/XMLSchema" xmlns:xs="http://www.w3.org/2001/XMLSchema" xmlns:p="http://schemas.microsoft.com/office/2006/metadata/properties" xmlns:ns2="496a4be7-76b1-4a69-ac69-a3e185a6e6be" targetNamespace="http://schemas.microsoft.com/office/2006/metadata/properties" ma:root="true" ma:fieldsID="e64b8bc97678bffbe5d37b10fd4d4bce"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BA778D4-6967-421F-889A-52FF0C5B1D66}"/>
</file>

<file path=customXml/itemProps2.xml><?xml version="1.0" encoding="utf-8"?>
<ds:datastoreItem xmlns:ds="http://schemas.openxmlformats.org/officeDocument/2006/customXml" ds:itemID="{AF18ECE6-9276-4D41-8DEE-33FBB2FA316F}"/>
</file>

<file path=docProps/app.xml><?xml version="1.0" encoding="utf-8"?>
<Properties xmlns="http://schemas.openxmlformats.org/officeDocument/2006/extended-properties" xmlns:vt="http://schemas.openxmlformats.org/officeDocument/2006/docPropsVTypes">
  <Template>Normal.dotm</Template>
  <TotalTime>4806</TotalTime>
  <Pages>26</Pages>
  <Words>19032</Words>
  <Characters>104682</Characters>
  <Application>Microsoft Office Word</Application>
  <DocSecurity>0</DocSecurity>
  <Lines>872</Lines>
  <Paragraphs>246</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123468</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(ARS-BFC/BFC/DSP)</cp:lastModifiedBy>
  <cp:revision>57</cp:revision>
  <cp:lastPrinted>2018-11-02T10:29:00Z</cp:lastPrinted>
  <dcterms:created xsi:type="dcterms:W3CDTF">2024-06-12T11:56:00Z</dcterms:created>
  <dcterms:modified xsi:type="dcterms:W3CDTF">2024-06-28T10:22:00Z</dcterms:modified>
</cp:coreProperties>
</file>