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0F6C" w:rsidRDefault="00072D49">
      <w:r>
        <w:rPr>
          <w:noProof/>
        </w:rPr>
        <w:drawing>
          <wp:anchor distT="0" distB="0" distL="114300" distR="114300" simplePos="0" relativeHeight="251657728" behindDoc="1" locked="0" layoutInCell="1" allowOverlap="1">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30F6C" w:rsidRDefault="00C30F6C"/>
    <w:p w:rsidR="00C30F6C" w:rsidRDefault="00C30F6C"/>
    <w:p w:rsidR="00C30F6C" w:rsidRDefault="00C30F6C">
      <w:pPr>
        <w:rPr>
          <w:noProof/>
        </w:rPr>
      </w:pPr>
    </w:p>
    <w:p w:rsidR="00AC1EE8" w:rsidRDefault="00AC1EE8"/>
    <w:p w:rsidR="00C30F6C" w:rsidRDefault="00C30F6C"/>
    <w:p w:rsidR="00C30F6C" w:rsidRDefault="00C30F6C"/>
    <w:p w:rsidR="00C30F6C" w:rsidRDefault="00C30F6C"/>
    <w:p w:rsidR="00C30F6C" w:rsidRDefault="00C30F6C"/>
    <w:p w:rsidR="00C30F6C" w:rsidRDefault="00C30F6C"/>
    <w:p w:rsidR="00C30F6C" w:rsidRDefault="00C30F6C"/>
    <w:p w:rsidR="00C30F6C" w:rsidRDefault="00C30F6C"/>
    <w:p w:rsidR="00AC1EE8" w:rsidRDefault="00072D49">
      <w:r>
        <w:rPr>
          <w:noProof/>
        </w:rPr>
        <mc:AlternateContent>
          <mc:Choice Requires="wps">
            <w:drawing>
              <wp:anchor distT="0" distB="0" distL="114300" distR="114300" simplePos="0" relativeHeight="251656704" behindDoc="0" locked="0" layoutInCell="0" allowOverlap="1">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3380" w:rsidRPr="00624158" w:rsidRDefault="00173380"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173380" w:rsidRPr="00624158" w:rsidRDefault="00173380"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MARS 2024</w:t>
                            </w:r>
                          </w:p>
                          <w:p w:rsidR="00173380" w:rsidRPr="007575DF" w:rsidRDefault="00173380"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h5tQ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" o:allowincell="f" filled="f" stroked="f">
                <v:textbox>
                  <w:txbxContent>
                    <w:p w:rsidR="00173380" w:rsidRPr="00624158" w:rsidRDefault="00173380"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173380" w:rsidRPr="00624158" w:rsidRDefault="00173380"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MARS 2024</w:t>
                      </w:r>
                    </w:p>
                    <w:p w:rsidR="00173380" w:rsidRPr="007575DF" w:rsidRDefault="00173380" w:rsidP="00980EF0">
                      <w:pPr>
                        <w:jc w:val="center"/>
                        <w:rPr>
                          <w:rFonts w:ascii="Century Gothic" w:eastAsia="Adobe Heiti Std R" w:hAnsi="Century Gothic" w:cs="Arial"/>
                          <w:color w:val="00A000"/>
                          <w:sz w:val="28"/>
                          <w:szCs w:val="28"/>
                        </w:rPr>
                      </w:pPr>
                    </w:p>
                  </w:txbxContent>
                </v:textbox>
              </v:shape>
            </w:pict>
          </mc:Fallback>
        </mc:AlternateContent>
      </w:r>
    </w:p>
    <w:p w:rsidR="00665ACB" w:rsidRDefault="00665ACB" w:rsidP="00AC1EE8">
      <w:pPr>
        <w:pStyle w:val="Default"/>
        <w:jc w:val="both"/>
        <w:rPr>
          <w:color w:val="FF0000"/>
        </w:rPr>
      </w:pPr>
    </w:p>
    <w:p w:rsidR="00665ACB" w:rsidRDefault="00665ACB" w:rsidP="00AC1EE8">
      <w:pPr>
        <w:pStyle w:val="Default"/>
        <w:jc w:val="both"/>
        <w:rPr>
          <w:color w:val="FF0000"/>
        </w:rPr>
      </w:pPr>
    </w:p>
    <w:p w:rsidR="00665ACB" w:rsidRDefault="00665ACB" w:rsidP="00AC1EE8">
      <w:pPr>
        <w:pStyle w:val="Default"/>
        <w:jc w:val="both"/>
        <w:rPr>
          <w:color w:val="FF0000"/>
        </w:rPr>
      </w:pPr>
    </w:p>
    <w:p w:rsidR="00DD6865" w:rsidRDefault="00DD6865" w:rsidP="00AC1EE8">
      <w:pPr>
        <w:pStyle w:val="Default"/>
        <w:jc w:val="both"/>
        <w:rPr>
          <w:color w:val="FF0000"/>
        </w:rPr>
      </w:pPr>
    </w:p>
    <w:p w:rsidR="00DD6865" w:rsidRDefault="00DD6865" w:rsidP="00AC1EE8">
      <w:pPr>
        <w:pStyle w:val="Default"/>
        <w:jc w:val="both"/>
        <w:rPr>
          <w:color w:val="FF0000"/>
        </w:rPr>
      </w:pPr>
    </w:p>
    <w:p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rsidR="00EC7CB4" w:rsidRDefault="00EC7CB4" w:rsidP="004568FE">
      <w:pPr>
        <w:pStyle w:val="Default"/>
        <w:jc w:val="both"/>
        <w:rPr>
          <w:color w:val="FF0000"/>
        </w:rPr>
      </w:pPr>
    </w:p>
    <w:p w:rsidR="00BE5CE8" w:rsidRPr="00F24AA7" w:rsidRDefault="00BE5CE8" w:rsidP="00BE5CE8">
      <w:pPr>
        <w:pStyle w:val="Default"/>
        <w:jc w:val="both"/>
        <w:rPr>
          <w:rStyle w:val="Lienhypertexte"/>
        </w:rPr>
      </w:pPr>
      <w:r>
        <w:rPr>
          <w:rStyle w:val="Lienhypertexte"/>
        </w:rPr>
        <w:fldChar w:fldCharType="begin"/>
      </w:r>
      <w:r w:rsidR="00B33132">
        <w:rPr>
          <w:rStyle w:val="Lienhypertexte"/>
        </w:rPr>
        <w:instrText>HYPERLINK "https://peps.sante.gouv.fr/themes/bpp/bpp.html"</w:instrText>
      </w:r>
      <w:r>
        <w:rPr>
          <w:rStyle w:val="Lienhypertexte"/>
        </w:rPr>
        <w:fldChar w:fldCharType="separate"/>
      </w:r>
      <w:r w:rsidR="00B33132" w:rsidRPr="00B33132">
        <w:rPr>
          <w:rStyle w:val="Lienhypertexte"/>
        </w:rPr>
        <w:t>Bonnes pratiques de préparation</w:t>
      </w:r>
    </w:p>
    <w:p w:rsidR="00BE5CE8" w:rsidRDefault="00BE5CE8" w:rsidP="00BE5CE8">
      <w:pPr>
        <w:pStyle w:val="Default"/>
        <w:jc w:val="both"/>
        <w:rPr>
          <w:color w:val="538135"/>
          <w:sz w:val="20"/>
        </w:rPr>
      </w:pPr>
      <w:r>
        <w:rPr>
          <w:rStyle w:val="Lienhypertexte"/>
        </w:rPr>
        <w:fldChar w:fldCharType="end"/>
      </w:r>
      <w:r>
        <w:rPr>
          <w:color w:val="538135"/>
          <w:sz w:val="20"/>
        </w:rPr>
        <w:t xml:space="preserve">- </w:t>
      </w:r>
      <w:r w:rsidR="00B33132" w:rsidRPr="00B33132">
        <w:rPr>
          <w:color w:val="538135"/>
          <w:sz w:val="20"/>
        </w:rPr>
        <w:t>Support d'inspection de l'activité de sous-traitance de préparations en officine (ARS Auvergne-Rhône-Alpes, mars 2024)</w:t>
      </w:r>
      <w:r>
        <w:rPr>
          <w:color w:val="538135"/>
          <w:sz w:val="20"/>
        </w:rPr>
        <w:t>.</w:t>
      </w:r>
    </w:p>
    <w:p w:rsidR="00BE5CE8" w:rsidRDefault="00BE5CE8" w:rsidP="00BE5CE8">
      <w:pPr>
        <w:pStyle w:val="Default"/>
        <w:jc w:val="both"/>
        <w:rPr>
          <w:color w:val="FF0000"/>
        </w:rPr>
      </w:pPr>
    </w:p>
    <w:p w:rsidR="00BE5CE8" w:rsidRPr="00F24AA7" w:rsidRDefault="00BE5CE8" w:rsidP="00BE5CE8">
      <w:pPr>
        <w:pStyle w:val="Default"/>
        <w:jc w:val="both"/>
        <w:rPr>
          <w:rStyle w:val="Lienhypertexte"/>
        </w:rPr>
      </w:pPr>
      <w:r>
        <w:rPr>
          <w:rStyle w:val="Lienhypertexte"/>
        </w:rPr>
        <w:fldChar w:fldCharType="begin"/>
      </w:r>
      <w:r>
        <w:rPr>
          <w:rStyle w:val="Lienhypertexte"/>
        </w:rPr>
        <w:instrText>HYPERLINK "https://peps.sante.gouv.fr/themes/defense/defense.html"</w:instrText>
      </w:r>
      <w:r>
        <w:rPr>
          <w:rStyle w:val="Lienhypertexte"/>
        </w:rPr>
        <w:fldChar w:fldCharType="separate"/>
      </w:r>
      <w:r>
        <w:rPr>
          <w:rStyle w:val="Lienhypertexte"/>
        </w:rPr>
        <w:t xml:space="preserve">Défense </w:t>
      </w:r>
    </w:p>
    <w:p w:rsidR="00BE5CE8" w:rsidRDefault="00BE5CE8" w:rsidP="00BE5CE8">
      <w:pPr>
        <w:pStyle w:val="Default"/>
        <w:jc w:val="both"/>
        <w:rPr>
          <w:color w:val="538135"/>
          <w:sz w:val="20"/>
        </w:rPr>
      </w:pPr>
      <w:r>
        <w:rPr>
          <w:rStyle w:val="Lienhypertexte"/>
        </w:rPr>
        <w:fldChar w:fldCharType="end"/>
      </w:r>
      <w:r>
        <w:rPr>
          <w:color w:val="538135"/>
          <w:sz w:val="20"/>
        </w:rPr>
        <w:t>Actualités 2024</w:t>
      </w:r>
    </w:p>
    <w:p w:rsidR="0096399E" w:rsidRPr="00A814A7" w:rsidRDefault="0096399E" w:rsidP="00BE5CE8">
      <w:pPr>
        <w:pStyle w:val="Default"/>
        <w:jc w:val="both"/>
        <w:rPr>
          <w:color w:val="538135"/>
          <w:sz w:val="20"/>
          <w:u w:val="single"/>
        </w:rPr>
      </w:pPr>
      <w:r>
        <w:rPr>
          <w:color w:val="538135"/>
          <w:sz w:val="20"/>
        </w:rPr>
        <w:tab/>
      </w:r>
      <w:proofErr w:type="spellStart"/>
      <w:r w:rsidRPr="00A814A7">
        <w:rPr>
          <w:color w:val="538135"/>
          <w:sz w:val="20"/>
          <w:u w:val="single"/>
        </w:rPr>
        <w:t>MPox</w:t>
      </w:r>
      <w:proofErr w:type="spellEnd"/>
      <w:r w:rsidRPr="00A814A7">
        <w:rPr>
          <w:color w:val="538135"/>
          <w:sz w:val="20"/>
          <w:u w:val="single"/>
        </w:rPr>
        <w:t> :</w:t>
      </w:r>
    </w:p>
    <w:p w:rsidR="00BE5CE8" w:rsidRDefault="00BE5CE8" w:rsidP="00931104">
      <w:pPr>
        <w:pStyle w:val="Default"/>
        <w:ind w:left="708"/>
        <w:jc w:val="both"/>
        <w:rPr>
          <w:color w:val="538135"/>
          <w:sz w:val="20"/>
        </w:rPr>
      </w:pPr>
      <w:r>
        <w:rPr>
          <w:color w:val="538135"/>
          <w:sz w:val="20"/>
        </w:rPr>
        <w:t xml:space="preserve">- </w:t>
      </w:r>
      <w:r w:rsidRPr="00BE5CE8">
        <w:rPr>
          <w:color w:val="538135"/>
          <w:sz w:val="20"/>
        </w:rPr>
        <w:t>Lien vers la page de l’OMS : Variole simienne (</w:t>
      </w:r>
      <w:proofErr w:type="spellStart"/>
      <w:r w:rsidRPr="00BE5CE8">
        <w:rPr>
          <w:color w:val="538135"/>
          <w:sz w:val="20"/>
        </w:rPr>
        <w:t>orthopoxvirose</w:t>
      </w:r>
      <w:proofErr w:type="spellEnd"/>
      <w:r w:rsidRPr="00BE5CE8">
        <w:rPr>
          <w:color w:val="538135"/>
          <w:sz w:val="20"/>
        </w:rPr>
        <w:t xml:space="preserve"> simienne) (who.int)</w:t>
      </w:r>
      <w:r>
        <w:rPr>
          <w:color w:val="538135"/>
          <w:sz w:val="20"/>
        </w:rPr>
        <w:t>.</w:t>
      </w:r>
    </w:p>
    <w:p w:rsidR="00BE5CE8" w:rsidRDefault="00BE5CE8" w:rsidP="00931104">
      <w:pPr>
        <w:pStyle w:val="Default"/>
        <w:ind w:left="708"/>
        <w:jc w:val="both"/>
        <w:rPr>
          <w:color w:val="538135"/>
          <w:sz w:val="20"/>
        </w:rPr>
      </w:pPr>
      <w:r>
        <w:rPr>
          <w:color w:val="538135"/>
          <w:sz w:val="20"/>
        </w:rPr>
        <w:t xml:space="preserve">- </w:t>
      </w:r>
      <w:r w:rsidRPr="00BE5CE8">
        <w:rPr>
          <w:color w:val="538135"/>
          <w:sz w:val="20"/>
        </w:rPr>
        <w:t>Lien vers la page de santé publique France - Cas de variole du singe : point de situation au 24 janvier 2023</w:t>
      </w:r>
      <w:r>
        <w:rPr>
          <w:color w:val="538135"/>
          <w:sz w:val="20"/>
        </w:rPr>
        <w:t>.</w:t>
      </w:r>
    </w:p>
    <w:p w:rsidR="0096399E" w:rsidRDefault="0096399E" w:rsidP="00931104">
      <w:pPr>
        <w:pStyle w:val="Default"/>
        <w:ind w:left="708"/>
        <w:jc w:val="both"/>
        <w:rPr>
          <w:color w:val="538135"/>
          <w:sz w:val="20"/>
        </w:rPr>
      </w:pPr>
      <w:r>
        <w:rPr>
          <w:color w:val="538135"/>
          <w:sz w:val="20"/>
        </w:rPr>
        <w:t xml:space="preserve">- </w:t>
      </w:r>
      <w:r w:rsidRPr="0096399E">
        <w:rPr>
          <w:color w:val="538135"/>
          <w:sz w:val="20"/>
        </w:rPr>
        <w:t>Lien vers l’état des connaissances du COREB (Coordination opérationnelle du risque épidémique et biologique)</w:t>
      </w:r>
      <w:r>
        <w:rPr>
          <w:color w:val="538135"/>
          <w:sz w:val="20"/>
        </w:rPr>
        <w:t>.</w:t>
      </w:r>
    </w:p>
    <w:p w:rsidR="0096399E" w:rsidRPr="00A814A7" w:rsidRDefault="0096399E" w:rsidP="00BE5CE8">
      <w:pPr>
        <w:pStyle w:val="Default"/>
        <w:jc w:val="both"/>
        <w:rPr>
          <w:color w:val="538135"/>
          <w:sz w:val="20"/>
          <w:u w:val="single"/>
        </w:rPr>
      </w:pPr>
      <w:r>
        <w:rPr>
          <w:color w:val="538135"/>
          <w:sz w:val="20"/>
        </w:rPr>
        <w:tab/>
      </w:r>
      <w:r w:rsidRPr="00A814A7">
        <w:rPr>
          <w:color w:val="538135"/>
          <w:sz w:val="20"/>
          <w:u w:val="single"/>
        </w:rPr>
        <w:t>Point sur la maladie à virus EBOLA (MVE) :</w:t>
      </w:r>
    </w:p>
    <w:p w:rsidR="0096399E" w:rsidRDefault="0096399E" w:rsidP="00931104">
      <w:pPr>
        <w:pStyle w:val="Default"/>
        <w:ind w:left="708"/>
        <w:jc w:val="both"/>
        <w:rPr>
          <w:color w:val="538135"/>
          <w:sz w:val="20"/>
        </w:rPr>
      </w:pPr>
      <w:r>
        <w:rPr>
          <w:color w:val="538135"/>
          <w:sz w:val="20"/>
        </w:rPr>
        <w:t xml:space="preserve">- </w:t>
      </w:r>
      <w:r w:rsidRPr="0096399E">
        <w:rPr>
          <w:color w:val="538135"/>
          <w:sz w:val="20"/>
        </w:rPr>
        <w:t>Maladie à virus EBOLA (OMS)</w:t>
      </w:r>
      <w:r>
        <w:rPr>
          <w:color w:val="538135"/>
          <w:sz w:val="20"/>
        </w:rPr>
        <w:t>.</w:t>
      </w:r>
    </w:p>
    <w:p w:rsidR="0096399E" w:rsidRDefault="00FF00F4" w:rsidP="00931104">
      <w:pPr>
        <w:pStyle w:val="Default"/>
        <w:ind w:left="708"/>
        <w:jc w:val="both"/>
        <w:rPr>
          <w:color w:val="538135"/>
          <w:sz w:val="20"/>
        </w:rPr>
      </w:pPr>
      <w:r>
        <w:rPr>
          <w:color w:val="538135"/>
          <w:sz w:val="20"/>
        </w:rPr>
        <w:t xml:space="preserve">- </w:t>
      </w:r>
      <w:r w:rsidRPr="00FF00F4">
        <w:rPr>
          <w:color w:val="538135"/>
          <w:sz w:val="20"/>
        </w:rPr>
        <w:t>Point sur les traitements contre la MVE par l’INSERM : Suivi des patients guéris de la maladie à virus Ebola - Salle de presse de l'Inserm, 01/12/2023</w:t>
      </w:r>
      <w:r>
        <w:rPr>
          <w:color w:val="538135"/>
          <w:sz w:val="20"/>
        </w:rPr>
        <w:t>.</w:t>
      </w:r>
    </w:p>
    <w:p w:rsidR="00FF00F4" w:rsidRDefault="00FF00F4" w:rsidP="00931104">
      <w:pPr>
        <w:pStyle w:val="Default"/>
        <w:ind w:left="708"/>
        <w:jc w:val="both"/>
        <w:rPr>
          <w:color w:val="538135"/>
          <w:sz w:val="20"/>
        </w:rPr>
      </w:pPr>
      <w:r>
        <w:rPr>
          <w:color w:val="538135"/>
          <w:sz w:val="20"/>
        </w:rPr>
        <w:t xml:space="preserve">- </w:t>
      </w:r>
      <w:r w:rsidRPr="00FF00F4">
        <w:rPr>
          <w:color w:val="538135"/>
          <w:sz w:val="20"/>
        </w:rPr>
        <w:t>Point sur le vaccin ERVEBO</w:t>
      </w:r>
      <w:r w:rsidRPr="00FF00F4">
        <w:rPr>
          <w:color w:val="538135"/>
          <w:sz w:val="20"/>
          <w:vertAlign w:val="superscript"/>
        </w:rPr>
        <w:t>®</w:t>
      </w:r>
      <w:r w:rsidRPr="00FF00F4">
        <w:rPr>
          <w:color w:val="538135"/>
          <w:sz w:val="20"/>
        </w:rPr>
        <w:t xml:space="preserve"> Ebola Zaïre Vaccine (</w:t>
      </w:r>
      <w:proofErr w:type="spellStart"/>
      <w:r w:rsidRPr="00FF00F4">
        <w:rPr>
          <w:color w:val="538135"/>
          <w:sz w:val="20"/>
        </w:rPr>
        <w:t>rVSV</w:t>
      </w:r>
      <w:r w:rsidRPr="00DA573D">
        <w:rPr>
          <w:rFonts w:asciiTheme="minorHAnsi" w:hAnsiTheme="minorHAnsi"/>
          <w:color w:val="538135" w:themeColor="accent6" w:themeShade="BF"/>
        </w:rPr>
        <w:t>∆</w:t>
      </w:r>
      <w:r w:rsidRPr="00FF00F4">
        <w:rPr>
          <w:color w:val="538135"/>
          <w:sz w:val="20"/>
        </w:rPr>
        <w:t>G-ZEBOV-GP</w:t>
      </w:r>
      <w:proofErr w:type="spellEnd"/>
      <w:r w:rsidRPr="00FF00F4">
        <w:rPr>
          <w:color w:val="538135"/>
          <w:sz w:val="20"/>
        </w:rPr>
        <w:t xml:space="preserve">, live), </w:t>
      </w:r>
      <w:proofErr w:type="spellStart"/>
      <w:r w:rsidRPr="00FF00F4">
        <w:rPr>
          <w:color w:val="538135"/>
          <w:sz w:val="20"/>
        </w:rPr>
        <w:t>Hemorrhagic</w:t>
      </w:r>
      <w:proofErr w:type="spellEnd"/>
      <w:r w:rsidRPr="00FF00F4">
        <w:rPr>
          <w:color w:val="538135"/>
          <w:sz w:val="20"/>
        </w:rPr>
        <w:t xml:space="preserve"> Fever, Ebola, EMA, février 2024</w:t>
      </w:r>
      <w:r>
        <w:rPr>
          <w:color w:val="538135"/>
          <w:sz w:val="20"/>
        </w:rPr>
        <w:t>.</w:t>
      </w:r>
    </w:p>
    <w:p w:rsidR="00FF00F4" w:rsidRDefault="00FF00F4" w:rsidP="00931104">
      <w:pPr>
        <w:pStyle w:val="Default"/>
        <w:ind w:left="708"/>
        <w:jc w:val="both"/>
        <w:rPr>
          <w:color w:val="538135"/>
          <w:sz w:val="20"/>
        </w:rPr>
      </w:pPr>
      <w:r>
        <w:rPr>
          <w:color w:val="538135"/>
          <w:sz w:val="20"/>
        </w:rPr>
        <w:t xml:space="preserve">- </w:t>
      </w:r>
      <w:r w:rsidRPr="00FF00F4">
        <w:rPr>
          <w:color w:val="538135"/>
          <w:sz w:val="20"/>
        </w:rPr>
        <w:t>Point sur le vaccin MVABEA</w:t>
      </w:r>
      <w:r w:rsidRPr="00FF00F4">
        <w:rPr>
          <w:color w:val="538135"/>
          <w:sz w:val="20"/>
          <w:vertAlign w:val="superscript"/>
        </w:rPr>
        <w:t>®</w:t>
      </w:r>
      <w:r w:rsidRPr="00FF00F4">
        <w:rPr>
          <w:color w:val="538135"/>
          <w:sz w:val="20"/>
        </w:rPr>
        <w:t xml:space="preserve"> Ebola vaccine (MVA-BN-</w:t>
      </w:r>
      <w:proofErr w:type="spellStart"/>
      <w:r w:rsidRPr="00FF00F4">
        <w:rPr>
          <w:color w:val="538135"/>
          <w:sz w:val="20"/>
        </w:rPr>
        <w:t>Filo</w:t>
      </w:r>
      <w:proofErr w:type="spellEnd"/>
      <w:r w:rsidRPr="00FF00F4">
        <w:rPr>
          <w:color w:val="538135"/>
          <w:sz w:val="20"/>
        </w:rPr>
        <w:t xml:space="preserve"> [recombinant]), </w:t>
      </w:r>
      <w:proofErr w:type="spellStart"/>
      <w:r w:rsidRPr="00FF00F4">
        <w:rPr>
          <w:color w:val="538135"/>
          <w:sz w:val="20"/>
        </w:rPr>
        <w:t>Hemorrhagic</w:t>
      </w:r>
      <w:proofErr w:type="spellEnd"/>
      <w:r w:rsidRPr="00FF00F4">
        <w:rPr>
          <w:color w:val="538135"/>
          <w:sz w:val="20"/>
        </w:rPr>
        <w:t xml:space="preserve"> Fever, Ebola, EMA, novembre 2023</w:t>
      </w:r>
      <w:r>
        <w:rPr>
          <w:color w:val="538135"/>
          <w:sz w:val="20"/>
        </w:rPr>
        <w:t>.</w:t>
      </w:r>
    </w:p>
    <w:p w:rsidR="00FF00F4" w:rsidRDefault="00FF00F4" w:rsidP="00931104">
      <w:pPr>
        <w:pStyle w:val="Default"/>
        <w:ind w:left="708"/>
        <w:jc w:val="both"/>
        <w:rPr>
          <w:color w:val="538135"/>
          <w:sz w:val="20"/>
        </w:rPr>
      </w:pPr>
      <w:r>
        <w:rPr>
          <w:color w:val="538135"/>
          <w:sz w:val="20"/>
        </w:rPr>
        <w:t xml:space="preserve">- </w:t>
      </w:r>
      <w:r w:rsidRPr="00FF00F4">
        <w:rPr>
          <w:color w:val="538135"/>
          <w:sz w:val="20"/>
        </w:rPr>
        <w:t>Point sur le vaccin ZABDENO</w:t>
      </w:r>
      <w:r w:rsidRPr="00FF00F4">
        <w:rPr>
          <w:color w:val="538135"/>
          <w:sz w:val="20"/>
          <w:vertAlign w:val="superscript"/>
        </w:rPr>
        <w:t>®</w:t>
      </w:r>
      <w:r>
        <w:rPr>
          <w:color w:val="538135"/>
          <w:sz w:val="20"/>
        </w:rPr>
        <w:t xml:space="preserve"> E</w:t>
      </w:r>
      <w:r w:rsidRPr="00FF00F4">
        <w:rPr>
          <w:color w:val="538135"/>
          <w:sz w:val="20"/>
        </w:rPr>
        <w:t xml:space="preserve">bola vaccine (Ad26.ZEBOV-GP [recombinant]), </w:t>
      </w:r>
      <w:proofErr w:type="spellStart"/>
      <w:r w:rsidRPr="00FF00F4">
        <w:rPr>
          <w:color w:val="538135"/>
          <w:sz w:val="20"/>
        </w:rPr>
        <w:t>Hemorrhagic</w:t>
      </w:r>
      <w:proofErr w:type="spellEnd"/>
      <w:r w:rsidRPr="00FF00F4">
        <w:rPr>
          <w:color w:val="538135"/>
          <w:sz w:val="20"/>
        </w:rPr>
        <w:t xml:space="preserve"> Fever, Ebola, EMA, novembre 2023</w:t>
      </w:r>
      <w:r>
        <w:rPr>
          <w:color w:val="538135"/>
          <w:sz w:val="20"/>
        </w:rPr>
        <w:t>.</w:t>
      </w:r>
    </w:p>
    <w:p w:rsidR="00A814A7" w:rsidRDefault="00A814A7" w:rsidP="00931104">
      <w:pPr>
        <w:pStyle w:val="Default"/>
        <w:ind w:left="708"/>
        <w:jc w:val="both"/>
        <w:rPr>
          <w:color w:val="538135"/>
          <w:sz w:val="20"/>
        </w:rPr>
      </w:pPr>
      <w:r>
        <w:rPr>
          <w:color w:val="538135"/>
          <w:sz w:val="20"/>
        </w:rPr>
        <w:t xml:space="preserve">- </w:t>
      </w:r>
      <w:r w:rsidRPr="00A814A7">
        <w:rPr>
          <w:color w:val="538135"/>
          <w:sz w:val="20"/>
        </w:rPr>
        <w:t>Maladie à virus Ebola : actualisation des recommandations (</w:t>
      </w:r>
      <w:r w:rsidR="0051247C">
        <w:rPr>
          <w:color w:val="538135"/>
          <w:sz w:val="20"/>
        </w:rPr>
        <w:t xml:space="preserve">HCSP, </w:t>
      </w:r>
      <w:r w:rsidRPr="00A814A7">
        <w:rPr>
          <w:color w:val="538135"/>
          <w:sz w:val="20"/>
        </w:rPr>
        <w:t>29/06/2022) : Le HCSP synthétise et actualise sous la forme d’un document unique les recommandations relatives à la maladie à virus Ebola (MVE) issues de ses avis publiés en 2014/2015, en prenant en compte l’évolution des connaissances scientifiques</w:t>
      </w:r>
      <w:r w:rsidR="0051247C">
        <w:rPr>
          <w:color w:val="538135"/>
          <w:sz w:val="20"/>
        </w:rPr>
        <w:t>.</w:t>
      </w:r>
    </w:p>
    <w:p w:rsidR="00931104" w:rsidRDefault="00931104" w:rsidP="00931104">
      <w:pPr>
        <w:pStyle w:val="Default"/>
        <w:ind w:left="708"/>
        <w:jc w:val="both"/>
        <w:rPr>
          <w:color w:val="538135"/>
          <w:sz w:val="20"/>
        </w:rPr>
      </w:pPr>
      <w:r>
        <w:rPr>
          <w:color w:val="538135"/>
          <w:sz w:val="20"/>
        </w:rPr>
        <w:t xml:space="preserve">- </w:t>
      </w:r>
      <w:r w:rsidRPr="00931104">
        <w:rPr>
          <w:color w:val="538135"/>
          <w:sz w:val="20"/>
        </w:rPr>
        <w:t>Recommandations de prise en charge de patient suspect d’EBOLA : COREB (mise à jour mars 2021)</w:t>
      </w:r>
      <w:r>
        <w:rPr>
          <w:color w:val="538135"/>
          <w:sz w:val="20"/>
        </w:rPr>
        <w:t>.</w:t>
      </w:r>
    </w:p>
    <w:p w:rsidR="00931104" w:rsidRPr="00931104" w:rsidRDefault="00931104" w:rsidP="00931104">
      <w:pPr>
        <w:pStyle w:val="Default"/>
        <w:jc w:val="both"/>
        <w:rPr>
          <w:color w:val="538135"/>
          <w:sz w:val="20"/>
        </w:rPr>
      </w:pPr>
      <w:r>
        <w:rPr>
          <w:color w:val="538135"/>
          <w:sz w:val="20"/>
        </w:rPr>
        <w:t xml:space="preserve">- </w:t>
      </w:r>
      <w:r w:rsidRPr="00931104">
        <w:rPr>
          <w:color w:val="538135"/>
          <w:sz w:val="20"/>
        </w:rPr>
        <w:t>Décret n° 2024-156 du 28 février 2024 portant diverses mesures relatives à la préparation et à la gestion des crises sanitaires</w:t>
      </w:r>
      <w:r>
        <w:rPr>
          <w:color w:val="538135"/>
          <w:sz w:val="20"/>
        </w:rPr>
        <w:t>.</w:t>
      </w:r>
    </w:p>
    <w:p w:rsidR="00931104" w:rsidRDefault="00931104" w:rsidP="00931104">
      <w:pPr>
        <w:pStyle w:val="Default"/>
        <w:jc w:val="both"/>
        <w:rPr>
          <w:color w:val="538135"/>
          <w:sz w:val="20"/>
        </w:rPr>
      </w:pPr>
      <w:r w:rsidRPr="00931104">
        <w:rPr>
          <w:color w:val="538135"/>
          <w:sz w:val="20"/>
        </w:rPr>
        <w:t>Notice : le décret précise que la direction générale de la santé est compétente en matière de préparation et de gestion des crises sanitaires et prévoit que les autres directions et délégations contribuent dans leur champ de compétences à ces missions sous la coordination de la direction générale de la santé</w:t>
      </w:r>
      <w:r>
        <w:rPr>
          <w:color w:val="538135"/>
          <w:sz w:val="20"/>
        </w:rPr>
        <w:t>.</w:t>
      </w:r>
    </w:p>
    <w:p w:rsidR="00FF00F4" w:rsidRDefault="00931104" w:rsidP="00BE5CE8">
      <w:pPr>
        <w:pStyle w:val="Default"/>
        <w:jc w:val="both"/>
        <w:rPr>
          <w:color w:val="538135"/>
          <w:sz w:val="20"/>
        </w:rPr>
      </w:pPr>
      <w:r>
        <w:rPr>
          <w:color w:val="538135"/>
          <w:sz w:val="20"/>
        </w:rPr>
        <w:t xml:space="preserve">- </w:t>
      </w:r>
      <w:r w:rsidRPr="00931104">
        <w:rPr>
          <w:color w:val="538135"/>
          <w:sz w:val="20"/>
        </w:rPr>
        <w:t>Arrêté du 18 janvier 2024 relatif aux missions de référence, aux capacités et moyens de prise en charge et de diagnostic des établissements de santé de référence et aux missions des agences régionales de santé</w:t>
      </w:r>
      <w:r>
        <w:rPr>
          <w:color w:val="538135"/>
          <w:sz w:val="20"/>
        </w:rPr>
        <w:t>.</w:t>
      </w:r>
    </w:p>
    <w:p w:rsidR="00931104" w:rsidRDefault="00931104" w:rsidP="00BE5CE8">
      <w:pPr>
        <w:pStyle w:val="Default"/>
        <w:jc w:val="both"/>
        <w:rPr>
          <w:color w:val="538135"/>
          <w:sz w:val="20"/>
        </w:rPr>
      </w:pPr>
      <w:r>
        <w:rPr>
          <w:color w:val="538135"/>
          <w:sz w:val="20"/>
        </w:rPr>
        <w:t xml:space="preserve">- </w:t>
      </w:r>
      <w:r w:rsidRPr="00931104">
        <w:rPr>
          <w:color w:val="538135"/>
          <w:sz w:val="20"/>
        </w:rPr>
        <w:t>Arrêté du 18 janvier 2024 fixant la liste des établissements de santé de référence</w:t>
      </w:r>
      <w:r>
        <w:rPr>
          <w:color w:val="538135"/>
          <w:sz w:val="20"/>
        </w:rPr>
        <w:t>.</w:t>
      </w:r>
    </w:p>
    <w:p w:rsidR="00931104" w:rsidRDefault="00931104" w:rsidP="00BE5CE8">
      <w:pPr>
        <w:pStyle w:val="Default"/>
        <w:jc w:val="both"/>
        <w:rPr>
          <w:color w:val="538135"/>
          <w:sz w:val="20"/>
        </w:rPr>
      </w:pPr>
      <w:r>
        <w:rPr>
          <w:color w:val="538135"/>
          <w:sz w:val="20"/>
        </w:rPr>
        <w:lastRenderedPageBreak/>
        <w:t xml:space="preserve">- </w:t>
      </w:r>
      <w:r w:rsidR="004B37A7" w:rsidRPr="004B37A7">
        <w:rPr>
          <w:color w:val="538135"/>
          <w:sz w:val="20"/>
        </w:rPr>
        <w:t>Circulaire n° DGS/VSS/2024/16 du 16/02/2024 relative au renforcement de la préparation du système de santé pour faire face aux situations sanitaires exceptionnelles et à l'organisation territoriale de leur gestion</w:t>
      </w:r>
      <w:r>
        <w:rPr>
          <w:color w:val="538135"/>
          <w:sz w:val="20"/>
        </w:rPr>
        <w:t>.</w:t>
      </w:r>
    </w:p>
    <w:p w:rsidR="00FF00F4" w:rsidRDefault="00E257A4" w:rsidP="004B37A7">
      <w:pPr>
        <w:pStyle w:val="Default"/>
        <w:jc w:val="both"/>
        <w:rPr>
          <w:color w:val="538135"/>
          <w:sz w:val="20"/>
        </w:rPr>
      </w:pPr>
      <w:r>
        <w:rPr>
          <w:color w:val="538135"/>
          <w:sz w:val="20"/>
        </w:rPr>
        <w:t xml:space="preserve">- </w:t>
      </w:r>
      <w:r w:rsidR="00D70422">
        <w:rPr>
          <w:color w:val="538135"/>
          <w:sz w:val="20"/>
        </w:rPr>
        <w:t>COD :</w:t>
      </w:r>
    </w:p>
    <w:p w:rsidR="00D70422" w:rsidRDefault="00D70422" w:rsidP="004B37A7">
      <w:pPr>
        <w:pStyle w:val="Default"/>
        <w:jc w:val="both"/>
        <w:rPr>
          <w:color w:val="538135"/>
          <w:sz w:val="20"/>
        </w:rPr>
      </w:pPr>
      <w:r>
        <w:rPr>
          <w:color w:val="538135"/>
          <w:sz w:val="20"/>
        </w:rPr>
        <w:tab/>
        <w:t xml:space="preserve">- </w:t>
      </w:r>
      <w:r w:rsidRPr="00D70422">
        <w:rPr>
          <w:color w:val="538135"/>
          <w:sz w:val="20"/>
        </w:rPr>
        <w:t>Visite d’un COD (Hauts de Seine) : Ministère de l’Intérieur et des Outre-mer, vidéo (YouTube) juin 2022</w:t>
      </w:r>
      <w:r>
        <w:rPr>
          <w:color w:val="538135"/>
          <w:sz w:val="20"/>
        </w:rPr>
        <w:t>.</w:t>
      </w:r>
    </w:p>
    <w:p w:rsidR="00D70422" w:rsidRDefault="00D70422" w:rsidP="004B37A7">
      <w:pPr>
        <w:pStyle w:val="Default"/>
        <w:ind w:firstLine="708"/>
        <w:jc w:val="both"/>
        <w:rPr>
          <w:color w:val="538135"/>
          <w:sz w:val="20"/>
        </w:rPr>
      </w:pPr>
      <w:r>
        <w:rPr>
          <w:color w:val="538135"/>
          <w:sz w:val="20"/>
        </w:rPr>
        <w:t xml:space="preserve">- </w:t>
      </w:r>
      <w:r w:rsidRPr="00D70422">
        <w:rPr>
          <w:color w:val="538135"/>
          <w:sz w:val="20"/>
        </w:rPr>
        <w:t>Les acteurs de la gestion de crise : région Normandie</w:t>
      </w:r>
      <w:r>
        <w:rPr>
          <w:color w:val="538135"/>
          <w:sz w:val="20"/>
        </w:rPr>
        <w:t>.</w:t>
      </w:r>
    </w:p>
    <w:p w:rsidR="00D70422" w:rsidRDefault="00E257A4" w:rsidP="004B37A7">
      <w:pPr>
        <w:pStyle w:val="Default"/>
        <w:jc w:val="both"/>
        <w:rPr>
          <w:color w:val="538135"/>
          <w:sz w:val="20"/>
        </w:rPr>
      </w:pPr>
      <w:r>
        <w:rPr>
          <w:color w:val="538135"/>
          <w:sz w:val="20"/>
        </w:rPr>
        <w:t xml:space="preserve">- </w:t>
      </w:r>
      <w:r w:rsidR="00D70422">
        <w:rPr>
          <w:color w:val="538135"/>
          <w:sz w:val="20"/>
        </w:rPr>
        <w:t>ORSEC :</w:t>
      </w:r>
    </w:p>
    <w:p w:rsidR="00D70422" w:rsidRPr="00D70422" w:rsidRDefault="00D70422" w:rsidP="004B37A7">
      <w:pPr>
        <w:pStyle w:val="Default"/>
        <w:ind w:left="708"/>
        <w:jc w:val="both"/>
        <w:rPr>
          <w:color w:val="538135"/>
          <w:sz w:val="20"/>
        </w:rPr>
      </w:pPr>
      <w:r>
        <w:rPr>
          <w:color w:val="538135"/>
          <w:sz w:val="20"/>
        </w:rPr>
        <w:t xml:space="preserve">- </w:t>
      </w:r>
      <w:r w:rsidRPr="00D70422">
        <w:rPr>
          <w:color w:val="538135"/>
          <w:sz w:val="20"/>
        </w:rPr>
        <w:t>L'organisation de la réponse de sécurité civile (ORSEC) : documents du Ministère de l’Intérieur et des Outre-mer (2024).</w:t>
      </w:r>
    </w:p>
    <w:p w:rsidR="00D70422" w:rsidRDefault="00D70422" w:rsidP="004B37A7">
      <w:pPr>
        <w:pStyle w:val="Default"/>
        <w:ind w:left="708"/>
        <w:jc w:val="both"/>
        <w:rPr>
          <w:color w:val="538135"/>
          <w:sz w:val="20"/>
        </w:rPr>
      </w:pPr>
      <w:r w:rsidRPr="00D70422">
        <w:rPr>
          <w:color w:val="538135"/>
          <w:sz w:val="20"/>
        </w:rPr>
        <w:t>La planification de l’organisation de la réponse de sécurité civile (ORSEC) a pour objet de secourir les personnes, de protéger les biens et l’environnement en situation d’urgence.  Depuis l’adoption de la loi n° 2004-811 du 13 août 2004 de modernisation de la sécurité civile, le dispositif ORSEC se décline aux niveaux départemental, zonal et maritime.</w:t>
      </w:r>
    </w:p>
    <w:p w:rsidR="00A814A7" w:rsidRPr="00A814A7" w:rsidRDefault="00A814A7" w:rsidP="00A814A7">
      <w:pPr>
        <w:pStyle w:val="Default"/>
        <w:jc w:val="both"/>
        <w:rPr>
          <w:color w:val="538135"/>
          <w:sz w:val="20"/>
        </w:rPr>
      </w:pPr>
      <w:r>
        <w:rPr>
          <w:color w:val="538135"/>
          <w:sz w:val="20"/>
        </w:rPr>
        <w:t xml:space="preserve">- </w:t>
      </w:r>
      <w:r w:rsidRPr="00A814A7">
        <w:rPr>
          <w:color w:val="538135"/>
          <w:sz w:val="20"/>
        </w:rPr>
        <w:t>La liste de diffusion DGS-Urgent permet aux professionnels de santé de recevoir automatiquement des messages les avertissant de problèmes sanitaires urgents ou le signalement de produits dangereux.</w:t>
      </w:r>
    </w:p>
    <w:p w:rsidR="00A814A7" w:rsidRPr="00A814A7" w:rsidRDefault="00A814A7" w:rsidP="00A814A7">
      <w:pPr>
        <w:pStyle w:val="Default"/>
        <w:jc w:val="both"/>
        <w:rPr>
          <w:color w:val="538135"/>
          <w:sz w:val="20"/>
        </w:rPr>
      </w:pPr>
      <w:r w:rsidRPr="00A814A7">
        <w:rPr>
          <w:color w:val="538135"/>
          <w:sz w:val="20"/>
        </w:rPr>
        <w:t>La Direction Générale de Santé (DGS), par l’intermédiaire du Centre Opérationnel de Régulation et de Réponse aux Urgences Sanitaires et Sociales (CORRUSS), émet des informations sur l’état des connaissances des situations d’urgence sanitaire survenant sur le territoire national pouvant impacter leurs activités, et des recommandations en matière de prise en charge.</w:t>
      </w:r>
    </w:p>
    <w:p w:rsidR="00D70422" w:rsidRDefault="00A814A7" w:rsidP="00A814A7">
      <w:pPr>
        <w:pStyle w:val="Default"/>
        <w:jc w:val="both"/>
        <w:rPr>
          <w:color w:val="538135"/>
          <w:sz w:val="20"/>
        </w:rPr>
      </w:pPr>
      <w:r w:rsidRPr="00A814A7">
        <w:rPr>
          <w:color w:val="538135"/>
          <w:sz w:val="20"/>
        </w:rPr>
        <w:t>Ces messages prennent la forme de « DGS-Urgent » et sont diffusés à l’ensemble des professionnels de santé libéraux ou salariés inscrits au conseil de l’ordre compétent, en conformité avec l’article L. 4001-2 de la LOI n° 2016-41 du 26 janvier 2016 de modernisation de notre système de santé</w:t>
      </w:r>
    </w:p>
    <w:p w:rsidR="00BE5CE8" w:rsidRDefault="00BE5CE8" w:rsidP="00BE5CE8">
      <w:pPr>
        <w:pStyle w:val="Default"/>
        <w:jc w:val="both"/>
        <w:rPr>
          <w:color w:val="FF0000"/>
        </w:rPr>
      </w:pPr>
    </w:p>
    <w:p w:rsidR="000074A3" w:rsidRPr="00ED2E7C" w:rsidRDefault="00173380" w:rsidP="000074A3">
      <w:pPr>
        <w:pStyle w:val="Default"/>
        <w:jc w:val="both"/>
        <w:rPr>
          <w:color w:val="FF0000"/>
        </w:rPr>
      </w:pPr>
      <w:hyperlink r:id="rId9" w:history="1">
        <w:r w:rsidR="000074A3" w:rsidRPr="00117BB3">
          <w:rPr>
            <w:rStyle w:val="Lienhypertexte"/>
          </w:rPr>
          <w:t>Substances vénéneuses</w:t>
        </w:r>
      </w:hyperlink>
    </w:p>
    <w:p w:rsidR="006672AF" w:rsidRPr="005F6FBF" w:rsidRDefault="005F6FBF" w:rsidP="005F6FBF">
      <w:pPr>
        <w:pStyle w:val="Default"/>
        <w:jc w:val="both"/>
        <w:rPr>
          <w:color w:val="538135"/>
          <w:sz w:val="20"/>
        </w:rPr>
      </w:pPr>
      <w:r>
        <w:rPr>
          <w:color w:val="538135"/>
          <w:sz w:val="20"/>
        </w:rPr>
        <w:t xml:space="preserve">- </w:t>
      </w:r>
      <w:hyperlink r:id="rId10" w:anchor="svprescription" w:history="1">
        <w:r w:rsidR="006672AF" w:rsidRPr="005F6FBF">
          <w:rPr>
            <w:color w:val="538135"/>
            <w:sz w:val="20"/>
          </w:rPr>
          <w:t>Dispensation de médicaments et réalisation d'examens de biologie médicale sur la base d'une ordonnance étrangère : les bons réflexes (CNOP, septembre 2023)</w:t>
        </w:r>
      </w:hyperlink>
      <w:r w:rsidR="006672AF" w:rsidRPr="005F6FBF">
        <w:rPr>
          <w:color w:val="538135"/>
          <w:sz w:val="20"/>
        </w:rPr>
        <w:t>.</w:t>
      </w:r>
    </w:p>
    <w:p w:rsidR="006672AF" w:rsidRPr="005F6FBF" w:rsidRDefault="005F6FBF" w:rsidP="005F6FBF">
      <w:pPr>
        <w:pStyle w:val="Default"/>
        <w:jc w:val="both"/>
        <w:rPr>
          <w:color w:val="538135"/>
          <w:sz w:val="20"/>
        </w:rPr>
      </w:pPr>
      <w:r>
        <w:rPr>
          <w:color w:val="538135"/>
          <w:sz w:val="20"/>
        </w:rPr>
        <w:t xml:space="preserve">- </w:t>
      </w:r>
      <w:hyperlink r:id="rId11" w:anchor="e-prescription" w:history="1">
        <w:r w:rsidR="006672AF" w:rsidRPr="005F6FBF">
          <w:rPr>
            <w:color w:val="538135"/>
            <w:sz w:val="20"/>
          </w:rPr>
          <w:t xml:space="preserve">Analyse synthétique du CNOP concernant la prescription électronique (29/02/2024) et de </w:t>
        </w:r>
        <w:proofErr w:type="spellStart"/>
        <w:r w:rsidR="006672AF" w:rsidRPr="005F6FBF">
          <w:rPr>
            <w:color w:val="538135"/>
            <w:sz w:val="20"/>
          </w:rPr>
          <w:t>Meddispar</w:t>
        </w:r>
        <w:proofErr w:type="spellEnd"/>
        <w:r w:rsidR="006672AF" w:rsidRPr="005F6FBF">
          <w:rPr>
            <w:color w:val="538135"/>
            <w:sz w:val="20"/>
          </w:rPr>
          <w:t xml:space="preserve"> (02/02/2024) concernant sa mise en œuvre pour les stupéfiants et assimilés</w:t>
        </w:r>
      </w:hyperlink>
      <w:r w:rsidR="006672AF" w:rsidRPr="005F6FBF">
        <w:rPr>
          <w:color w:val="538135"/>
          <w:sz w:val="20"/>
        </w:rPr>
        <w:t>.</w:t>
      </w:r>
    </w:p>
    <w:p w:rsidR="006672AF" w:rsidRPr="005F6FBF" w:rsidRDefault="005F6FBF" w:rsidP="005F6FBF">
      <w:pPr>
        <w:pStyle w:val="Default"/>
        <w:jc w:val="both"/>
        <w:rPr>
          <w:color w:val="538135"/>
          <w:sz w:val="20"/>
        </w:rPr>
      </w:pPr>
      <w:r>
        <w:rPr>
          <w:color w:val="538135"/>
          <w:sz w:val="20"/>
        </w:rPr>
        <w:t xml:space="preserve">- </w:t>
      </w:r>
      <w:hyperlink r:id="rId12" w:anchor="cadragestup" w:history="1">
        <w:r w:rsidR="006672AF" w:rsidRPr="005F6FBF">
          <w:rPr>
            <w:color w:val="538135"/>
            <w:sz w:val="20"/>
          </w:rPr>
          <w:t>Jugement n° 21/01443 du 27/06/2023 de la Cour d'appel de Nîmes considérant comme contraire à la réglementation l'administration de médicaments stupéfiants par des personnes n'étant pas infirmières</w:t>
        </w:r>
      </w:hyperlink>
      <w:r w:rsidR="006672AF" w:rsidRPr="005F6FBF">
        <w:rPr>
          <w:color w:val="538135"/>
          <w:sz w:val="20"/>
        </w:rPr>
        <w:t>.</w:t>
      </w:r>
    </w:p>
    <w:p w:rsidR="006672AF" w:rsidRPr="005F6FBF" w:rsidRDefault="005F6FBF" w:rsidP="005F6FBF">
      <w:pPr>
        <w:pStyle w:val="Default"/>
        <w:jc w:val="both"/>
        <w:rPr>
          <w:color w:val="538135"/>
          <w:sz w:val="20"/>
        </w:rPr>
      </w:pPr>
      <w:r>
        <w:rPr>
          <w:color w:val="538135"/>
          <w:sz w:val="20"/>
        </w:rPr>
        <w:t xml:space="preserve">- </w:t>
      </w:r>
      <w:hyperlink r:id="rId13" w:anchor="cannabis-cbd" w:history="1">
        <w:r w:rsidR="006672AF" w:rsidRPr="005F6FBF">
          <w:rPr>
            <w:color w:val="538135"/>
            <w:sz w:val="20"/>
          </w:rPr>
          <w:t xml:space="preserve">Les évaluations du </w:t>
        </w:r>
        <w:proofErr w:type="spellStart"/>
        <w:r w:rsidR="006672AF" w:rsidRPr="005F6FBF">
          <w:rPr>
            <w:color w:val="538135"/>
            <w:sz w:val="20"/>
          </w:rPr>
          <w:t>cannabidiol</w:t>
        </w:r>
        <w:proofErr w:type="spellEnd"/>
        <w:r w:rsidR="006672AF" w:rsidRPr="005F6FBF">
          <w:rPr>
            <w:color w:val="538135"/>
            <w:sz w:val="20"/>
          </w:rPr>
          <w:t xml:space="preserve"> en tant que nouvel aliment sont suspendues dans l'attente de nouvelles données (EFSA, 07/06/2022)</w:t>
        </w:r>
      </w:hyperlink>
      <w:r w:rsidR="006672AF" w:rsidRPr="005F6FBF">
        <w:rPr>
          <w:color w:val="538135"/>
          <w:sz w:val="20"/>
        </w:rPr>
        <w:t>.</w:t>
      </w:r>
    </w:p>
    <w:p w:rsidR="006672AF" w:rsidRPr="005F6FBF" w:rsidRDefault="005F6FBF" w:rsidP="005F6FBF">
      <w:pPr>
        <w:pStyle w:val="Default"/>
        <w:jc w:val="both"/>
        <w:rPr>
          <w:color w:val="538135"/>
          <w:sz w:val="20"/>
        </w:rPr>
      </w:pPr>
      <w:r>
        <w:rPr>
          <w:color w:val="538135"/>
          <w:sz w:val="20"/>
        </w:rPr>
        <w:t xml:space="preserve">- </w:t>
      </w:r>
      <w:hyperlink r:id="rId14" w:anchor="cannabis-cbd" w:history="1">
        <w:r w:rsidR="006672AF" w:rsidRPr="005F6FBF">
          <w:rPr>
            <w:color w:val="538135"/>
            <w:sz w:val="20"/>
          </w:rPr>
          <w:t>Liste des compléments alimentaires contenant du CBD déclarés à la DGCCRF et ayant obtenu une attestation de déclaration de commercialisation sur le territoire français</w:t>
        </w:r>
      </w:hyperlink>
      <w:r w:rsidR="006672AF" w:rsidRPr="005F6FBF">
        <w:rPr>
          <w:color w:val="538135"/>
          <w:sz w:val="20"/>
        </w:rPr>
        <w:t>.</w:t>
      </w:r>
    </w:p>
    <w:p w:rsidR="006672AF" w:rsidRPr="005F6FBF" w:rsidRDefault="005F6FBF" w:rsidP="005F6FBF">
      <w:pPr>
        <w:pStyle w:val="Default"/>
        <w:jc w:val="both"/>
        <w:rPr>
          <w:color w:val="538135"/>
          <w:sz w:val="20"/>
        </w:rPr>
      </w:pPr>
      <w:r>
        <w:rPr>
          <w:color w:val="538135"/>
          <w:sz w:val="20"/>
        </w:rPr>
        <w:t xml:space="preserve">- </w:t>
      </w:r>
      <w:hyperlink r:id="rId15" w:anchor="cannabis-therapeutique" w:history="1">
        <w:r w:rsidR="006672AF" w:rsidRPr="005F6FBF">
          <w:rPr>
            <w:color w:val="538135"/>
            <w:sz w:val="20"/>
          </w:rPr>
          <w:t xml:space="preserve">Décret n° 2024-259 du 23 mars 2024 </w:t>
        </w:r>
        <w:r w:rsidR="006672AF" w:rsidRPr="005F6FBF">
          <w:rPr>
            <w:i/>
            <w:iCs/>
            <w:color w:val="538135"/>
            <w:sz w:val="20"/>
          </w:rPr>
          <w:t>modifiant le décret n° 2020-1230 du 7 octobre 2020 relatif à l'expérimentation de l'usage médical du cannabis</w:t>
        </w:r>
        <w:r w:rsidR="006672AF" w:rsidRPr="005F6FBF">
          <w:rPr>
            <w:color w:val="538135"/>
            <w:sz w:val="20"/>
          </w:rPr>
          <w:t xml:space="preserve"> (fin de l'inclusion de nouveaux patients fixée au 27/03/2024 et passage de l'expérimentation au droit commun lors de la première commercialisation autorisée d'un médicament à base de cannabis)</w:t>
        </w:r>
      </w:hyperlink>
      <w:r w:rsidR="006672AF" w:rsidRPr="005F6FBF">
        <w:rPr>
          <w:color w:val="538135"/>
          <w:sz w:val="20"/>
        </w:rPr>
        <w:t>.</w:t>
      </w:r>
    </w:p>
    <w:p w:rsidR="006672AF" w:rsidRPr="005F6FBF" w:rsidRDefault="005F6FBF" w:rsidP="005F6FBF">
      <w:pPr>
        <w:pStyle w:val="Default"/>
        <w:jc w:val="both"/>
        <w:rPr>
          <w:color w:val="538135"/>
          <w:sz w:val="20"/>
        </w:rPr>
      </w:pPr>
      <w:r>
        <w:rPr>
          <w:color w:val="538135"/>
          <w:sz w:val="20"/>
        </w:rPr>
        <w:t xml:space="preserve">- </w:t>
      </w:r>
      <w:hyperlink r:id="rId16" w:anchor="cannabis-therapeutique" w:history="1">
        <w:r w:rsidR="006672AF" w:rsidRPr="005F6FBF">
          <w:rPr>
            <w:color w:val="538135"/>
            <w:sz w:val="20"/>
          </w:rPr>
          <w:t xml:space="preserve">Arrêté du 25 mars 2024 modifiant l'arrêté du 16 octobre 2020 </w:t>
        </w:r>
        <w:r w:rsidR="006672AF" w:rsidRPr="005F6FBF">
          <w:rPr>
            <w:i/>
            <w:iCs/>
            <w:color w:val="538135"/>
            <w:sz w:val="20"/>
          </w:rPr>
          <w:t>fixant les spécifications des médicaments à base de cannabis utilisés pendant l'expérimentation prévue à l'article 43 de la loi n° 2019-1446 du 24 décembre 2019 de financement de la sécurité sociale pour 2020, les conditions de leur mise à disposition ainsi que les indications thérapeutiques ou situations cliniques dans lesquelles ils seront utilisés</w:t>
        </w:r>
        <w:r w:rsidR="006672AF" w:rsidRPr="005F6FBF">
          <w:rPr>
            <w:color w:val="538135"/>
            <w:sz w:val="20"/>
          </w:rPr>
          <w:t xml:space="preserve"> (définition d'un cahier des charges décrivant les spécifications concernant la qualité du cannabis médical et l'organisation de sa distribution auprès des officines et des PUI)</w:t>
        </w:r>
      </w:hyperlink>
      <w:r w:rsidR="006672AF" w:rsidRPr="005F6FBF">
        <w:rPr>
          <w:color w:val="538135"/>
          <w:sz w:val="20"/>
        </w:rPr>
        <w:t>.</w:t>
      </w:r>
    </w:p>
    <w:p w:rsidR="006672AF" w:rsidRPr="005F6FBF" w:rsidRDefault="005F6FBF" w:rsidP="005F6FBF">
      <w:pPr>
        <w:pStyle w:val="Default"/>
        <w:jc w:val="both"/>
        <w:rPr>
          <w:color w:val="538135"/>
          <w:sz w:val="20"/>
        </w:rPr>
      </w:pPr>
      <w:r>
        <w:rPr>
          <w:color w:val="538135"/>
          <w:sz w:val="20"/>
        </w:rPr>
        <w:t xml:space="preserve">- </w:t>
      </w:r>
      <w:hyperlink r:id="rId17" w:anchor="cannabis-therapeutique" w:history="1">
        <w:r w:rsidR="006672AF" w:rsidRPr="005F6FBF">
          <w:rPr>
            <w:color w:val="538135"/>
            <w:sz w:val="20"/>
          </w:rPr>
          <w:t xml:space="preserve">Arrêté du 27 mars 2024 </w:t>
        </w:r>
        <w:r w:rsidR="006672AF" w:rsidRPr="005F6FBF">
          <w:rPr>
            <w:i/>
            <w:iCs/>
            <w:color w:val="538135"/>
            <w:sz w:val="20"/>
          </w:rPr>
          <w:t>relatif aux conditions de prise en charge par l'assurance maladie des médicaments à base de cannabis utilisés pendant la phase transitoire prévue à l'article 43 de la loi n° 2019-1446 du 24 décembre 2019 de financement de la sécurité sociale pour 2020</w:t>
        </w:r>
      </w:hyperlink>
      <w:r w:rsidR="006672AF" w:rsidRPr="005F6FBF">
        <w:rPr>
          <w:color w:val="538135"/>
          <w:sz w:val="20"/>
        </w:rPr>
        <w:t>.</w:t>
      </w:r>
    </w:p>
    <w:p w:rsidR="006672AF" w:rsidRPr="005F6FBF" w:rsidRDefault="005F6FBF" w:rsidP="005F6FBF">
      <w:pPr>
        <w:pStyle w:val="Default"/>
        <w:jc w:val="both"/>
        <w:rPr>
          <w:color w:val="538135"/>
          <w:sz w:val="20"/>
        </w:rPr>
      </w:pPr>
      <w:r>
        <w:rPr>
          <w:color w:val="538135"/>
          <w:sz w:val="20"/>
        </w:rPr>
        <w:t xml:space="preserve">- </w:t>
      </w:r>
      <w:hyperlink r:id="rId18" w:anchor="cannabis-therapeutique" w:history="1">
        <w:r w:rsidR="006672AF" w:rsidRPr="005F6FBF">
          <w:rPr>
            <w:color w:val="538135"/>
            <w:sz w:val="20"/>
          </w:rPr>
          <w:t>Décision ANSM n° 2024-176 du 25/03/2024 - Prorogation de la durée du Comité scientifique temporaire « Suivi de l’expérimentation française de l’usage médical du cannabis » à l’ANSM (jusqu'au 31/12/2024 au lieu du 26/03/2024)</w:t>
        </w:r>
      </w:hyperlink>
      <w:r w:rsidR="006672AF" w:rsidRPr="005F6FBF">
        <w:rPr>
          <w:color w:val="538135"/>
          <w:sz w:val="20"/>
        </w:rPr>
        <w:t>.</w:t>
      </w:r>
    </w:p>
    <w:p w:rsidR="006672AF" w:rsidRPr="005F6FBF" w:rsidRDefault="005F6FBF" w:rsidP="005F6FBF">
      <w:pPr>
        <w:pStyle w:val="Default"/>
        <w:jc w:val="both"/>
        <w:rPr>
          <w:color w:val="538135"/>
          <w:sz w:val="20"/>
        </w:rPr>
      </w:pPr>
      <w:r>
        <w:rPr>
          <w:color w:val="538135"/>
          <w:sz w:val="20"/>
        </w:rPr>
        <w:t xml:space="preserve">- </w:t>
      </w:r>
      <w:hyperlink r:id="rId19" w:anchor="cannabis-therapeutique" w:history="1">
        <w:r w:rsidR="006672AF" w:rsidRPr="005F6FBF">
          <w:rPr>
            <w:color w:val="538135"/>
            <w:sz w:val="20"/>
          </w:rPr>
          <w:t>Expérimentation du cannabis médical : quelle continuité de la prise en charge</w:t>
        </w:r>
        <w:r>
          <w:rPr>
            <w:color w:val="538135"/>
            <w:sz w:val="20"/>
          </w:rPr>
          <w:t xml:space="preserve"> (CNOP, 28/03/2024)</w:t>
        </w:r>
        <w:r w:rsidR="006672AF" w:rsidRPr="005F6FBF">
          <w:rPr>
            <w:color w:val="538135"/>
            <w:sz w:val="20"/>
          </w:rPr>
          <w:t> ?</w:t>
        </w:r>
      </w:hyperlink>
    </w:p>
    <w:p w:rsidR="006672AF" w:rsidRPr="005F6FBF" w:rsidRDefault="005F6FBF" w:rsidP="005F6FBF">
      <w:pPr>
        <w:pStyle w:val="Default"/>
        <w:jc w:val="both"/>
        <w:rPr>
          <w:color w:val="538135"/>
          <w:sz w:val="20"/>
        </w:rPr>
      </w:pPr>
      <w:r>
        <w:rPr>
          <w:color w:val="538135"/>
          <w:sz w:val="20"/>
        </w:rPr>
        <w:t xml:space="preserve">- </w:t>
      </w:r>
      <w:hyperlink r:id="rId20" w:anchor="cannabis-therapeutique" w:history="1">
        <w:r w:rsidR="006672AF" w:rsidRPr="005F6FBF">
          <w:rPr>
            <w:color w:val="538135"/>
            <w:sz w:val="20"/>
          </w:rPr>
          <w:t xml:space="preserve">Compte rendu de la réunion du 31/01/2024 du comité scientifique temporaire </w:t>
        </w:r>
        <w:r w:rsidR="006672AF" w:rsidRPr="005F6FBF">
          <w:rPr>
            <w:i/>
            <w:iCs/>
            <w:color w:val="538135"/>
            <w:sz w:val="20"/>
          </w:rPr>
          <w:t>Suivi de l’expérimentation française de l’usage médical du cannabis</w:t>
        </w:r>
        <w:r w:rsidR="006672AF" w:rsidRPr="005F6FBF">
          <w:rPr>
            <w:color w:val="538135"/>
            <w:sz w:val="20"/>
          </w:rPr>
          <w:t xml:space="preserve"> (ANSM, 21/03/2024). Problème sur la gestion de la fin de mise à disposition de sommités fleuries</w:t>
        </w:r>
      </w:hyperlink>
      <w:r w:rsidR="006672AF" w:rsidRPr="005F6FBF">
        <w:rPr>
          <w:color w:val="538135"/>
          <w:sz w:val="20"/>
        </w:rPr>
        <w:t>.</w:t>
      </w:r>
    </w:p>
    <w:p w:rsidR="006672AF" w:rsidRPr="005F6FBF" w:rsidRDefault="005F6FBF" w:rsidP="005F6FBF">
      <w:pPr>
        <w:pStyle w:val="Default"/>
        <w:jc w:val="both"/>
        <w:rPr>
          <w:color w:val="538135"/>
          <w:sz w:val="20"/>
        </w:rPr>
      </w:pPr>
      <w:r>
        <w:rPr>
          <w:color w:val="538135"/>
          <w:sz w:val="20"/>
        </w:rPr>
        <w:t xml:space="preserve">- </w:t>
      </w:r>
      <w:hyperlink r:id="rId21" w:anchor="biblio-canna" w:history="1">
        <w:r w:rsidR="006672AF" w:rsidRPr="005F6FBF">
          <w:rPr>
            <w:color w:val="538135"/>
            <w:sz w:val="20"/>
          </w:rPr>
          <w:t>Cannabis thérapeutique : les premières AMM attendues pour 2025 (Le Quotidien du pharmacien, 29/02/2024). Article réservé aux abonnés</w:t>
        </w:r>
      </w:hyperlink>
      <w:r w:rsidR="006672AF" w:rsidRPr="005F6FBF">
        <w:rPr>
          <w:color w:val="538135"/>
          <w:sz w:val="20"/>
        </w:rPr>
        <w:t>.</w:t>
      </w:r>
    </w:p>
    <w:p w:rsidR="005F6FBF" w:rsidRDefault="005F6FBF" w:rsidP="005F6FBF">
      <w:pPr>
        <w:pStyle w:val="Default"/>
        <w:jc w:val="both"/>
        <w:rPr>
          <w:color w:val="538135"/>
          <w:sz w:val="20"/>
        </w:rPr>
      </w:pPr>
      <w:r>
        <w:rPr>
          <w:color w:val="538135"/>
          <w:sz w:val="20"/>
        </w:rPr>
        <w:t xml:space="preserve">- </w:t>
      </w:r>
      <w:r w:rsidR="006672AF" w:rsidRPr="005F6FBF">
        <w:rPr>
          <w:color w:val="538135"/>
          <w:sz w:val="20"/>
        </w:rPr>
        <w:fldChar w:fldCharType="begin"/>
      </w:r>
      <w:r w:rsidR="006672AF" w:rsidRPr="005F6FBF">
        <w:rPr>
          <w:color w:val="538135"/>
          <w:sz w:val="20"/>
        </w:rPr>
        <w:instrText xml:space="preserve"> HYPERLINK "https://peps.sante.gouv.fr/themes/subst_ven/subst.html" \l "biblio-opioides" </w:instrText>
      </w:r>
      <w:r w:rsidR="006672AF" w:rsidRPr="005F6FBF">
        <w:rPr>
          <w:color w:val="538135"/>
          <w:sz w:val="20"/>
        </w:rPr>
        <w:fldChar w:fldCharType="separate"/>
      </w:r>
      <w:r w:rsidR="006672AF" w:rsidRPr="005F6FBF">
        <w:rPr>
          <w:color w:val="538135"/>
          <w:sz w:val="20"/>
        </w:rPr>
        <w:t>ASOS - Résultats de l'enquête 2022 (CEIP-A/ANSM, 08/03/2024).</w:t>
      </w:r>
    </w:p>
    <w:p w:rsidR="005F6FBF" w:rsidRDefault="005F6FBF">
      <w:pPr>
        <w:rPr>
          <w:rFonts w:ascii="Arial" w:hAnsi="Arial" w:cs="Arial"/>
          <w:color w:val="538135"/>
          <w:sz w:val="20"/>
        </w:rPr>
      </w:pPr>
      <w:r>
        <w:rPr>
          <w:color w:val="538135"/>
          <w:sz w:val="20"/>
        </w:rPr>
        <w:br w:type="page"/>
      </w:r>
    </w:p>
    <w:p w:rsidR="006672AF" w:rsidRPr="005F6FBF" w:rsidRDefault="006672AF" w:rsidP="005F6FBF">
      <w:pPr>
        <w:pStyle w:val="Default"/>
        <w:jc w:val="both"/>
        <w:rPr>
          <w:color w:val="538135"/>
          <w:sz w:val="20"/>
        </w:rPr>
      </w:pPr>
      <w:r w:rsidRPr="005F6FBF">
        <w:rPr>
          <w:color w:val="538135"/>
          <w:sz w:val="20"/>
        </w:rPr>
        <w:lastRenderedPageBreak/>
        <w:t>ASOS est une étude transversale, réalisée pendant une semaine auprès d’un échantillon national tiré au sort de pharmacies d’officine (métropole et départements d’Outre-Mer) sur la prescription d’antalgiques stupéfiants. Les objectifs sont de décrire la population traitée par antalgiques stupéfiants et les modalités de leur prescription, d’évaluer le respect des règles de prescription et de suivre l’évolution dans le temps de ces données</w:t>
      </w:r>
      <w:r w:rsidRPr="005F6FBF">
        <w:rPr>
          <w:color w:val="538135"/>
          <w:sz w:val="20"/>
        </w:rPr>
        <w:fldChar w:fldCharType="end"/>
      </w:r>
      <w:r w:rsidRPr="005F6FBF">
        <w:rPr>
          <w:color w:val="538135"/>
          <w:sz w:val="20"/>
        </w:rPr>
        <w:t>.</w:t>
      </w:r>
    </w:p>
    <w:p w:rsidR="006672AF" w:rsidRPr="005F6FBF" w:rsidRDefault="006672AF" w:rsidP="005F6FBF">
      <w:pPr>
        <w:pStyle w:val="Default"/>
        <w:jc w:val="both"/>
        <w:rPr>
          <w:color w:val="538135"/>
          <w:sz w:val="20"/>
        </w:rPr>
      </w:pPr>
      <w:hyperlink r:id="rId22" w:anchor="biblio-proto" w:history="1">
        <w:r w:rsidRPr="005F6FBF">
          <w:rPr>
            <w:color w:val="538135"/>
            <w:sz w:val="20"/>
          </w:rPr>
          <w:t>Protoxyde d’azote : limiter l’exposition des professionnels (ANSES, 21/03/2024)</w:t>
        </w:r>
      </w:hyperlink>
      <w:r w:rsidRPr="005F6FBF">
        <w:rPr>
          <w:color w:val="538135"/>
          <w:sz w:val="20"/>
        </w:rPr>
        <w:t>.</w:t>
      </w:r>
    </w:p>
    <w:p w:rsidR="000074A3" w:rsidRDefault="000074A3" w:rsidP="000074A3">
      <w:pPr>
        <w:pStyle w:val="Default"/>
        <w:rPr>
          <w:color w:val="538135"/>
          <w:sz w:val="20"/>
        </w:rPr>
      </w:pPr>
    </w:p>
    <w:p w:rsidR="00177468" w:rsidRPr="00ED2E7C" w:rsidRDefault="00173380" w:rsidP="00177468">
      <w:pPr>
        <w:pStyle w:val="Default"/>
        <w:jc w:val="both"/>
        <w:rPr>
          <w:color w:val="FF0000"/>
        </w:rPr>
      </w:pPr>
      <w:hyperlink r:id="rId23" w:history="1">
        <w:r w:rsidR="00177468" w:rsidRPr="000074A3">
          <w:rPr>
            <w:rStyle w:val="Lienhypertexte"/>
          </w:rPr>
          <w:t>Tatouage et perçage corporel</w:t>
        </w:r>
      </w:hyperlink>
    </w:p>
    <w:p w:rsidR="00177468" w:rsidRDefault="00173380" w:rsidP="00177468">
      <w:pPr>
        <w:pStyle w:val="Default"/>
        <w:jc w:val="both"/>
        <w:rPr>
          <w:color w:val="538135"/>
          <w:sz w:val="20"/>
        </w:rPr>
      </w:pPr>
      <w:hyperlink r:id="rId24" w:anchor="cannabis" w:history="1">
        <w:r w:rsidR="00177468" w:rsidRPr="00D72557">
          <w:rPr>
            <w:color w:val="538135"/>
            <w:sz w:val="20"/>
          </w:rPr>
          <w:t xml:space="preserve">- </w:t>
        </w:r>
        <w:r w:rsidR="00177468" w:rsidRPr="000074A3">
          <w:rPr>
            <w:color w:val="538135"/>
            <w:sz w:val="20"/>
          </w:rPr>
          <w:t>Arrêté du 5 mars 2024 pris en application de l'article R. 1311-3 du code de la santé publique et relatif à la formation des personnes qui mettent en œuvre les techniques de tatouage par effraction cutanée et de perçage corporel</w:t>
        </w:r>
      </w:hyperlink>
      <w:r w:rsidR="00177468" w:rsidRPr="00D72557">
        <w:rPr>
          <w:color w:val="538135"/>
          <w:sz w:val="20"/>
        </w:rPr>
        <w:t>.</w:t>
      </w:r>
    </w:p>
    <w:p w:rsidR="00177468" w:rsidRPr="00ED2E7C" w:rsidRDefault="00177468" w:rsidP="00177468">
      <w:pPr>
        <w:pStyle w:val="Default"/>
        <w:jc w:val="both"/>
        <w:rPr>
          <w:color w:val="FF0000"/>
        </w:rPr>
      </w:pPr>
      <w:r w:rsidRPr="00D72557">
        <w:rPr>
          <w:color w:val="538135"/>
          <w:sz w:val="20"/>
        </w:rPr>
        <w:br/>
      </w:r>
      <w:hyperlink r:id="rId25" w:history="1">
        <w:r w:rsidRPr="00177468">
          <w:rPr>
            <w:rStyle w:val="Lienhypertexte"/>
          </w:rPr>
          <w:t>Vente de médicaments sur Internet (VMI)</w:t>
        </w:r>
      </w:hyperlink>
    </w:p>
    <w:p w:rsidR="00177468" w:rsidRPr="00177468" w:rsidRDefault="00177468" w:rsidP="00177468">
      <w:pPr>
        <w:pStyle w:val="Default"/>
        <w:rPr>
          <w:color w:val="538135"/>
          <w:sz w:val="20"/>
        </w:rPr>
      </w:pPr>
      <w:r>
        <w:fldChar w:fldCharType="begin"/>
      </w:r>
      <w:r>
        <w:instrText xml:space="preserve"> HYPERLINK "http://peps.intranet.sante.gouv.fr/themes/subst_ven/subst.html" \l "cannabis" </w:instrText>
      </w:r>
      <w:r>
        <w:fldChar w:fldCharType="separate"/>
      </w:r>
      <w:r w:rsidRPr="00D72557">
        <w:rPr>
          <w:color w:val="538135"/>
          <w:sz w:val="20"/>
        </w:rPr>
        <w:t xml:space="preserve">- </w:t>
      </w:r>
      <w:r w:rsidRPr="00177468">
        <w:rPr>
          <w:color w:val="538135"/>
          <w:sz w:val="20"/>
        </w:rPr>
        <w:t>Arrêt de la Cour de justice de l'Union européenne n°37/2024 du 29 février 2024 dans</w:t>
      </w:r>
      <w:r>
        <w:rPr>
          <w:color w:val="538135"/>
          <w:sz w:val="20"/>
        </w:rPr>
        <w:t xml:space="preserve"> l'affaire C-606/21 </w:t>
      </w:r>
      <w:proofErr w:type="spellStart"/>
      <w:r>
        <w:rPr>
          <w:color w:val="538135"/>
          <w:sz w:val="20"/>
        </w:rPr>
        <w:t>Doctipharma</w:t>
      </w:r>
      <w:proofErr w:type="spellEnd"/>
      <w:r>
        <w:rPr>
          <w:color w:val="538135"/>
          <w:sz w:val="20"/>
        </w:rPr>
        <w:t xml:space="preserve"> </w:t>
      </w:r>
      <w:r w:rsidRPr="00177468">
        <w:rPr>
          <w:color w:val="538135"/>
          <w:sz w:val="20"/>
        </w:rPr>
        <w:t>(un Etat membre de l'UE peut interdire à une plateforme n’ayant pas la qualité de pharmacien de participer à l’exercice de la VMI - au-delà de la simple mise en relation vendeur/clients - sur son territoire).</w:t>
      </w:r>
    </w:p>
    <w:p w:rsidR="00177468" w:rsidRDefault="00177468" w:rsidP="00177468">
      <w:pPr>
        <w:pStyle w:val="Default"/>
        <w:rPr>
          <w:color w:val="538135"/>
          <w:sz w:val="20"/>
        </w:rPr>
      </w:pPr>
      <w:r w:rsidRPr="00177468">
        <w:rPr>
          <w:color w:val="538135"/>
          <w:sz w:val="20"/>
        </w:rPr>
        <w:t>Résumé de l’arrêt de la CJUE.</w:t>
      </w:r>
      <w:r>
        <w:rPr>
          <w:color w:val="538135"/>
          <w:sz w:val="20"/>
        </w:rPr>
        <w:fldChar w:fldCharType="end"/>
      </w:r>
    </w:p>
    <w:p w:rsidR="00177468" w:rsidRDefault="00177468" w:rsidP="00177468">
      <w:pPr>
        <w:pStyle w:val="Default"/>
        <w:rPr>
          <w:color w:val="538135"/>
          <w:sz w:val="20"/>
        </w:rPr>
      </w:pPr>
      <w:r>
        <w:rPr>
          <w:color w:val="538135"/>
          <w:sz w:val="20"/>
        </w:rPr>
        <w:t xml:space="preserve">- </w:t>
      </w:r>
      <w:r w:rsidRPr="00177468">
        <w:rPr>
          <w:color w:val="538135"/>
          <w:sz w:val="20"/>
        </w:rPr>
        <w:t>LOI n° 2020-1525 du 7 décembre 2020 d'accélération et de simplification de l'action publique (art. 148 qui modifie l’article L. 5125-36 CSP : régime de déclaration et non d’autorisation, changement conditionné par un décret en Conseil d’Etat toujours en attente de parution).</w:t>
      </w:r>
    </w:p>
    <w:p w:rsidR="00177468" w:rsidRDefault="00177468" w:rsidP="00177468">
      <w:pPr>
        <w:pStyle w:val="Default"/>
        <w:rPr>
          <w:color w:val="538135"/>
          <w:sz w:val="20"/>
        </w:rPr>
      </w:pPr>
      <w:r>
        <w:rPr>
          <w:color w:val="538135"/>
          <w:sz w:val="20"/>
        </w:rPr>
        <w:t xml:space="preserve">- </w:t>
      </w:r>
      <w:r w:rsidRPr="00177468">
        <w:rPr>
          <w:color w:val="538135"/>
          <w:sz w:val="20"/>
        </w:rPr>
        <w:t>Arrêté du 28 novembre 2016 relatif aux règles techniques applicables aux sites internet de commerce électronique de médicaments prévues à l'article L. 5125-39 du code de la santé publique, modifié par arrêté du 14 mai 2021</w:t>
      </w:r>
      <w:r>
        <w:rPr>
          <w:color w:val="538135"/>
          <w:sz w:val="20"/>
        </w:rPr>
        <w:t>.</w:t>
      </w:r>
    </w:p>
    <w:p w:rsidR="00177468" w:rsidRDefault="00177468" w:rsidP="00177468">
      <w:pPr>
        <w:pStyle w:val="Default"/>
        <w:rPr>
          <w:color w:val="538135"/>
          <w:sz w:val="20"/>
        </w:rPr>
      </w:pPr>
      <w:r>
        <w:rPr>
          <w:color w:val="538135"/>
          <w:sz w:val="20"/>
        </w:rPr>
        <w:t xml:space="preserve">- </w:t>
      </w:r>
      <w:r w:rsidRPr="00177468">
        <w:rPr>
          <w:color w:val="538135"/>
          <w:sz w:val="20"/>
        </w:rPr>
        <w:t>Accès à la liste des hébergeurs certifiés et anciennement agréés.</w:t>
      </w:r>
    </w:p>
    <w:p w:rsidR="00177468" w:rsidRDefault="00177468" w:rsidP="00177468">
      <w:pPr>
        <w:pStyle w:val="Default"/>
        <w:rPr>
          <w:color w:val="538135"/>
          <w:sz w:val="20"/>
        </w:rPr>
      </w:pPr>
      <w:r>
        <w:rPr>
          <w:color w:val="538135"/>
          <w:sz w:val="20"/>
        </w:rPr>
        <w:t xml:space="preserve">- </w:t>
      </w:r>
      <w:proofErr w:type="spellStart"/>
      <w:r>
        <w:rPr>
          <w:color w:val="538135"/>
          <w:sz w:val="20"/>
        </w:rPr>
        <w:t>Claranet</w:t>
      </w:r>
      <w:proofErr w:type="spellEnd"/>
      <w:r>
        <w:rPr>
          <w:color w:val="538135"/>
          <w:sz w:val="20"/>
        </w:rPr>
        <w:t xml:space="preserve"> - </w:t>
      </w:r>
      <w:r w:rsidRPr="00177468">
        <w:rPr>
          <w:color w:val="538135"/>
          <w:sz w:val="20"/>
        </w:rPr>
        <w:t>Certificat AFAQ</w:t>
      </w:r>
      <w:r>
        <w:rPr>
          <w:color w:val="538135"/>
          <w:sz w:val="20"/>
        </w:rPr>
        <w:t xml:space="preserve"> (2021).</w:t>
      </w:r>
    </w:p>
    <w:p w:rsidR="00177468" w:rsidRDefault="00177468" w:rsidP="00177468">
      <w:pPr>
        <w:pStyle w:val="Default"/>
        <w:rPr>
          <w:color w:val="538135"/>
          <w:sz w:val="20"/>
        </w:rPr>
      </w:pPr>
      <w:r>
        <w:rPr>
          <w:color w:val="538135"/>
          <w:sz w:val="20"/>
        </w:rPr>
        <w:t xml:space="preserve">- </w:t>
      </w:r>
      <w:r w:rsidRPr="00177468">
        <w:rPr>
          <w:color w:val="538135"/>
          <w:sz w:val="20"/>
        </w:rPr>
        <w:t>Société Lagardère Active/DOCTIPHARMA</w:t>
      </w:r>
      <w:r>
        <w:rPr>
          <w:color w:val="538135"/>
          <w:sz w:val="20"/>
        </w:rPr>
        <w:t> :</w:t>
      </w:r>
    </w:p>
    <w:p w:rsidR="00177468" w:rsidRDefault="00177468" w:rsidP="00177468">
      <w:pPr>
        <w:pStyle w:val="Default"/>
        <w:numPr>
          <w:ilvl w:val="0"/>
          <w:numId w:val="24"/>
        </w:numPr>
        <w:rPr>
          <w:color w:val="538135"/>
          <w:sz w:val="20"/>
        </w:rPr>
      </w:pPr>
      <w:r w:rsidRPr="00177468">
        <w:rPr>
          <w:color w:val="538135"/>
          <w:sz w:val="20"/>
        </w:rPr>
        <w:t>Cour d’Appel de Versailles, 2ème chambre, arrêt contradictoire du 12 décembre 2017</w:t>
      </w:r>
    </w:p>
    <w:p w:rsidR="00177468" w:rsidRDefault="00177468" w:rsidP="00177468">
      <w:pPr>
        <w:pStyle w:val="Default"/>
        <w:numPr>
          <w:ilvl w:val="0"/>
          <w:numId w:val="24"/>
        </w:numPr>
        <w:rPr>
          <w:color w:val="538135"/>
          <w:sz w:val="20"/>
        </w:rPr>
      </w:pPr>
      <w:r w:rsidRPr="00177468">
        <w:rPr>
          <w:color w:val="538135"/>
          <w:sz w:val="20"/>
        </w:rPr>
        <w:t>Cour de Cassation civile, chambre commerciale, décision du 19 juin 2019 (suite à l’arrêt de la Cour d’Appel de Versailles)</w:t>
      </w:r>
    </w:p>
    <w:p w:rsidR="00177468" w:rsidRDefault="00177468" w:rsidP="00177468">
      <w:pPr>
        <w:pStyle w:val="Default"/>
        <w:numPr>
          <w:ilvl w:val="0"/>
          <w:numId w:val="24"/>
        </w:numPr>
        <w:rPr>
          <w:color w:val="538135"/>
          <w:sz w:val="20"/>
        </w:rPr>
      </w:pPr>
      <w:r w:rsidRPr="00177468">
        <w:rPr>
          <w:color w:val="538135"/>
          <w:sz w:val="20"/>
        </w:rPr>
        <w:t>Cour d’Appel de Paris, arrêt du 17 septembre 2021</w:t>
      </w:r>
    </w:p>
    <w:p w:rsidR="00E1498C" w:rsidRDefault="00E1498C" w:rsidP="00E1498C">
      <w:pPr>
        <w:pStyle w:val="Default"/>
        <w:rPr>
          <w:color w:val="538135"/>
          <w:sz w:val="20"/>
        </w:rPr>
      </w:pPr>
      <w:r>
        <w:rPr>
          <w:color w:val="538135"/>
          <w:sz w:val="20"/>
        </w:rPr>
        <w:t xml:space="preserve">- </w:t>
      </w:r>
      <w:r w:rsidRPr="00E1498C">
        <w:rPr>
          <w:color w:val="538135"/>
          <w:sz w:val="20"/>
        </w:rPr>
        <w:t>OPÉRATION PANGEA XI contre les trafics de médicaments : une problématique mondiale qui n’épargne pas la France (ANSM, 23/10/2018)</w:t>
      </w:r>
      <w:r>
        <w:rPr>
          <w:color w:val="538135"/>
          <w:sz w:val="20"/>
        </w:rPr>
        <w:t>.</w:t>
      </w:r>
    </w:p>
    <w:p w:rsidR="00E1498C" w:rsidRDefault="00E1498C" w:rsidP="00E1498C">
      <w:pPr>
        <w:pStyle w:val="Default"/>
        <w:rPr>
          <w:color w:val="538135"/>
          <w:sz w:val="20"/>
        </w:rPr>
      </w:pPr>
      <w:r>
        <w:rPr>
          <w:color w:val="538135"/>
          <w:sz w:val="20"/>
        </w:rPr>
        <w:t xml:space="preserve">- </w:t>
      </w:r>
      <w:r w:rsidRPr="00E1498C">
        <w:rPr>
          <w:color w:val="538135"/>
          <w:sz w:val="20"/>
        </w:rPr>
        <w:t>Guide « Respect de la confidentialité des données de patients dans l’usage de l’informatique » (janvier 2013)</w:t>
      </w:r>
      <w:r>
        <w:rPr>
          <w:color w:val="538135"/>
          <w:sz w:val="20"/>
        </w:rPr>
        <w:t>.</w:t>
      </w:r>
    </w:p>
    <w:p w:rsidR="000074A3" w:rsidRDefault="00177468" w:rsidP="00E1498C">
      <w:pPr>
        <w:pStyle w:val="Default"/>
        <w:rPr>
          <w:color w:val="538135"/>
          <w:sz w:val="20"/>
        </w:rPr>
      </w:pPr>
      <w:r w:rsidRPr="00D72557">
        <w:rPr>
          <w:color w:val="538135"/>
          <w:sz w:val="20"/>
        </w:rPr>
        <w:br/>
      </w:r>
      <w:r w:rsidR="000074A3" w:rsidRPr="004B1C7D">
        <w:rPr>
          <w:color w:val="538135"/>
          <w:sz w:val="20"/>
        </w:rPr>
        <w:br/>
      </w:r>
    </w:p>
    <w:p w:rsidR="00B50029" w:rsidRPr="00672CE5" w:rsidRDefault="00B50029" w:rsidP="00B50029">
      <w:pPr>
        <w:pStyle w:val="PEPS"/>
      </w:pPr>
      <w:r w:rsidRPr="00B50029">
        <w:t>Guides d'inspection</w:t>
      </w:r>
      <w:r w:rsidRPr="00672CE5">
        <w:t> :</w:t>
      </w:r>
    </w:p>
    <w:p w:rsidR="00B50029" w:rsidRDefault="00173380" w:rsidP="00B50029">
      <w:pPr>
        <w:pStyle w:val="Textebrut"/>
      </w:pPr>
      <w:hyperlink r:id="rId26" w:history="1">
        <w:r w:rsidR="00B50029" w:rsidRPr="00FA55BC">
          <w:rPr>
            <w:rStyle w:val="Lienhypertexte"/>
          </w:rPr>
          <w:t>https://peps.sante.gouv.fr/doc_insp/proc_nat_val/pnv_liste.html</w:t>
        </w:r>
      </w:hyperlink>
    </w:p>
    <w:p w:rsidR="00B50029" w:rsidRDefault="00B50029" w:rsidP="00B50029">
      <w:pPr>
        <w:pStyle w:val="Textebrut"/>
      </w:pPr>
    </w:p>
    <w:p w:rsidR="00B50029" w:rsidRDefault="00B50029" w:rsidP="00B50029">
      <w:pPr>
        <w:pStyle w:val="Textebrut"/>
      </w:pPr>
      <w:r w:rsidRPr="00B50029">
        <w:t xml:space="preserve">Support d'inspection de l'activité de sous-traitance de préparations en officine (ARS Auvergne-Rhône-Alpes, mars 2024) - </w:t>
      </w:r>
      <w:r w:rsidRPr="00B50029">
        <w:rPr>
          <w:color w:val="ED7D31" w:themeColor="accent2"/>
        </w:rPr>
        <w:t>En cours de test</w:t>
      </w:r>
    </w:p>
    <w:p w:rsidR="00B50029" w:rsidRPr="00672CE5" w:rsidRDefault="00B50029" w:rsidP="00B50029">
      <w:pPr>
        <w:pStyle w:val="Textebrut"/>
      </w:pPr>
    </w:p>
    <w:p w:rsidR="00B50029" w:rsidRDefault="00B50029" w:rsidP="000074A3">
      <w:pPr>
        <w:pStyle w:val="Default"/>
        <w:rPr>
          <w:color w:val="538135"/>
          <w:sz w:val="20"/>
        </w:rPr>
      </w:pPr>
    </w:p>
    <w:p w:rsidR="00D82BEE" w:rsidRDefault="00D82BEE" w:rsidP="00263E21">
      <w:pPr>
        <w:pStyle w:val="Default"/>
        <w:jc w:val="both"/>
      </w:pPr>
    </w:p>
    <w:p w:rsidR="00CC56E9" w:rsidRPr="00672CE5" w:rsidRDefault="00CC56E9" w:rsidP="00672CE5">
      <w:pPr>
        <w:pStyle w:val="PEPS"/>
      </w:pPr>
      <w:r w:rsidRPr="00672CE5">
        <w:t>Manuel des formalités administratives :</w:t>
      </w:r>
    </w:p>
    <w:p w:rsidR="00523F15" w:rsidRPr="00126647" w:rsidRDefault="00173380" w:rsidP="00672CE5">
      <w:pPr>
        <w:pStyle w:val="PEPS"/>
        <w:rPr>
          <w:rFonts w:ascii="Calibri" w:eastAsia="Calibri" w:hAnsi="Calibri" w:cs="Times New Roman"/>
          <w:b w:val="0"/>
          <w:color w:val="auto"/>
          <w:sz w:val="22"/>
          <w:szCs w:val="21"/>
          <w:lang w:eastAsia="en-US"/>
        </w:rPr>
      </w:pPr>
      <w:hyperlink r:id="rId27"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rsidR="005142E8" w:rsidRPr="00672CE5" w:rsidRDefault="005142E8" w:rsidP="00672CE5">
      <w:pPr>
        <w:pStyle w:val="Textebrut"/>
      </w:pPr>
    </w:p>
    <w:p w:rsidR="00AD13E8" w:rsidRDefault="00AD13E8" w:rsidP="00672CE5">
      <w:pPr>
        <w:pStyle w:val="PEPS"/>
      </w:pPr>
      <w:r w:rsidRPr="00947196">
        <w:t>Textes en projet :</w:t>
      </w:r>
    </w:p>
    <w:p w:rsidR="00EA7ACB" w:rsidRDefault="00173380" w:rsidP="00EA7ACB">
      <w:pPr>
        <w:pStyle w:val="PEPS"/>
        <w:rPr>
          <w:rFonts w:ascii="Calibri" w:eastAsia="Calibri" w:hAnsi="Calibri" w:cs="Times New Roman"/>
          <w:b w:val="0"/>
          <w:color w:val="auto"/>
          <w:sz w:val="22"/>
          <w:szCs w:val="21"/>
          <w:lang w:eastAsia="en-US"/>
        </w:rPr>
      </w:pPr>
      <w:hyperlink r:id="rId28" w:history="1">
        <w:r w:rsidR="00EA7ACB">
          <w:rPr>
            <w:rStyle w:val="Lienhypertexte"/>
            <w:rFonts w:ascii="Calibri" w:eastAsia="Calibri" w:hAnsi="Calibri" w:cs="Times New Roman"/>
            <w:b w:val="0"/>
            <w:sz w:val="22"/>
            <w:szCs w:val="21"/>
            <w:lang w:eastAsia="en-US"/>
          </w:rPr>
          <w:t>https://peps.sante.gouv.fr/textes_projets/projets.html</w:t>
        </w:r>
      </w:hyperlink>
    </w:p>
    <w:p w:rsidR="00430E44" w:rsidRPr="00126647" w:rsidRDefault="00430E44" w:rsidP="00672CE5">
      <w:pPr>
        <w:pStyle w:val="PEPS"/>
        <w:rPr>
          <w:rFonts w:ascii="Calibri" w:eastAsia="Calibri" w:hAnsi="Calibri" w:cs="Times New Roman"/>
          <w:b w:val="0"/>
          <w:color w:val="auto"/>
          <w:sz w:val="22"/>
          <w:szCs w:val="21"/>
          <w:lang w:eastAsia="en-US"/>
        </w:rPr>
      </w:pPr>
    </w:p>
    <w:p w:rsidR="007A52B3" w:rsidRDefault="007A52B3" w:rsidP="007A52B3">
      <w:pPr>
        <w:pStyle w:val="PEPS"/>
        <w:rPr>
          <w:rFonts w:ascii="Calibri" w:eastAsia="Calibri" w:hAnsi="Calibri" w:cs="Times New Roman"/>
          <w:b w:val="0"/>
          <w:color w:val="auto"/>
          <w:sz w:val="22"/>
          <w:szCs w:val="21"/>
          <w:lang w:eastAsia="en-US"/>
        </w:rPr>
      </w:pPr>
      <w:r w:rsidRPr="007A52B3">
        <w:rPr>
          <w:rFonts w:ascii="Calibri" w:eastAsia="Calibri" w:hAnsi="Calibri" w:cs="Times New Roman"/>
          <w:b w:val="0"/>
          <w:color w:val="auto"/>
          <w:sz w:val="22"/>
          <w:szCs w:val="21"/>
          <w:lang w:eastAsia="en-US"/>
        </w:rPr>
        <w:t>Proposition de loi visant à lutter contre les pénuries de médicaments</w:t>
      </w:r>
    </w:p>
    <w:p w:rsidR="00F62B34" w:rsidRDefault="00F62B34" w:rsidP="007A52B3">
      <w:pPr>
        <w:pStyle w:val="PEPS"/>
        <w:rPr>
          <w:rFonts w:ascii="Calibri" w:eastAsia="Calibri" w:hAnsi="Calibri" w:cs="Times New Roman"/>
          <w:b w:val="0"/>
          <w:color w:val="auto"/>
          <w:sz w:val="22"/>
          <w:szCs w:val="21"/>
          <w:lang w:eastAsia="en-US"/>
        </w:rPr>
      </w:pPr>
    </w:p>
    <w:p w:rsidR="00094FB9" w:rsidRPr="00094FB9" w:rsidRDefault="00094FB9" w:rsidP="00094FB9">
      <w:pPr>
        <w:pStyle w:val="PEPS"/>
        <w:rPr>
          <w:rFonts w:ascii="Calibri" w:eastAsia="Calibri" w:hAnsi="Calibri" w:cs="Times New Roman"/>
          <w:b w:val="0"/>
          <w:color w:val="auto"/>
          <w:sz w:val="22"/>
          <w:szCs w:val="21"/>
          <w:lang w:eastAsia="en-US"/>
        </w:rPr>
      </w:pPr>
      <w:r w:rsidRPr="00094FB9">
        <w:rPr>
          <w:rFonts w:ascii="Calibri" w:eastAsia="Calibri" w:hAnsi="Calibri" w:cs="Times New Roman"/>
          <w:b w:val="0"/>
          <w:color w:val="auto"/>
          <w:sz w:val="22"/>
          <w:szCs w:val="21"/>
          <w:lang w:eastAsia="en-US"/>
        </w:rPr>
        <w:t>Projet de décret relatif à la délivrance sans ordonnance de certains médicaments, après réalisation d’un test rapide d’orientation diagnostic par les pharm</w:t>
      </w:r>
      <w:r>
        <w:rPr>
          <w:rFonts w:ascii="Calibri" w:eastAsia="Calibri" w:hAnsi="Calibri" w:cs="Times New Roman"/>
          <w:b w:val="0"/>
          <w:color w:val="auto"/>
          <w:sz w:val="22"/>
          <w:szCs w:val="21"/>
          <w:lang w:eastAsia="en-US"/>
        </w:rPr>
        <w:t>aciens d’officine</w:t>
      </w:r>
    </w:p>
    <w:p w:rsidR="00094FB9" w:rsidRDefault="00094FB9" w:rsidP="00094FB9">
      <w:pPr>
        <w:pStyle w:val="PEPS"/>
        <w:rPr>
          <w:rFonts w:ascii="Calibri" w:eastAsia="Calibri" w:hAnsi="Calibri" w:cs="Times New Roman"/>
          <w:b w:val="0"/>
          <w:color w:val="auto"/>
          <w:sz w:val="22"/>
          <w:szCs w:val="21"/>
          <w:lang w:eastAsia="en-US"/>
        </w:rPr>
      </w:pPr>
      <w:r w:rsidRPr="00094FB9">
        <w:rPr>
          <w:rFonts w:ascii="Calibri" w:eastAsia="Calibri" w:hAnsi="Calibri" w:cs="Times New Roman"/>
          <w:b w:val="0"/>
          <w:color w:val="auto"/>
          <w:sz w:val="22"/>
          <w:szCs w:val="21"/>
          <w:lang w:eastAsia="en-US"/>
        </w:rPr>
        <w:t>Notice : le décret précise les conditions de mise en œuvre de la nouvelle compétence de délivrance sans ordonnance de certains médicaments après la réalisation d'un test rapide d'orientation diagnostique des pharmaciens d'officine. Il inscrit également le remboursement des médicaments ainsi délivrés.</w:t>
      </w:r>
    </w:p>
    <w:p w:rsidR="00094FB9" w:rsidRDefault="00094FB9" w:rsidP="00094FB9">
      <w:pPr>
        <w:pStyle w:val="PEPS"/>
        <w:rPr>
          <w:rFonts w:ascii="Calibri" w:eastAsia="Calibri" w:hAnsi="Calibri" w:cs="Times New Roman"/>
          <w:b w:val="0"/>
          <w:color w:val="auto"/>
          <w:sz w:val="22"/>
          <w:szCs w:val="21"/>
          <w:lang w:eastAsia="en-US"/>
        </w:rPr>
      </w:pPr>
    </w:p>
    <w:p w:rsidR="00505B5C" w:rsidRPr="00505B5C" w:rsidRDefault="00505B5C" w:rsidP="00505B5C">
      <w:pPr>
        <w:pStyle w:val="PEPS"/>
        <w:rPr>
          <w:rFonts w:ascii="Calibri" w:eastAsia="Calibri" w:hAnsi="Calibri" w:cs="Times New Roman"/>
          <w:b w:val="0"/>
          <w:color w:val="auto"/>
          <w:sz w:val="22"/>
          <w:szCs w:val="21"/>
          <w:lang w:eastAsia="en-US"/>
        </w:rPr>
      </w:pPr>
      <w:r w:rsidRPr="00505B5C">
        <w:rPr>
          <w:rFonts w:ascii="Calibri" w:eastAsia="Calibri" w:hAnsi="Calibri" w:cs="Times New Roman"/>
          <w:b w:val="0"/>
          <w:color w:val="auto"/>
          <w:sz w:val="22"/>
          <w:szCs w:val="21"/>
          <w:lang w:eastAsia="en-US"/>
        </w:rPr>
        <w:t>Proposition de loi visant à renforcer la sécurité des professionnels de santé</w:t>
      </w:r>
    </w:p>
    <w:p w:rsidR="00F62B34" w:rsidRDefault="00173380" w:rsidP="00505B5C">
      <w:pPr>
        <w:pStyle w:val="PEPS"/>
        <w:rPr>
          <w:rFonts w:ascii="Calibri" w:eastAsia="Calibri" w:hAnsi="Calibri" w:cs="Times New Roman"/>
          <w:b w:val="0"/>
          <w:color w:val="auto"/>
          <w:sz w:val="22"/>
          <w:szCs w:val="21"/>
          <w:lang w:eastAsia="en-US"/>
        </w:rPr>
      </w:pPr>
      <w:hyperlink r:id="rId29" w:history="1">
        <w:r w:rsidR="00F62B34" w:rsidRPr="009E1CF0">
          <w:rPr>
            <w:rStyle w:val="Lienhypertexte"/>
            <w:rFonts w:ascii="Calibri" w:eastAsia="Calibri" w:hAnsi="Calibri" w:cs="Times New Roman"/>
            <w:b w:val="0"/>
            <w:sz w:val="22"/>
            <w:szCs w:val="21"/>
            <w:lang w:eastAsia="en-US"/>
          </w:rPr>
          <w:t>https://www.legifrance.gouv.fr/dossierlegislatif/JORFDOLE000049284719/</w:t>
        </w:r>
      </w:hyperlink>
    </w:p>
    <w:p w:rsidR="00505B5C" w:rsidRPr="00505B5C" w:rsidRDefault="00505B5C" w:rsidP="00505B5C">
      <w:pPr>
        <w:pStyle w:val="PEPS"/>
        <w:rPr>
          <w:rFonts w:ascii="Calibri" w:eastAsia="Calibri" w:hAnsi="Calibri" w:cs="Times New Roman"/>
          <w:b w:val="0"/>
          <w:color w:val="auto"/>
          <w:sz w:val="22"/>
          <w:szCs w:val="21"/>
          <w:lang w:eastAsia="en-US"/>
        </w:rPr>
      </w:pPr>
      <w:r w:rsidRPr="00505B5C">
        <w:rPr>
          <w:rFonts w:ascii="Calibri" w:eastAsia="Calibri" w:hAnsi="Calibri" w:cs="Times New Roman"/>
          <w:b w:val="0"/>
          <w:color w:val="auto"/>
          <w:sz w:val="22"/>
          <w:szCs w:val="21"/>
          <w:lang w:eastAsia="en-US"/>
        </w:rPr>
        <w:t>Violences contre les professionnels de santé : des sanctions renforcées (Le Quotidien du pharmacien, 15/03/2024).</w:t>
      </w:r>
    </w:p>
    <w:p w:rsidR="00505B5C" w:rsidRPr="00505B5C" w:rsidRDefault="00505B5C" w:rsidP="00505B5C">
      <w:pPr>
        <w:pStyle w:val="PEPS"/>
        <w:rPr>
          <w:rFonts w:ascii="Calibri" w:eastAsia="Calibri" w:hAnsi="Calibri" w:cs="Times New Roman"/>
          <w:b w:val="0"/>
          <w:color w:val="auto"/>
          <w:sz w:val="22"/>
          <w:szCs w:val="21"/>
          <w:lang w:eastAsia="en-US"/>
        </w:rPr>
      </w:pPr>
      <w:r w:rsidRPr="00505B5C">
        <w:rPr>
          <w:rFonts w:ascii="Calibri" w:eastAsia="Calibri" w:hAnsi="Calibri" w:cs="Times New Roman"/>
          <w:b w:val="0"/>
          <w:color w:val="auto"/>
          <w:sz w:val="22"/>
          <w:szCs w:val="21"/>
          <w:lang w:eastAsia="en-US"/>
        </w:rPr>
        <w:t>L'Assemblée nationale a adopté à l’unanimité et en première lecture, le 14 mars, les mesures d’une proposition de loi visant à renforcer la sécurité des professionnels de santé. Le texte comprend une aggravation des peines en cas de violence, mais aussi de vol de matériel. De plus, il élargit aux soignants le délit d'outrage, prévu en cas d'atteinte à la dignité de personnes dépositaires de l'autorité publique. Il doit désormais être transmis au Sénat</w:t>
      </w:r>
    </w:p>
    <w:p w:rsidR="00505B5C" w:rsidRDefault="00173380" w:rsidP="00505B5C">
      <w:pPr>
        <w:pStyle w:val="PEPS"/>
        <w:rPr>
          <w:rFonts w:ascii="Calibri" w:eastAsia="Calibri" w:hAnsi="Calibri" w:cs="Times New Roman"/>
          <w:b w:val="0"/>
          <w:color w:val="auto"/>
          <w:sz w:val="22"/>
          <w:szCs w:val="21"/>
          <w:lang w:eastAsia="en-US"/>
        </w:rPr>
      </w:pPr>
      <w:hyperlink r:id="rId30" w:history="1">
        <w:r w:rsidR="00505B5C" w:rsidRPr="00FA55BC">
          <w:rPr>
            <w:rStyle w:val="Lienhypertexte"/>
            <w:rFonts w:ascii="Calibri" w:eastAsia="Calibri" w:hAnsi="Calibri" w:cs="Times New Roman"/>
            <w:b w:val="0"/>
            <w:sz w:val="22"/>
            <w:szCs w:val="21"/>
            <w:lang w:eastAsia="en-US"/>
          </w:rPr>
          <w:t>https://www.lequotidiendupharmacien.fr/exercice-pro/violences-contre-les-professionnels-de-sante-des-sanctions-renforcees</w:t>
        </w:r>
      </w:hyperlink>
    </w:p>
    <w:p w:rsidR="00F62B34" w:rsidRPr="00F62B34" w:rsidRDefault="00F62B34" w:rsidP="00F62B34">
      <w:pPr>
        <w:pStyle w:val="PEPS"/>
        <w:rPr>
          <w:rFonts w:ascii="Calibri" w:eastAsia="Calibri" w:hAnsi="Calibri" w:cs="Times New Roman"/>
          <w:b w:val="0"/>
          <w:color w:val="auto"/>
          <w:sz w:val="22"/>
          <w:szCs w:val="21"/>
          <w:lang w:eastAsia="en-US"/>
        </w:rPr>
      </w:pPr>
      <w:r w:rsidRPr="00F62B34">
        <w:rPr>
          <w:rFonts w:ascii="Calibri" w:eastAsia="Calibri" w:hAnsi="Calibri" w:cs="Times New Roman"/>
          <w:b w:val="0"/>
          <w:color w:val="auto"/>
          <w:sz w:val="22"/>
          <w:szCs w:val="21"/>
          <w:lang w:eastAsia="en-US"/>
        </w:rPr>
        <w:t>Sécurité des professionnels de santé : où en est la proposition de loi ? (CNOP, 21/03/2024).</w:t>
      </w:r>
    </w:p>
    <w:p w:rsidR="00F62B34" w:rsidRPr="00F62B34" w:rsidRDefault="00F62B34" w:rsidP="00F62B34">
      <w:pPr>
        <w:pStyle w:val="PEPS"/>
        <w:rPr>
          <w:rFonts w:ascii="Calibri" w:eastAsia="Calibri" w:hAnsi="Calibri" w:cs="Times New Roman"/>
          <w:b w:val="0"/>
          <w:color w:val="auto"/>
          <w:sz w:val="22"/>
          <w:szCs w:val="21"/>
          <w:lang w:eastAsia="en-US"/>
        </w:rPr>
      </w:pPr>
      <w:r w:rsidRPr="00F62B34">
        <w:rPr>
          <w:rFonts w:ascii="Calibri" w:eastAsia="Calibri" w:hAnsi="Calibri" w:cs="Times New Roman"/>
          <w:b w:val="0"/>
          <w:color w:val="auto"/>
          <w:sz w:val="22"/>
          <w:szCs w:val="21"/>
          <w:lang w:eastAsia="en-US"/>
        </w:rPr>
        <w:t>Le 14 mars 2024, la proposition de loi visant à renforcer la sécurité des professionnels de santé a été adoptée en première lecture à l’Assemblée nationale. Comme le demandait l'Ordre national des pharmaciens, les députés en ont élargi les principales dispositions aux officines et aux laboratoires de biologie médicale</w:t>
      </w:r>
    </w:p>
    <w:p w:rsidR="00F62B34" w:rsidRDefault="00173380" w:rsidP="00505B5C">
      <w:pPr>
        <w:pStyle w:val="PEPS"/>
        <w:rPr>
          <w:rFonts w:ascii="Calibri" w:eastAsia="Calibri" w:hAnsi="Calibri" w:cs="Times New Roman"/>
          <w:b w:val="0"/>
          <w:color w:val="auto"/>
          <w:sz w:val="22"/>
          <w:szCs w:val="21"/>
          <w:lang w:eastAsia="en-US"/>
        </w:rPr>
      </w:pPr>
      <w:hyperlink r:id="rId31" w:history="1">
        <w:r w:rsidR="00F62B34" w:rsidRPr="009E1CF0">
          <w:rPr>
            <w:rStyle w:val="Lienhypertexte"/>
            <w:rFonts w:ascii="Calibri" w:eastAsia="Calibri" w:hAnsi="Calibri" w:cs="Times New Roman"/>
            <w:b w:val="0"/>
            <w:sz w:val="22"/>
            <w:szCs w:val="21"/>
            <w:lang w:eastAsia="en-US"/>
          </w:rPr>
          <w:t>https://www.ordre.pharmacien.fr/les-communications/focus-sur/les-actualites/securite-des-professionnels-de-sante-ou-en-est-la-proposition-de-loi</w:t>
        </w:r>
      </w:hyperlink>
    </w:p>
    <w:p w:rsidR="00F62B34" w:rsidRDefault="00F62B34" w:rsidP="00505B5C">
      <w:pPr>
        <w:pStyle w:val="PEPS"/>
        <w:rPr>
          <w:rFonts w:ascii="Calibri" w:eastAsia="Calibri" w:hAnsi="Calibri" w:cs="Times New Roman"/>
          <w:b w:val="0"/>
          <w:color w:val="auto"/>
          <w:sz w:val="22"/>
          <w:szCs w:val="21"/>
          <w:lang w:eastAsia="en-US"/>
        </w:rPr>
      </w:pPr>
    </w:p>
    <w:p w:rsidR="00F62B34" w:rsidRPr="00F62B34" w:rsidRDefault="00F62B34" w:rsidP="00F62B34">
      <w:pPr>
        <w:pStyle w:val="PEPS"/>
        <w:rPr>
          <w:rFonts w:ascii="Calibri" w:eastAsia="Calibri" w:hAnsi="Calibri" w:cs="Times New Roman"/>
          <w:b w:val="0"/>
          <w:color w:val="auto"/>
          <w:sz w:val="22"/>
          <w:szCs w:val="21"/>
          <w:lang w:eastAsia="en-US"/>
        </w:rPr>
      </w:pPr>
      <w:r w:rsidRPr="00F62B34">
        <w:rPr>
          <w:rFonts w:ascii="Calibri" w:eastAsia="Calibri" w:hAnsi="Calibri" w:cs="Times New Roman"/>
          <w:b w:val="0"/>
          <w:color w:val="auto"/>
          <w:sz w:val="22"/>
          <w:szCs w:val="21"/>
          <w:lang w:eastAsia="en-US"/>
        </w:rPr>
        <w:t>PPL “accès aux pharmacies dans les communes rurales” et mission d’information ”financiarisation” : l’Ordre auditionné (CNOP, 21/03/2024).</w:t>
      </w:r>
    </w:p>
    <w:p w:rsidR="00F62B34" w:rsidRPr="00F62B34" w:rsidRDefault="00F62B34" w:rsidP="00F62B34">
      <w:pPr>
        <w:pStyle w:val="PEPS"/>
        <w:rPr>
          <w:rFonts w:ascii="Calibri" w:eastAsia="Calibri" w:hAnsi="Calibri" w:cs="Times New Roman"/>
          <w:b w:val="0"/>
          <w:color w:val="auto"/>
          <w:sz w:val="22"/>
          <w:szCs w:val="21"/>
          <w:lang w:eastAsia="en-US"/>
        </w:rPr>
      </w:pPr>
      <w:r w:rsidRPr="00F62B34">
        <w:rPr>
          <w:rFonts w:ascii="Calibri" w:eastAsia="Calibri" w:hAnsi="Calibri" w:cs="Times New Roman"/>
          <w:b w:val="0"/>
          <w:color w:val="auto"/>
          <w:sz w:val="22"/>
          <w:szCs w:val="21"/>
          <w:lang w:eastAsia="en-US"/>
        </w:rPr>
        <w:t>Cette semaine, l’Ordre national des pharmaciens a été auditionné par le Sénat sur deux sujets actuellement très présents dans le débat public : la financiarisation du système de santé, dans le cadre d’une mission d’information, ainsi que les règles d’installation des officines, dans la perspective de l’examen prochain d’une proposition de loi du Sénat tendant à préserver l’accès aux pharmacies dans les communes rurales. Retour sur les positions défendues par l’Ordre</w:t>
      </w:r>
    </w:p>
    <w:p w:rsidR="00F62B34" w:rsidRDefault="00173380" w:rsidP="00F62B34">
      <w:pPr>
        <w:pStyle w:val="PEPS"/>
        <w:rPr>
          <w:rFonts w:ascii="Calibri" w:eastAsia="Calibri" w:hAnsi="Calibri" w:cs="Times New Roman"/>
          <w:b w:val="0"/>
          <w:color w:val="auto"/>
          <w:sz w:val="22"/>
          <w:szCs w:val="21"/>
          <w:lang w:eastAsia="en-US"/>
        </w:rPr>
      </w:pPr>
      <w:hyperlink r:id="rId32" w:history="1">
        <w:r w:rsidR="00F62B34" w:rsidRPr="009E1CF0">
          <w:rPr>
            <w:rStyle w:val="Lienhypertexte"/>
            <w:rFonts w:ascii="Calibri" w:eastAsia="Calibri" w:hAnsi="Calibri" w:cs="Times New Roman"/>
            <w:b w:val="0"/>
            <w:sz w:val="22"/>
            <w:szCs w:val="21"/>
            <w:lang w:eastAsia="en-US"/>
          </w:rPr>
          <w:t>https://www.ordre.pharmacien.fr/les-communications/focus-sur/les-actualites/ppl-acces-aux-pharmacies-dans-les-communes-rurales-et-mission-d-information-financiarisation-l-ordre-auditionne</w:t>
        </w:r>
      </w:hyperlink>
    </w:p>
    <w:p w:rsidR="00E631BB" w:rsidRPr="00E631BB" w:rsidRDefault="00E631BB" w:rsidP="00E631BB">
      <w:pPr>
        <w:pStyle w:val="PEPS"/>
        <w:rPr>
          <w:rFonts w:ascii="Calibri" w:eastAsia="Calibri" w:hAnsi="Calibri" w:cs="Times New Roman"/>
          <w:b w:val="0"/>
          <w:color w:val="auto"/>
          <w:sz w:val="22"/>
          <w:szCs w:val="21"/>
          <w:lang w:eastAsia="en-US"/>
        </w:rPr>
      </w:pPr>
      <w:r w:rsidRPr="00E631BB">
        <w:rPr>
          <w:rFonts w:ascii="Calibri" w:eastAsia="Calibri" w:hAnsi="Calibri" w:cs="Times New Roman"/>
          <w:b w:val="0"/>
          <w:color w:val="auto"/>
          <w:sz w:val="22"/>
          <w:szCs w:val="21"/>
          <w:lang w:eastAsia="en-US"/>
        </w:rPr>
        <w:t>Installation en zones rurales : la loi qui risque de déstabiliser le réseau (Le Quotidien du pharmacien, 22/03/2024).</w:t>
      </w:r>
    </w:p>
    <w:p w:rsidR="00E631BB" w:rsidRPr="00E631BB" w:rsidRDefault="00E631BB" w:rsidP="00E631BB">
      <w:pPr>
        <w:pStyle w:val="PEPS"/>
        <w:rPr>
          <w:rFonts w:ascii="Calibri" w:eastAsia="Calibri" w:hAnsi="Calibri" w:cs="Times New Roman"/>
          <w:b w:val="0"/>
          <w:color w:val="auto"/>
          <w:sz w:val="22"/>
          <w:szCs w:val="21"/>
          <w:lang w:eastAsia="en-US"/>
        </w:rPr>
      </w:pPr>
      <w:r w:rsidRPr="00E631BB">
        <w:rPr>
          <w:rFonts w:ascii="Calibri" w:eastAsia="Calibri" w:hAnsi="Calibri" w:cs="Times New Roman"/>
          <w:b w:val="0"/>
          <w:color w:val="auto"/>
          <w:sz w:val="22"/>
          <w:szCs w:val="21"/>
          <w:lang w:eastAsia="en-US"/>
        </w:rPr>
        <w:t>Le Sénat se prépare à débattre d’une proposition de loi visant à assouplir les conditions d’ouverture des pharmacies en zones rurales. Auditionnés le 21 avril, l’Ordre et les syndicats représentatifs de la profession ont partagé leurs craintes sur la mise en place d’une telle mesure</w:t>
      </w:r>
    </w:p>
    <w:p w:rsidR="00F62B34" w:rsidRDefault="00173380" w:rsidP="00E631BB">
      <w:pPr>
        <w:pStyle w:val="PEPS"/>
        <w:rPr>
          <w:rFonts w:ascii="Calibri" w:eastAsia="Calibri" w:hAnsi="Calibri" w:cs="Times New Roman"/>
          <w:b w:val="0"/>
          <w:color w:val="auto"/>
          <w:sz w:val="22"/>
          <w:szCs w:val="21"/>
          <w:lang w:eastAsia="en-US"/>
        </w:rPr>
      </w:pPr>
      <w:hyperlink r:id="rId33" w:history="1">
        <w:r w:rsidR="00E631BB" w:rsidRPr="00B57D7B">
          <w:rPr>
            <w:rStyle w:val="Lienhypertexte"/>
            <w:rFonts w:ascii="Calibri" w:eastAsia="Calibri" w:hAnsi="Calibri" w:cs="Times New Roman"/>
            <w:b w:val="0"/>
            <w:sz w:val="22"/>
            <w:szCs w:val="21"/>
            <w:lang w:eastAsia="en-US"/>
          </w:rPr>
          <w:t>https://www.lequotidiendupharmacien.fr/exercice-pro/installation-en-zones-rurales-la-loi-qui-risque-de-destabiliser-le-reseau</w:t>
        </w:r>
      </w:hyperlink>
    </w:p>
    <w:p w:rsidR="00E631BB" w:rsidRPr="007A52B3" w:rsidRDefault="00E631BB" w:rsidP="00E631BB">
      <w:pPr>
        <w:pStyle w:val="PEPS"/>
        <w:rPr>
          <w:rFonts w:ascii="Calibri" w:eastAsia="Calibri" w:hAnsi="Calibri" w:cs="Times New Roman"/>
          <w:b w:val="0"/>
          <w:color w:val="auto"/>
          <w:sz w:val="22"/>
          <w:szCs w:val="21"/>
          <w:lang w:eastAsia="en-US"/>
        </w:rPr>
      </w:pPr>
    </w:p>
    <w:p w:rsidR="00F62B34" w:rsidRPr="00126647" w:rsidRDefault="00F62B34" w:rsidP="00505B5C">
      <w:pPr>
        <w:pStyle w:val="PEPS"/>
        <w:rPr>
          <w:rFonts w:ascii="Calibri" w:eastAsia="Calibri" w:hAnsi="Calibri" w:cs="Times New Roman"/>
          <w:b w:val="0"/>
          <w:color w:val="auto"/>
          <w:sz w:val="22"/>
          <w:szCs w:val="21"/>
          <w:lang w:eastAsia="en-US"/>
        </w:rPr>
      </w:pPr>
    </w:p>
    <w:p w:rsidR="00100315" w:rsidRPr="00126647" w:rsidRDefault="00100315" w:rsidP="00126647">
      <w:pPr>
        <w:pStyle w:val="PEPS"/>
        <w:rPr>
          <w:rFonts w:ascii="Calibri" w:eastAsia="Calibri" w:hAnsi="Calibri" w:cs="Times New Roman"/>
          <w:b w:val="0"/>
          <w:color w:val="auto"/>
          <w:sz w:val="22"/>
          <w:szCs w:val="21"/>
          <w:lang w:eastAsia="en-US"/>
        </w:rPr>
      </w:pPr>
    </w:p>
    <w:p w:rsidR="00930CE0" w:rsidRDefault="00930CE0" w:rsidP="00672CE5">
      <w:pPr>
        <w:pStyle w:val="PEPS"/>
      </w:pPr>
      <w:r>
        <w:t>Actualité réglementaire</w:t>
      </w:r>
      <w:r w:rsidRPr="00947196">
        <w:t> :</w:t>
      </w:r>
    </w:p>
    <w:p w:rsidR="00AC503D" w:rsidRDefault="00173380" w:rsidP="00AC503D">
      <w:pPr>
        <w:pStyle w:val="PEPS"/>
        <w:rPr>
          <w:rFonts w:ascii="Calibri" w:eastAsia="Calibri" w:hAnsi="Calibri" w:cs="Times New Roman"/>
          <w:b w:val="0"/>
          <w:color w:val="auto"/>
          <w:sz w:val="22"/>
          <w:szCs w:val="21"/>
          <w:lang w:eastAsia="en-US"/>
        </w:rPr>
      </w:pPr>
      <w:hyperlink r:id="rId34" w:history="1">
        <w:r w:rsidR="00AC503D" w:rsidRPr="00E146CA">
          <w:rPr>
            <w:rStyle w:val="Lienhypertexte"/>
            <w:rFonts w:ascii="Calibri" w:eastAsia="Calibri" w:hAnsi="Calibri" w:cs="Times New Roman"/>
            <w:b w:val="0"/>
            <w:sz w:val="22"/>
            <w:szCs w:val="21"/>
            <w:lang w:eastAsia="en-US"/>
          </w:rPr>
          <w:t>https://peps.sante.gouv.fr/outils/docu/texto.xlsm</w:t>
        </w:r>
      </w:hyperlink>
    </w:p>
    <w:p w:rsidR="00100315" w:rsidRDefault="00100315" w:rsidP="00672CE5">
      <w:pPr>
        <w:pStyle w:val="PEPS"/>
        <w:rPr>
          <w:rFonts w:ascii="Calibri" w:eastAsia="Calibri" w:hAnsi="Calibri" w:cs="Times New Roman"/>
          <w:b w:val="0"/>
          <w:color w:val="auto"/>
          <w:sz w:val="22"/>
          <w:szCs w:val="21"/>
          <w:lang w:eastAsia="en-US"/>
        </w:rPr>
      </w:pPr>
    </w:p>
    <w:p w:rsidR="00DF4192" w:rsidRPr="00DF4192" w:rsidRDefault="00DF4192" w:rsidP="00DF4192">
      <w:pPr>
        <w:pStyle w:val="PEPS"/>
        <w:rPr>
          <w:rFonts w:ascii="Calibri" w:eastAsia="Calibri" w:hAnsi="Calibri" w:cs="Times New Roman"/>
          <w:b w:val="0"/>
          <w:color w:val="auto"/>
          <w:sz w:val="22"/>
          <w:szCs w:val="21"/>
          <w:lang w:eastAsia="en-US"/>
        </w:rPr>
      </w:pPr>
      <w:r w:rsidRPr="00DF4192">
        <w:rPr>
          <w:rFonts w:ascii="Calibri" w:eastAsia="Calibri" w:hAnsi="Calibri" w:cs="Times New Roman"/>
          <w:b w:val="0"/>
          <w:color w:val="auto"/>
          <w:sz w:val="22"/>
          <w:szCs w:val="21"/>
          <w:lang w:eastAsia="en-US"/>
        </w:rPr>
        <w:t>Légifrance : des nouveaux liens pour élargir l'accès au droit (service-public.fr, 28/02/2024)</w:t>
      </w:r>
    </w:p>
    <w:p w:rsidR="00DF4192" w:rsidRDefault="00173380" w:rsidP="00DF4192">
      <w:pPr>
        <w:pStyle w:val="PEPS"/>
        <w:rPr>
          <w:rFonts w:ascii="Calibri" w:eastAsia="Calibri" w:hAnsi="Calibri" w:cs="Times New Roman"/>
          <w:b w:val="0"/>
          <w:color w:val="auto"/>
          <w:sz w:val="22"/>
          <w:szCs w:val="21"/>
          <w:lang w:eastAsia="en-US"/>
        </w:rPr>
      </w:pPr>
      <w:hyperlink r:id="rId35" w:history="1">
        <w:r w:rsidR="00DF4192" w:rsidRPr="00404281">
          <w:rPr>
            <w:rStyle w:val="Lienhypertexte"/>
            <w:rFonts w:ascii="Calibri" w:eastAsia="Calibri" w:hAnsi="Calibri" w:cs="Times New Roman"/>
            <w:b w:val="0"/>
            <w:sz w:val="22"/>
            <w:szCs w:val="21"/>
            <w:lang w:eastAsia="en-US"/>
          </w:rPr>
          <w:t>https://www.service-public.fr/particuliers/actualites/A17179</w:t>
        </w:r>
      </w:hyperlink>
    </w:p>
    <w:p w:rsidR="00DF4192" w:rsidRPr="00126647" w:rsidRDefault="00DF4192" w:rsidP="00DF4192">
      <w:pPr>
        <w:pStyle w:val="PEPS"/>
        <w:rPr>
          <w:rFonts w:ascii="Calibri" w:eastAsia="Calibri" w:hAnsi="Calibri" w:cs="Times New Roman"/>
          <w:b w:val="0"/>
          <w:color w:val="auto"/>
          <w:sz w:val="22"/>
          <w:szCs w:val="21"/>
          <w:lang w:eastAsia="en-US"/>
        </w:rPr>
      </w:pPr>
    </w:p>
    <w:p w:rsidR="004D046B" w:rsidRDefault="004D046B" w:rsidP="004D046B">
      <w:pPr>
        <w:pStyle w:val="Textebrut"/>
      </w:pPr>
      <w:r>
        <w:t>Décret n° 2024-164 du 29 février 2024 relatif aux sociétés de téléconsultation.</w:t>
      </w:r>
    </w:p>
    <w:p w:rsidR="004D046B" w:rsidRDefault="004D046B" w:rsidP="004D046B">
      <w:pPr>
        <w:pStyle w:val="Textebrut"/>
      </w:pPr>
      <w:r>
        <w:t>Notice : le texte précise la procédure d'agrément des sociétés de téléconsultations ainsi que les conditions dans lesquelles, au titre de leur activité, les actes de téléconsultation réalisés par les médecins qu'elles salarient font l'objet d'une prise en charge par l'assurance maladie. Il prévoit notamment que les sociétés de téléconsultation ne peuvent pas facturer pour leurs activités prises en charge par l'assurance maladie d'autres prestations que les téléconsultations au patient</w:t>
      </w:r>
    </w:p>
    <w:p w:rsidR="00FA4972" w:rsidRDefault="00173380" w:rsidP="004D046B">
      <w:pPr>
        <w:pStyle w:val="Textebrut"/>
      </w:pPr>
      <w:hyperlink r:id="rId36" w:history="1">
        <w:r w:rsidR="004D046B" w:rsidRPr="00404281">
          <w:rPr>
            <w:rStyle w:val="Lienhypertexte"/>
          </w:rPr>
          <w:t>https://www.legifrance.gouv.fr/jorf/id/JORFTEXT000049219351</w:t>
        </w:r>
      </w:hyperlink>
    </w:p>
    <w:p w:rsidR="004D046B" w:rsidRDefault="004D046B" w:rsidP="004D046B">
      <w:pPr>
        <w:pStyle w:val="Textebrut"/>
      </w:pPr>
    </w:p>
    <w:p w:rsidR="000038B4" w:rsidRDefault="000038B4" w:rsidP="000038B4">
      <w:pPr>
        <w:pStyle w:val="Textebrut"/>
      </w:pPr>
      <w:r>
        <w:lastRenderedPageBreak/>
        <w:t xml:space="preserve">Arrêt de la Cour de justice de l’Union européenne nº 37/2024 du 29 février 2024 dans l'affaire C-606/21 </w:t>
      </w:r>
      <w:proofErr w:type="spellStart"/>
      <w:r>
        <w:t>Doctipharma</w:t>
      </w:r>
      <w:proofErr w:type="spellEnd"/>
      <w:r>
        <w:t xml:space="preserve"> (</w:t>
      </w:r>
      <w:r w:rsidR="00CA022A" w:rsidRPr="00CA022A">
        <w:t>un Etat membre de l'UE peut interdire à une plateforme n’ayant pas la qualité de pharmacien de participer à l’exercice de la VMI - au-delà de la simple mise en relation vendeur/clients - sur son territoire</w:t>
      </w:r>
      <w:r>
        <w:t>)</w:t>
      </w:r>
    </w:p>
    <w:p w:rsidR="00CA022A" w:rsidRDefault="00173380" w:rsidP="000038B4">
      <w:pPr>
        <w:pStyle w:val="Textebrut"/>
      </w:pPr>
      <w:hyperlink r:id="rId37" w:history="1">
        <w:r w:rsidR="00CA022A" w:rsidRPr="00404281">
          <w:rPr>
            <w:rStyle w:val="Lienhypertexte"/>
          </w:rPr>
          <w:t>https://curia.europa.eu/juris/document/document.jsf;jsessionid=6E68B76629F34008529862B083A3CDB7?text=&amp;docid=283281&amp;pageIndex=0&amp;doclang=FR&amp;mode=req&amp;dir=&amp;occ=first&amp;part=1&amp;cid=5460871</w:t>
        </w:r>
      </w:hyperlink>
    </w:p>
    <w:p w:rsidR="00CA022A" w:rsidRDefault="00CA022A" w:rsidP="000038B4">
      <w:pPr>
        <w:pStyle w:val="Textebrut"/>
      </w:pPr>
      <w:r>
        <w:t>Résumé :</w:t>
      </w:r>
    </w:p>
    <w:p w:rsidR="000038B4" w:rsidRDefault="00173380" w:rsidP="000038B4">
      <w:pPr>
        <w:pStyle w:val="Textebrut"/>
      </w:pPr>
      <w:hyperlink r:id="rId38" w:history="1">
        <w:r w:rsidR="000038B4" w:rsidRPr="00404281">
          <w:rPr>
            <w:rStyle w:val="Lienhypertexte"/>
          </w:rPr>
          <w:t>https://curia.europa.eu/jcms/jcms/p1_4317907/fr/</w:t>
        </w:r>
      </w:hyperlink>
    </w:p>
    <w:p w:rsidR="000038B4" w:rsidRDefault="000038B4" w:rsidP="000038B4">
      <w:pPr>
        <w:pStyle w:val="Textebrut"/>
      </w:pPr>
      <w:r>
        <w:t>La France peut interdire la vente d’OTC par des plateformes (Le Quotidien du pharmacien, 29/02/2024). Article réservé aux abonnés.</w:t>
      </w:r>
    </w:p>
    <w:p w:rsidR="000038B4" w:rsidRDefault="000038B4" w:rsidP="000038B4">
      <w:pPr>
        <w:pStyle w:val="Textebrut"/>
      </w:pPr>
      <w:r>
        <w:t>La Cour de justice de l’Union européenne (CJUE) a rendu aujourd’hui un arrêt primordial pour la pharmacie française. Les États membres sont en effet habilités à statuer eux-mêmes sur la vente de médicaments OTC via des plateformes Internet</w:t>
      </w:r>
    </w:p>
    <w:p w:rsidR="004D046B" w:rsidRDefault="00173380" w:rsidP="000038B4">
      <w:pPr>
        <w:pStyle w:val="Textebrut"/>
      </w:pPr>
      <w:hyperlink r:id="rId39" w:history="1">
        <w:r w:rsidR="000038B4" w:rsidRPr="00404281">
          <w:rPr>
            <w:rStyle w:val="Lienhypertexte"/>
          </w:rPr>
          <w:t>https://www.lequotidiendupharmacien.fr/exercice-pro/la-france-peut-interdire-la-vente-dotc-par-des-plateformes</w:t>
        </w:r>
      </w:hyperlink>
    </w:p>
    <w:p w:rsidR="000038B4" w:rsidRDefault="000038B4" w:rsidP="000038B4">
      <w:pPr>
        <w:pStyle w:val="Textebrut"/>
      </w:pPr>
    </w:p>
    <w:p w:rsidR="00F025BE" w:rsidRDefault="00F025BE" w:rsidP="00F025BE">
      <w:pPr>
        <w:pStyle w:val="Textebrut"/>
      </w:pPr>
      <w:r>
        <w:t>Circulaire n° DGS/VSS/2014/16 du 16 février 2024 relative au renforcement de la préparation du système de santé pour faire face aux situations sanitaires exceptionnelles et à l'organisation territoriale de leur gestion</w:t>
      </w:r>
    </w:p>
    <w:p w:rsidR="00F025BE" w:rsidRDefault="00173380" w:rsidP="00F025BE">
      <w:pPr>
        <w:pStyle w:val="Textebrut"/>
      </w:pPr>
      <w:hyperlink r:id="rId40" w:history="1">
        <w:r w:rsidR="00F025BE" w:rsidRPr="00FC2E94">
          <w:rPr>
            <w:rStyle w:val="Lienhypertexte"/>
          </w:rPr>
          <w:t>https://rese.intranet.sante.gouv.fr/santenv/exceptio/reg/cir16224.pdf</w:t>
        </w:r>
      </w:hyperlink>
    </w:p>
    <w:p w:rsidR="00F025BE" w:rsidRDefault="00F025BE" w:rsidP="00F025BE">
      <w:pPr>
        <w:pStyle w:val="Textebrut"/>
      </w:pPr>
      <w:r>
        <w:t>Cahier des fiches annexes</w:t>
      </w:r>
    </w:p>
    <w:p w:rsidR="00F025BE" w:rsidRDefault="00173380" w:rsidP="00F025BE">
      <w:pPr>
        <w:pStyle w:val="Textebrut"/>
      </w:pPr>
      <w:hyperlink r:id="rId41" w:history="1">
        <w:r w:rsidR="00F025BE" w:rsidRPr="00FC2E94">
          <w:rPr>
            <w:rStyle w:val="Lienhypertexte"/>
          </w:rPr>
          <w:t>https://rese.intranet.sante.gouv.fr/santenv/exceptio/reg/anx16224.pdf</w:t>
        </w:r>
      </w:hyperlink>
    </w:p>
    <w:p w:rsidR="00F025BE" w:rsidRDefault="005E7AA5" w:rsidP="00F025BE">
      <w:pPr>
        <w:pStyle w:val="Textebrut"/>
      </w:pPr>
      <w:r>
        <w:t>Désormais publiée :</w:t>
      </w:r>
    </w:p>
    <w:p w:rsidR="005E7AA5" w:rsidRDefault="00173380" w:rsidP="00F025BE">
      <w:pPr>
        <w:pStyle w:val="Textebrut"/>
      </w:pPr>
      <w:hyperlink r:id="rId42" w:history="1">
        <w:r w:rsidR="005E7AA5" w:rsidRPr="004A6AB0">
          <w:rPr>
            <w:rStyle w:val="Lienhypertexte"/>
          </w:rPr>
          <w:t>https://portail.tessadoc.social.gouv.fr/recherche/viewnotice/id/966055</w:t>
        </w:r>
      </w:hyperlink>
    </w:p>
    <w:p w:rsidR="005E7AA5" w:rsidRDefault="005E7AA5" w:rsidP="00F025BE">
      <w:pPr>
        <w:pStyle w:val="Textebrut"/>
      </w:pPr>
    </w:p>
    <w:p w:rsidR="00904FA7" w:rsidRDefault="00904FA7" w:rsidP="00904FA7">
      <w:pPr>
        <w:pStyle w:val="Textebrut"/>
      </w:pPr>
      <w:r>
        <w:t>Arrêté du 28 février 2024 modifiant la liste des spécialités pharmaceutiques agréées à l'usage des collectivités et divers services publics (produits de contraste maintenus ou ajoutés ? à l’agrément aux collectivités)</w:t>
      </w:r>
    </w:p>
    <w:p w:rsidR="00904FA7" w:rsidRDefault="00173380" w:rsidP="00904FA7">
      <w:pPr>
        <w:pStyle w:val="Textebrut"/>
      </w:pPr>
      <w:hyperlink r:id="rId43" w:history="1">
        <w:r w:rsidR="00904FA7" w:rsidRPr="00ED0EC0">
          <w:rPr>
            <w:rStyle w:val="Lienhypertexte"/>
          </w:rPr>
          <w:t>https://www.legifrance.gouv.fr/jorf/id/JORFTEXT000049232356</w:t>
        </w:r>
      </w:hyperlink>
    </w:p>
    <w:p w:rsidR="00904FA7" w:rsidRDefault="00904FA7" w:rsidP="00904FA7">
      <w:pPr>
        <w:pStyle w:val="Textebrut"/>
      </w:pPr>
    </w:p>
    <w:p w:rsidR="00904FA7" w:rsidRDefault="00904FA7" w:rsidP="00904FA7">
      <w:pPr>
        <w:pStyle w:val="Textebrut"/>
      </w:pPr>
      <w:r>
        <w:t>Arrêté du 28 février 2024 portant radiation de certains médicaments, nécessaires à la réalisation d'examens d'imagerie médicale, de la liste des spécialités remboursables aux assurés sociaux (liste Bayer Healthcare radiée au 01/04/2024)</w:t>
      </w:r>
    </w:p>
    <w:p w:rsidR="00904FA7" w:rsidRDefault="00173380" w:rsidP="00904FA7">
      <w:pPr>
        <w:pStyle w:val="Textebrut"/>
      </w:pPr>
      <w:hyperlink r:id="rId44" w:history="1">
        <w:r w:rsidR="00904FA7" w:rsidRPr="00ED0EC0">
          <w:rPr>
            <w:rStyle w:val="Lienhypertexte"/>
          </w:rPr>
          <w:t>https://www.legifrance.gouv.fr/jorf/id/JORFTEXT000049232368</w:t>
        </w:r>
      </w:hyperlink>
    </w:p>
    <w:p w:rsidR="00904FA7" w:rsidRDefault="00904FA7" w:rsidP="00904FA7">
      <w:pPr>
        <w:pStyle w:val="Textebrut"/>
      </w:pPr>
      <w:r>
        <w:t xml:space="preserve">Arrêté du 28 février 2024 portant radiation de certains médicaments, nécessaires à la réalisation d'examens d'imagerie médicale, de la liste des spécialités remboursables aux assurés sociaux (liste </w:t>
      </w:r>
      <w:proofErr w:type="spellStart"/>
      <w:r>
        <w:t>Guerbet</w:t>
      </w:r>
      <w:proofErr w:type="spellEnd"/>
      <w:r>
        <w:t xml:space="preserve"> radiée au 01/04/2024)</w:t>
      </w:r>
    </w:p>
    <w:p w:rsidR="00904FA7" w:rsidRDefault="00173380" w:rsidP="00904FA7">
      <w:pPr>
        <w:pStyle w:val="Textebrut"/>
      </w:pPr>
      <w:hyperlink r:id="rId45" w:history="1">
        <w:r w:rsidR="00904FA7" w:rsidRPr="00ED0EC0">
          <w:rPr>
            <w:rStyle w:val="Lienhypertexte"/>
          </w:rPr>
          <w:t>https://www.legifrance.gouv.fr/jorf/id/JORFTEXT000049232402</w:t>
        </w:r>
      </w:hyperlink>
    </w:p>
    <w:p w:rsidR="00904FA7" w:rsidRDefault="00904FA7" w:rsidP="00904FA7">
      <w:pPr>
        <w:pStyle w:val="Textebrut"/>
      </w:pPr>
      <w:r>
        <w:t>Arrêté du 28 février 2024 portant radiation de certains médicaments, nécessaires à la réalisation d'examens d'imagerie médicale, de la liste des spécialités remboursables aux assurés sociaux (liste GE Healthcare radiée au 01/04/2024)</w:t>
      </w:r>
    </w:p>
    <w:p w:rsidR="00904FA7" w:rsidRDefault="00173380" w:rsidP="00904FA7">
      <w:pPr>
        <w:pStyle w:val="Textebrut"/>
      </w:pPr>
      <w:hyperlink r:id="rId46" w:history="1">
        <w:r w:rsidR="00904FA7" w:rsidRPr="00ED0EC0">
          <w:rPr>
            <w:rStyle w:val="Lienhypertexte"/>
          </w:rPr>
          <w:t>https://www.legifrance.gouv.fr/jorf/id/JORFTEXT000049232432</w:t>
        </w:r>
      </w:hyperlink>
    </w:p>
    <w:p w:rsidR="00904FA7" w:rsidRDefault="00904FA7" w:rsidP="00904FA7">
      <w:pPr>
        <w:pStyle w:val="Textebrut"/>
      </w:pPr>
      <w:r>
        <w:t xml:space="preserve">Arrêté du 28 février 2024 portant radiation de certains médicaments, nécessaires à la réalisation d'examens d'imagerie médicale, de la liste des spécialités remboursables aux assurés sociaux (liste </w:t>
      </w:r>
      <w:proofErr w:type="spellStart"/>
      <w:r>
        <w:t>Bracco</w:t>
      </w:r>
      <w:proofErr w:type="spellEnd"/>
      <w:r>
        <w:t xml:space="preserve"> radiée au 01/04/2024)</w:t>
      </w:r>
    </w:p>
    <w:p w:rsidR="00904FA7" w:rsidRDefault="00173380" w:rsidP="00904FA7">
      <w:pPr>
        <w:pStyle w:val="Textebrut"/>
      </w:pPr>
      <w:hyperlink r:id="rId47" w:history="1">
        <w:r w:rsidR="00904FA7" w:rsidRPr="00ED0EC0">
          <w:rPr>
            <w:rStyle w:val="Lienhypertexte"/>
          </w:rPr>
          <w:t>https://www.legifrance.gouv.fr/jorf/id/JORFTEXT000049232462</w:t>
        </w:r>
      </w:hyperlink>
    </w:p>
    <w:p w:rsidR="00CF689F" w:rsidRDefault="00CF689F" w:rsidP="00CF689F">
      <w:pPr>
        <w:pStyle w:val="Textebrut"/>
      </w:pPr>
      <w:r>
        <w:t xml:space="preserve">Arrêté du 27 mars 2024 portant radiation de spécialités pharmaceutiques de la liste mentionnée au premier alinéa de l'article L. 162-17 du code de la sécurité sociale (produits de contraste </w:t>
      </w:r>
      <w:proofErr w:type="spellStart"/>
      <w:r>
        <w:t>Guerbet</w:t>
      </w:r>
      <w:proofErr w:type="spellEnd"/>
      <w:r>
        <w:t>)</w:t>
      </w:r>
    </w:p>
    <w:p w:rsidR="00CF689F" w:rsidRDefault="00CF689F" w:rsidP="00CF689F">
      <w:pPr>
        <w:pStyle w:val="Textebrut"/>
      </w:pPr>
      <w:hyperlink r:id="rId48" w:history="1">
        <w:r>
          <w:rPr>
            <w:rStyle w:val="Lienhypertexte"/>
          </w:rPr>
          <w:t>https://www.legifrance.gouv.fr/jorf/id/JORFTEXT000049339324</w:t>
        </w:r>
      </w:hyperlink>
    </w:p>
    <w:p w:rsidR="00904FA7" w:rsidRDefault="00904FA7" w:rsidP="00904FA7">
      <w:pPr>
        <w:pStyle w:val="Textebrut"/>
      </w:pPr>
    </w:p>
    <w:p w:rsidR="00904FA7" w:rsidRDefault="00904FA7" w:rsidP="00904FA7">
      <w:pPr>
        <w:pStyle w:val="Textebrut"/>
      </w:pPr>
      <w:r>
        <w:t xml:space="preserve">Arrêté du 12 février 2024 fixant la liste des établissements et services médico-sociaux mentionnée à l'article L. 311-8 du code de l'action sociale et des familles (catégories d'établissements et services médico-sociaux devant intégrer dans leur projet d'établissement un plan détaillant les mesures à mettre en œuvre en cas d'événement entraînant une perturbation de l'organisation des soins, notamment de situation sanitaire exceptionnelle : </w:t>
      </w:r>
      <w:r>
        <w:lastRenderedPageBreak/>
        <w:t>EHPAD, établissement d’hébergement de personnes handicapées avec soins, « lits halte soins santé » et « lits d’accueil médicalisés ». Prise d’effet au 01/01/2025)</w:t>
      </w:r>
    </w:p>
    <w:p w:rsidR="0097303A" w:rsidRDefault="00173380" w:rsidP="00904FA7">
      <w:pPr>
        <w:pStyle w:val="Textebrut"/>
      </w:pPr>
      <w:hyperlink r:id="rId49" w:history="1">
        <w:r w:rsidR="00904FA7" w:rsidRPr="00ED0EC0">
          <w:rPr>
            <w:rStyle w:val="Lienhypertexte"/>
          </w:rPr>
          <w:t>https://www.legifrance.gouv.fr/jorf/id/JORFTEXT000049232339</w:t>
        </w:r>
      </w:hyperlink>
    </w:p>
    <w:p w:rsidR="00904FA7" w:rsidRDefault="00904FA7" w:rsidP="00904FA7">
      <w:pPr>
        <w:pStyle w:val="Textebrut"/>
      </w:pPr>
    </w:p>
    <w:p w:rsidR="002264AB" w:rsidRDefault="002264AB" w:rsidP="002264AB">
      <w:pPr>
        <w:pStyle w:val="Textebrut"/>
      </w:pPr>
      <w:r>
        <w:t>Arrêté du 5 mars 2024 fixant la liste des personnes autorisées à exercer en France les fonctions de biologiste médical dans un domaine de spécialisation en application des dispositions de l'article L. 6213-2-1 du code de la santé publique</w:t>
      </w:r>
    </w:p>
    <w:p w:rsidR="0097303A" w:rsidRDefault="00173380" w:rsidP="002264AB">
      <w:pPr>
        <w:pStyle w:val="Textebrut"/>
      </w:pPr>
      <w:hyperlink r:id="rId50" w:history="1">
        <w:r w:rsidR="002264AB" w:rsidRPr="00425447">
          <w:rPr>
            <w:rStyle w:val="Lienhypertexte"/>
          </w:rPr>
          <w:t>https://www.legifrance.gouv.fr/jorf/id/JORFTEXT000049241899</w:t>
        </w:r>
      </w:hyperlink>
    </w:p>
    <w:p w:rsidR="002264AB" w:rsidRDefault="002264AB" w:rsidP="002264AB">
      <w:pPr>
        <w:pStyle w:val="Textebrut"/>
      </w:pPr>
    </w:p>
    <w:p w:rsidR="00692C67" w:rsidRDefault="00692C67" w:rsidP="00692C67">
      <w:pPr>
        <w:pStyle w:val="Textebrut"/>
      </w:pPr>
      <w:r>
        <w:t>Décret n° 2024-205 du 8 mars 2024 relatif à l'encadrement des conventions de cession à titre gratuit de matériel médical aux structures de l'économie sociale et solidaire par l'article L. 541-15-13 du code de l'environnement</w:t>
      </w:r>
      <w:r w:rsidR="00D46127">
        <w:t xml:space="preserve"> (</w:t>
      </w:r>
      <w:r w:rsidR="00D46127" w:rsidRPr="00D46127">
        <w:t>concerne, en tant que donateurs potentiels les établissements de santé et médico-sociaux, les PSAD, les officines de pharmacie et les distributeurs de DM</w:t>
      </w:r>
      <w:r w:rsidR="00D46127">
        <w:t>)</w:t>
      </w:r>
      <w:r w:rsidR="001F2DFC">
        <w:t>.</w:t>
      </w:r>
    </w:p>
    <w:p w:rsidR="00692C67" w:rsidRDefault="00D46127" w:rsidP="00692C67">
      <w:pPr>
        <w:pStyle w:val="Textebrut"/>
      </w:pPr>
      <w:r w:rsidRPr="00D46127">
        <w:t>Notice : le décret organise les conditions dans lesquelles les acteurs de la filière de distribution et les établissements de santé peuvent conclure, avec les associations et les structures de l'économie sociale et solidaire une convention de cession à titre gratuit de matériel médical susceptible d'être réutilisé.</w:t>
      </w:r>
      <w:r w:rsidR="00692C67">
        <w:t xml:space="preserve"> </w:t>
      </w:r>
    </w:p>
    <w:p w:rsidR="002264AB" w:rsidRDefault="00173380" w:rsidP="00692C67">
      <w:pPr>
        <w:pStyle w:val="Textebrut"/>
      </w:pPr>
      <w:hyperlink r:id="rId51" w:history="1">
        <w:r w:rsidR="00692C67" w:rsidRPr="00291F3C">
          <w:rPr>
            <w:rStyle w:val="Lienhypertexte"/>
          </w:rPr>
          <w:t>https://www.legifrance.gouv.fr/jorf/id/JORFTEXT000049253259</w:t>
        </w:r>
      </w:hyperlink>
    </w:p>
    <w:p w:rsidR="00692C67" w:rsidRDefault="00692C67" w:rsidP="00692C67">
      <w:pPr>
        <w:pStyle w:val="Textebrut"/>
      </w:pPr>
    </w:p>
    <w:p w:rsidR="00944599" w:rsidRDefault="00944599" w:rsidP="00692C67">
      <w:pPr>
        <w:pStyle w:val="Textebrut"/>
      </w:pPr>
      <w:r>
        <w:t xml:space="preserve">Arrêté du 8 mars 2024 portant modification de l’arrêté du 29 août 2022 </w:t>
      </w:r>
      <w:r w:rsidRPr="00944599">
        <w:t xml:space="preserve">fixant le contenu du formulaire de consentement du tiers donneur à la communication de son identité et de ses données non </w:t>
      </w:r>
      <w:proofErr w:type="spellStart"/>
      <w:r w:rsidRPr="00944599">
        <w:t>identifiantes</w:t>
      </w:r>
      <w:proofErr w:type="spellEnd"/>
      <w:r w:rsidRPr="00944599">
        <w:t xml:space="preserve"> aux personnes majeures nées de son don et le contenu du formulaire de collecte de son identité et de ses données non </w:t>
      </w:r>
      <w:proofErr w:type="spellStart"/>
      <w:r w:rsidRPr="00944599">
        <w:t>identifiantes</w:t>
      </w:r>
      <w:proofErr w:type="spellEnd"/>
    </w:p>
    <w:p w:rsidR="00692C67" w:rsidRDefault="00173380" w:rsidP="00692C67">
      <w:pPr>
        <w:pStyle w:val="Textebrut"/>
      </w:pPr>
      <w:hyperlink r:id="rId52" w:history="1">
        <w:r w:rsidR="00944599" w:rsidRPr="00291F3C">
          <w:rPr>
            <w:rStyle w:val="Lienhypertexte"/>
          </w:rPr>
          <w:t>https://www.legifrance.gouv.fr/jorf/id/JORFTEXT000049263767</w:t>
        </w:r>
      </w:hyperlink>
    </w:p>
    <w:p w:rsidR="00944599" w:rsidRDefault="00944599" w:rsidP="00692C67">
      <w:pPr>
        <w:pStyle w:val="Textebrut"/>
      </w:pPr>
    </w:p>
    <w:p w:rsidR="00ED271B" w:rsidRDefault="00ED271B" w:rsidP="00ED271B">
      <w:pPr>
        <w:pStyle w:val="Textebrut"/>
      </w:pPr>
      <w:r>
        <w:t>Note d'information n° DGOS/R3/DGS/SP1/2024/32 du 8 mars 2024 relative à l’évolution des conditions d’acheminement des prélèvements intervenant au titre du programme national du dépistage néonatal (les « buvards »).</w:t>
      </w:r>
    </w:p>
    <w:p w:rsidR="00ED271B" w:rsidRDefault="00ED271B" w:rsidP="00ED271B">
      <w:pPr>
        <w:pStyle w:val="Textebrut"/>
      </w:pPr>
      <w:r>
        <w:t>Résumé : L’objectif est d’informer les établissements de santé autorisés à l’activité de gynécologie-obstétrique sur les évolutions survenues au cours des derniers mois en matière d’acheminement des prélèvements du dépistage néonatal et de favoriser ainsi la rapidité de cet acheminement</w:t>
      </w:r>
    </w:p>
    <w:p w:rsidR="000458FF" w:rsidRDefault="00173380" w:rsidP="00ED271B">
      <w:pPr>
        <w:pStyle w:val="Textebrut"/>
      </w:pPr>
      <w:hyperlink r:id="rId53" w:history="1">
        <w:r w:rsidR="00ED271B" w:rsidRPr="00291F3C">
          <w:rPr>
            <w:rStyle w:val="Lienhypertexte"/>
          </w:rPr>
          <w:t>https://portail.tessadoc.social.gouv.fr/recherche/viewnotice/id/966001</w:t>
        </w:r>
      </w:hyperlink>
    </w:p>
    <w:p w:rsidR="00ED271B" w:rsidRDefault="00ED271B" w:rsidP="00ED271B">
      <w:pPr>
        <w:pStyle w:val="Textebrut"/>
      </w:pPr>
    </w:p>
    <w:p w:rsidR="00962DFA" w:rsidRDefault="00962DFA" w:rsidP="00962DFA">
      <w:pPr>
        <w:pStyle w:val="Textebrut"/>
      </w:pPr>
      <w:r>
        <w:t>Arrêté du 5 mars 2024 pris en application de l'article R. 1311-3 du code de la santé publique et relatif à la formation des personnes qui mettent en œuvre les techniques de tatouage par effraction cutanée et de perçage corporel (l’ARS est désignée comme organisme de certification des organismes de formation et de la formation suivie par les personnes, avec rapport annuel à la clé)</w:t>
      </w:r>
    </w:p>
    <w:p w:rsidR="00962DFA" w:rsidRDefault="00173380" w:rsidP="00962DFA">
      <w:pPr>
        <w:pStyle w:val="Textebrut"/>
      </w:pPr>
      <w:hyperlink r:id="rId54" w:history="1">
        <w:r w:rsidR="00962DFA" w:rsidRPr="004D6410">
          <w:rPr>
            <w:rStyle w:val="Lienhypertexte"/>
          </w:rPr>
          <w:t>https://www.legifrance.gouv.fr/jorf/id/JORFTEXT000049268085</w:t>
        </w:r>
      </w:hyperlink>
    </w:p>
    <w:p w:rsidR="00962DFA" w:rsidRDefault="00962DFA" w:rsidP="00962DFA">
      <w:pPr>
        <w:pStyle w:val="Textebrut"/>
      </w:pPr>
    </w:p>
    <w:p w:rsidR="00962DFA" w:rsidRDefault="00962DFA" w:rsidP="00962DFA">
      <w:pPr>
        <w:pStyle w:val="Textebrut"/>
      </w:pPr>
      <w:r>
        <w:t>Arrêté du 8 mars 2024 fixant le contenu du registre de suivi relatif aux implants mammaires en application de l'article L. 5212-2-1 du code de la santé publique</w:t>
      </w:r>
    </w:p>
    <w:p w:rsidR="00ED271B" w:rsidRDefault="00173380" w:rsidP="00962DFA">
      <w:pPr>
        <w:pStyle w:val="Textebrut"/>
      </w:pPr>
      <w:hyperlink r:id="rId55" w:history="1">
        <w:r w:rsidR="00962DFA" w:rsidRPr="004D6410">
          <w:rPr>
            <w:rStyle w:val="Lienhypertexte"/>
          </w:rPr>
          <w:t>https://www.legifrance.gouv.fr/jorf/id/JORFTEXT000049268178</w:t>
        </w:r>
      </w:hyperlink>
    </w:p>
    <w:p w:rsidR="00962DFA" w:rsidRDefault="00962DFA" w:rsidP="00962DFA">
      <w:pPr>
        <w:pStyle w:val="Textebrut"/>
      </w:pPr>
    </w:p>
    <w:p w:rsidR="00112C2D" w:rsidRDefault="00112C2D" w:rsidP="00112C2D">
      <w:pPr>
        <w:pStyle w:val="Textebrut"/>
      </w:pPr>
      <w:r>
        <w:t>Arrêté du 29 février 2024 portant abrogation de l'arrêté du 6 mars 2013 fixant la liste des substances qui ne peuvent pas entrer dans la composition des produits de tatouage et de l'arrêté du 30 novembre 2016 fixant la liste des informations contenues dans la déclaration d'établissement de fabrication ou de conditionnement de produits cosmétiques prévue à l'article L. 5131-2 du code de la santé publique (abrogation des arrêtés du 6 mars 2013 fixant la liste des substances interdites (renvoi à l'annexe XVII du règlement (CE) n° 1907/2006) et du 30 novembre 2016 fixant la liste des informations de la déclaration d’établissement de fabrication ou de conditionnement de produits cosmétiques du fait du renvoi aux compétences DGCCRF)</w:t>
      </w:r>
    </w:p>
    <w:p w:rsidR="00112C2D" w:rsidRDefault="00173380" w:rsidP="00112C2D">
      <w:pPr>
        <w:pStyle w:val="Textebrut"/>
      </w:pPr>
      <w:hyperlink r:id="rId56" w:history="1">
        <w:r w:rsidR="00112C2D" w:rsidRPr="00A96D35">
          <w:rPr>
            <w:rStyle w:val="Lienhypertexte"/>
          </w:rPr>
          <w:t>https://www.legifrance.gouv.fr/jorf/id/JORFTEXT000049273504</w:t>
        </w:r>
      </w:hyperlink>
    </w:p>
    <w:p w:rsidR="00112C2D" w:rsidRDefault="00112C2D" w:rsidP="00112C2D">
      <w:pPr>
        <w:pStyle w:val="Textebrut"/>
      </w:pPr>
    </w:p>
    <w:p w:rsidR="00112C2D" w:rsidRDefault="00112C2D" w:rsidP="00112C2D">
      <w:pPr>
        <w:pStyle w:val="Textebrut"/>
      </w:pPr>
      <w:r>
        <w:lastRenderedPageBreak/>
        <w:t>Arrêté du 8 mars 2024 fixant la liste des dispositifs médicaux dont l'utilisation est subordonnée à l'enregistrement obligatoire dans un registre de suivi en application de l'article L. 5212-2-1 du code de la santé publique (implants mammaires)</w:t>
      </w:r>
    </w:p>
    <w:p w:rsidR="00444F50" w:rsidRDefault="00173380" w:rsidP="00962DFA">
      <w:pPr>
        <w:pStyle w:val="Textebrut"/>
      </w:pPr>
      <w:hyperlink r:id="rId57" w:history="1">
        <w:r w:rsidR="00112C2D" w:rsidRPr="00A96D35">
          <w:rPr>
            <w:rStyle w:val="Lienhypertexte"/>
          </w:rPr>
          <w:t>https://www.legifrance.gouv.fr/jorf/id/JORFTEXT000049273523</w:t>
        </w:r>
      </w:hyperlink>
    </w:p>
    <w:p w:rsidR="00112C2D" w:rsidRDefault="00112C2D" w:rsidP="00962DFA">
      <w:pPr>
        <w:pStyle w:val="Textebrut"/>
      </w:pPr>
    </w:p>
    <w:p w:rsidR="00152588" w:rsidRDefault="00152588" w:rsidP="00152588">
      <w:pPr>
        <w:pStyle w:val="Textebrut"/>
      </w:pPr>
      <w:r>
        <w:t>Arrêté du 22 février 2024 fixant la liste des personnes autorisées à exercer en France la profession de pharmacien dans la spécialité « biologie médicale » en application des dispositions du V de l'article 83 de la loi n° 2006-1640 du 21 décembre 2006 de financement de la sécurité sociale pour 2007 modifiée</w:t>
      </w:r>
    </w:p>
    <w:p w:rsidR="00152588" w:rsidRDefault="00173380" w:rsidP="00152588">
      <w:pPr>
        <w:pStyle w:val="Textebrut"/>
      </w:pPr>
      <w:hyperlink r:id="rId58" w:history="1">
        <w:r w:rsidR="00152588" w:rsidRPr="00FA55BC">
          <w:rPr>
            <w:rStyle w:val="Lienhypertexte"/>
          </w:rPr>
          <w:t>https://www.legifrance.gouv.fr/jorf/id/JORFTEXT000049285388</w:t>
        </w:r>
      </w:hyperlink>
    </w:p>
    <w:p w:rsidR="00152588" w:rsidRDefault="00152588" w:rsidP="00152588">
      <w:pPr>
        <w:pStyle w:val="Textebrut"/>
      </w:pPr>
    </w:p>
    <w:p w:rsidR="00152588" w:rsidRDefault="00152588" w:rsidP="00152588">
      <w:pPr>
        <w:pStyle w:val="Textebrut"/>
      </w:pPr>
      <w:r>
        <w:t>Délibération n° 2024-05 du 8 février 2024 fixant les règles de conservation des échantillons prélevés par l'Agence ou pour son compte</w:t>
      </w:r>
    </w:p>
    <w:p w:rsidR="00112C2D" w:rsidRDefault="00173380" w:rsidP="00152588">
      <w:pPr>
        <w:pStyle w:val="Textebrut"/>
      </w:pPr>
      <w:hyperlink r:id="rId59" w:history="1">
        <w:r w:rsidR="00152588" w:rsidRPr="00FA55BC">
          <w:rPr>
            <w:rStyle w:val="Lienhypertexte"/>
          </w:rPr>
          <w:t>https://www.legifrance.gouv.fr/jorf/id/JORFTEXT000049285757</w:t>
        </w:r>
      </w:hyperlink>
    </w:p>
    <w:p w:rsidR="00152588" w:rsidRDefault="00152588" w:rsidP="00152588">
      <w:pPr>
        <w:pStyle w:val="Textebrut"/>
      </w:pPr>
    </w:p>
    <w:p w:rsidR="00912ED0" w:rsidRDefault="00912ED0" w:rsidP="00912ED0">
      <w:pPr>
        <w:pStyle w:val="Textebrut"/>
      </w:pPr>
      <w:r>
        <w:t>Arrêté du 19 mars 2024 autorisant l'utilisation de tests rapides d'orientation diagnostique du choléra à Mayotte</w:t>
      </w:r>
    </w:p>
    <w:p w:rsidR="00152588" w:rsidRDefault="00173380" w:rsidP="00912ED0">
      <w:pPr>
        <w:pStyle w:val="Textebrut"/>
      </w:pPr>
      <w:hyperlink r:id="rId60" w:history="1">
        <w:r w:rsidR="00912ED0" w:rsidRPr="004744AB">
          <w:rPr>
            <w:rStyle w:val="Lienhypertexte"/>
          </w:rPr>
          <w:t>https://www.legifrance.gouv.fr/jorf/id/JORFTEXT000049304036</w:t>
        </w:r>
      </w:hyperlink>
    </w:p>
    <w:p w:rsidR="00912ED0" w:rsidRDefault="00912ED0" w:rsidP="00912ED0">
      <w:pPr>
        <w:pStyle w:val="Textebrut"/>
      </w:pPr>
    </w:p>
    <w:p w:rsidR="00CE4F27" w:rsidRDefault="00CE4F27" w:rsidP="00CE4F27">
      <w:pPr>
        <w:pStyle w:val="Textebrut"/>
      </w:pPr>
      <w:r>
        <w:t>Décret n° 2024-258 du 22 mars 2024 relatif à la certification périodique de certains professionnels de santé.</w:t>
      </w:r>
    </w:p>
    <w:p w:rsidR="00CE4F27" w:rsidRDefault="00CE4F27" w:rsidP="00CE4F27">
      <w:pPr>
        <w:pStyle w:val="Textebrut"/>
      </w:pPr>
      <w:r>
        <w:t>Notice : le décret précise les professionnels de santé relevant d'un ordre national soumis à l'obligation de certification périodique, ainsi que ceux pouvant bénéficier d'une exonération partielle. Il précise par ailleurs les modalités de détermination, de réalisation et de prise en compte des actions de certification que le professionnel de santé doit mener, ainsi que les conditions minimales de réalisation de ces actions. Il définit enfin la période de computation nécessaire au respect de l'obligation en distinguant les situations professionnelles qui ne permettent pas de réaliser les actions de manière continue au cours de la période de six ans</w:t>
      </w:r>
    </w:p>
    <w:p w:rsidR="00912ED0" w:rsidRDefault="00173380" w:rsidP="00CE4F27">
      <w:pPr>
        <w:pStyle w:val="Textebrut"/>
      </w:pPr>
      <w:hyperlink r:id="rId61" w:history="1">
        <w:r w:rsidR="00CE4F27" w:rsidRPr="00B57D7B">
          <w:rPr>
            <w:rStyle w:val="Lienhypertexte"/>
          </w:rPr>
          <w:t>https://www.legifrance.gouv.fr/jorf/id/JORFTEXT000049314991</w:t>
        </w:r>
      </w:hyperlink>
    </w:p>
    <w:p w:rsidR="000967B5" w:rsidRDefault="000967B5" w:rsidP="000967B5">
      <w:pPr>
        <w:pStyle w:val="Textebrut"/>
      </w:pPr>
      <w:r>
        <w:t>Certification : un décret nécessaire mais insuffisant (Le Moniteur des pharmacies, 25/03/2024).</w:t>
      </w:r>
    </w:p>
    <w:p w:rsidR="000967B5" w:rsidRDefault="000967B5" w:rsidP="000967B5">
      <w:pPr>
        <w:pStyle w:val="Textebrut"/>
      </w:pPr>
      <w:r>
        <w:t>Alors que la certification périodique des professionnels de santé est théoriquement entrée en vigueur depuis le 1er janvier 2023, certains textes réglementaires étaient encore attendus pour en définir le cadre. Une première étape vient d’être franchie avec la publication d’un décret, ce 24 mars 2024, fixant le programme minimal d’actions à satisfaire. D’autres doivent suivre pour préciser les attentes par profession</w:t>
      </w:r>
    </w:p>
    <w:p w:rsidR="00CE4F27" w:rsidRDefault="00173380" w:rsidP="000967B5">
      <w:pPr>
        <w:pStyle w:val="Textebrut"/>
      </w:pPr>
      <w:hyperlink r:id="rId62" w:history="1">
        <w:r w:rsidR="000967B5" w:rsidRPr="00FC48C6">
          <w:rPr>
            <w:rStyle w:val="Lienhypertexte"/>
          </w:rPr>
          <w:t>https://www.lemoniteurdespharmacies.fr/actu/actualites/actus-medicaments/certification-un-decret-necessaire-mais-insuffisant.html</w:t>
        </w:r>
      </w:hyperlink>
    </w:p>
    <w:p w:rsidR="000967B5" w:rsidRDefault="000967B5" w:rsidP="000967B5">
      <w:pPr>
        <w:pStyle w:val="Textebrut"/>
      </w:pPr>
    </w:p>
    <w:p w:rsidR="00F47E6C" w:rsidRDefault="00F47E6C" w:rsidP="00F47E6C">
      <w:pPr>
        <w:pStyle w:val="Textebrut"/>
      </w:pPr>
      <w:r>
        <w:t>Décret n° 2024-268 du 25 mars 2024 relatif à la simplification de la mise en œuvre de la réforme des autorisations d'activités de soins.</w:t>
      </w:r>
    </w:p>
    <w:p w:rsidR="00F47E6C" w:rsidRDefault="00F47E6C" w:rsidP="00F47E6C">
      <w:pPr>
        <w:pStyle w:val="Textebrut"/>
      </w:pPr>
      <w:r>
        <w:t>Notice : dans le cadre de la mise en œuvre de la réforme des autorisations d'activités de soins, le décret fixe la liste des autorisations d'activités de soins délivrées sous l'empire de l'ancienne règlementation qui feront l'objet d'un renouvellement et adapte en conséquence les dispositions transitoires des décrets fixant les nouvelles conditions d'implantations et les nouvelles conditions techniques de fonctionnement de ces activités de soins</w:t>
      </w:r>
    </w:p>
    <w:p w:rsidR="00F47E6C" w:rsidRDefault="00173380" w:rsidP="00F47E6C">
      <w:pPr>
        <w:pStyle w:val="Textebrut"/>
      </w:pPr>
      <w:hyperlink r:id="rId63" w:history="1">
        <w:r w:rsidR="00F47E6C" w:rsidRPr="001A4431">
          <w:rPr>
            <w:rStyle w:val="Lienhypertexte"/>
          </w:rPr>
          <w:t>https://www.legifrance.gouv.fr/jorf/id/JORFTEXT000049328126</w:t>
        </w:r>
      </w:hyperlink>
    </w:p>
    <w:p w:rsidR="00F47E6C" w:rsidRDefault="00F47E6C" w:rsidP="00F47E6C">
      <w:pPr>
        <w:pStyle w:val="Textebrut"/>
      </w:pPr>
    </w:p>
    <w:p w:rsidR="00F47E6C" w:rsidRDefault="00F47E6C" w:rsidP="00F47E6C">
      <w:pPr>
        <w:pStyle w:val="Textebrut"/>
      </w:pPr>
      <w:r>
        <w:t>Arrêté du 25 mars 2024 modifiant l'arrêté du 16 octobre 2020 fixant les spécifications des médicaments à base de cannabis utilisés pendant l'expérimentation prévue à l'article 43 de la loi n° 2019-1446 du 24 décembre 2019 de financement de la sécurité sociale pour 2020, les conditions de leur mise à disposition ainsi que les indications thérapeutiques ou situations cliniques dans lesquelles ils seront utilisés</w:t>
      </w:r>
    </w:p>
    <w:p w:rsidR="00CE4F27" w:rsidRDefault="00173380" w:rsidP="00F47E6C">
      <w:pPr>
        <w:pStyle w:val="Textebrut"/>
      </w:pPr>
      <w:hyperlink r:id="rId64" w:history="1">
        <w:r w:rsidR="00F47E6C" w:rsidRPr="001A4431">
          <w:rPr>
            <w:rStyle w:val="Lienhypertexte"/>
          </w:rPr>
          <w:t>https://www.legifrance.gouv.fr/jorf/id/JORFTEXT000049328238</w:t>
        </w:r>
      </w:hyperlink>
    </w:p>
    <w:p w:rsidR="00F47E6C" w:rsidRDefault="00F47E6C" w:rsidP="00F47E6C">
      <w:pPr>
        <w:pStyle w:val="Textebrut"/>
      </w:pPr>
    </w:p>
    <w:p w:rsidR="00DC008D" w:rsidRDefault="00DC008D" w:rsidP="00DC008D">
      <w:pPr>
        <w:pStyle w:val="Textebrut"/>
      </w:pPr>
      <w:r>
        <w:t>Arrêté du 27 mars 2024 relatif aux conditions de prise en charge par l'assurance maladie des médicaments à base de cannabis utilisés pendant la phase transitoire prévue à l'article 43 de la loi n° 2019-1446 du 24 décembre 2019 de financement de la sécurité sociale pour 2020</w:t>
      </w:r>
    </w:p>
    <w:p w:rsidR="00F47E6C" w:rsidRDefault="00173380" w:rsidP="00DC008D">
      <w:pPr>
        <w:pStyle w:val="Textebrut"/>
      </w:pPr>
      <w:hyperlink r:id="rId65" w:history="1">
        <w:r w:rsidR="00DC008D" w:rsidRPr="000B5D66">
          <w:rPr>
            <w:rStyle w:val="Lienhypertexte"/>
          </w:rPr>
          <w:t>https://www.legifrance.gouv.fr/jorf/id/JORFTEXT000049330830</w:t>
        </w:r>
      </w:hyperlink>
    </w:p>
    <w:p w:rsidR="00DC008D" w:rsidRDefault="00DC008D" w:rsidP="00DC008D">
      <w:pPr>
        <w:pStyle w:val="Textebrut"/>
      </w:pPr>
    </w:p>
    <w:p w:rsidR="00C73E01" w:rsidRPr="0089584B" w:rsidRDefault="00173380" w:rsidP="00C73E01">
      <w:pPr>
        <w:pStyle w:val="PEPS"/>
      </w:pPr>
      <w:hyperlink r:id="rId66" w:history="1">
        <w:r w:rsidR="00C73E01" w:rsidRPr="0089584B">
          <w:t>Actualités</w:t>
        </w:r>
      </w:hyperlink>
      <w:r w:rsidR="00C73E01">
        <w:t xml:space="preserve"> Covid-19</w:t>
      </w:r>
      <w:r w:rsidR="00C73E01" w:rsidRPr="0089584B">
        <w:t> :</w:t>
      </w:r>
    </w:p>
    <w:p w:rsidR="00C73E01" w:rsidRDefault="00C73E01" w:rsidP="00C73E01">
      <w:pPr>
        <w:pStyle w:val="Textebrut"/>
      </w:pPr>
    </w:p>
    <w:p w:rsidR="00AC503D" w:rsidRDefault="00AC503D" w:rsidP="00AC503D">
      <w:pPr>
        <w:pStyle w:val="Textebrut"/>
      </w:pPr>
      <w:r>
        <w:t>Vous retrouverez tout sur ce sujet sur la page d’actualités du PEPPS dédiée :</w:t>
      </w:r>
    </w:p>
    <w:p w:rsidR="00C73E01" w:rsidRDefault="00173380" w:rsidP="00AC503D">
      <w:pPr>
        <w:pStyle w:val="Textebrut"/>
      </w:pPr>
      <w:hyperlink r:id="rId67" w:history="1">
        <w:r w:rsidR="00AC503D" w:rsidRPr="009D7C82">
          <w:rPr>
            <w:rStyle w:val="Lienhypertexte"/>
          </w:rPr>
          <w:t>https://peps.sante.gouv.fr/actu/ncov/actus_2019-ncov.html</w:t>
        </w:r>
      </w:hyperlink>
    </w:p>
    <w:p w:rsidR="00C73E01" w:rsidRDefault="00C73E01" w:rsidP="00F8571B">
      <w:pPr>
        <w:pStyle w:val="Textebrut"/>
      </w:pPr>
    </w:p>
    <w:p w:rsidR="004747DA" w:rsidRDefault="004747DA" w:rsidP="004747DA">
      <w:pPr>
        <w:pStyle w:val="Textebrut"/>
      </w:pPr>
      <w:proofErr w:type="spellStart"/>
      <w:r>
        <w:t>Paxlovid</w:t>
      </w:r>
      <w:proofErr w:type="spellEnd"/>
      <w:r>
        <w:t xml:space="preserve"> issu du stock État : ne renvoyez pas les boîtes aux grossistes ! (Le Quotidien du pharmacien, 04/03/2024)</w:t>
      </w:r>
    </w:p>
    <w:p w:rsidR="004747DA" w:rsidRDefault="004747DA" w:rsidP="004747DA">
      <w:pPr>
        <w:pStyle w:val="Textebrut"/>
      </w:pPr>
      <w:r>
        <w:t xml:space="preserve">Les boîtes de </w:t>
      </w:r>
      <w:proofErr w:type="spellStart"/>
      <w:r>
        <w:t>Paxlovid</w:t>
      </w:r>
      <w:proofErr w:type="spellEnd"/>
      <w:r>
        <w:t xml:space="preserve"> issues du stock État sont périmées depuis le 24 février. Contrairement à ce qu’avait indiqué Santé publique France dans un premier temps, les stocks non utilisés ne doivent pas être renvoyés aux grossistes mais déposés dans les contenants </w:t>
      </w:r>
      <w:proofErr w:type="spellStart"/>
      <w:r>
        <w:t>Cyclamed</w:t>
      </w:r>
      <w:proofErr w:type="spellEnd"/>
    </w:p>
    <w:p w:rsidR="00AC503D" w:rsidRDefault="00173380" w:rsidP="004747DA">
      <w:pPr>
        <w:pStyle w:val="Textebrut"/>
      </w:pPr>
      <w:hyperlink r:id="rId68" w:history="1">
        <w:r w:rsidR="004747DA" w:rsidRPr="00661555">
          <w:rPr>
            <w:rStyle w:val="Lienhypertexte"/>
          </w:rPr>
          <w:t>https://www.lequotidiendupharmacien.fr/exercice-pro/paxlovid-issu-du-stock-etat-ne-renvoyez-pas-les-boites-aux-grossistes</w:t>
        </w:r>
      </w:hyperlink>
    </w:p>
    <w:p w:rsidR="004747DA" w:rsidRDefault="004747DA" w:rsidP="004747DA">
      <w:pPr>
        <w:pStyle w:val="Textebrut"/>
      </w:pPr>
    </w:p>
    <w:p w:rsidR="0099044D" w:rsidRDefault="0099044D" w:rsidP="0099044D">
      <w:pPr>
        <w:pStyle w:val="Textebrut"/>
      </w:pPr>
      <w:r>
        <w:t xml:space="preserve">Il se fait vacciner 217 fois contre la Covid-19 et ne développe pas d’effets secondaires (article de Marc </w:t>
      </w:r>
      <w:proofErr w:type="spellStart"/>
      <w:r>
        <w:t>Gozlan</w:t>
      </w:r>
      <w:proofErr w:type="spellEnd"/>
      <w:r>
        <w:t xml:space="preserve"> sur le blog santé du Monde, 06/03/2024).</w:t>
      </w:r>
    </w:p>
    <w:p w:rsidR="004747DA" w:rsidRDefault="00173380" w:rsidP="0099044D">
      <w:pPr>
        <w:pStyle w:val="Textebrut"/>
      </w:pPr>
      <w:hyperlink r:id="rId69" w:history="1">
        <w:r w:rsidR="0099044D" w:rsidRPr="00425447">
          <w:rPr>
            <w:rStyle w:val="Lienhypertexte"/>
          </w:rPr>
          <w:t>https://www.lemonde.fr/blog/realitesbiomedicales/2024/03/06/il-se-fait-vacciner-217-fois-contre-la-covid-19-et-ne-developpe-pas-deffets-secondaires/</w:t>
        </w:r>
      </w:hyperlink>
    </w:p>
    <w:p w:rsidR="0099044D" w:rsidRDefault="0099044D" w:rsidP="0099044D">
      <w:pPr>
        <w:pStyle w:val="Textebrut"/>
      </w:pPr>
    </w:p>
    <w:p w:rsidR="006F0E65" w:rsidRDefault="006F0E65" w:rsidP="006F0E65">
      <w:pPr>
        <w:pStyle w:val="Textebrut"/>
      </w:pPr>
      <w:r>
        <w:t>Nombre de lits en réanimation : l’effort d’adaptation du système hospitalier pendant la crise due au Covid-19 (DREES, 14/03/2024).</w:t>
      </w:r>
    </w:p>
    <w:p w:rsidR="006F0E65" w:rsidRDefault="006F0E65" w:rsidP="006F0E65">
      <w:pPr>
        <w:pStyle w:val="Textebrut"/>
      </w:pPr>
      <w:r>
        <w:t>La Direction de la recherche, des études, de l’évaluation et des statistiques (DREES) publie une étude sur l’adaptation des capacités d’accueil en soins critiques pendant la crise due au Covid-19. S’appuyant sur les données issues de l’enquête statistique annuelle des établissements de santé (SAE) et sur le programme de médicalisation des systèmes d’information (PMSI), cette étude analyse l’évolution du nombre de lits en soins critiques et plus particulièrement en réanimation, entre fin 2019 et fin 2022, afin de faire face à l’afflux de patients atteints de Covid-19</w:t>
      </w:r>
    </w:p>
    <w:p w:rsidR="006F0E65" w:rsidRDefault="00173380" w:rsidP="006F0E65">
      <w:pPr>
        <w:pStyle w:val="Textebrut"/>
      </w:pPr>
      <w:hyperlink r:id="rId70" w:history="1">
        <w:r w:rsidR="006F0E65" w:rsidRPr="00A96D35">
          <w:rPr>
            <w:rStyle w:val="Lienhypertexte"/>
          </w:rPr>
          <w:t>https://drees.solidarites-sante.gouv.fr/publications-communique-de-presse/etudes-et-resultats/nombre-de-lits-en-reanimation-leffort</w:t>
        </w:r>
      </w:hyperlink>
    </w:p>
    <w:p w:rsidR="006F0E65" w:rsidRDefault="006F0E65" w:rsidP="006F0E65">
      <w:pPr>
        <w:pStyle w:val="Textebrut"/>
      </w:pPr>
    </w:p>
    <w:p w:rsidR="00B63715" w:rsidRDefault="00B63715" w:rsidP="00B63715">
      <w:pPr>
        <w:pStyle w:val="Textebrut"/>
      </w:pPr>
      <w:r>
        <w:t>Retour d’information sur le PRAC de mars 2024 (4 – 7 mars), ANSM, 14/03/2024.</w:t>
      </w:r>
    </w:p>
    <w:p w:rsidR="00B63715" w:rsidRDefault="00B63715" w:rsidP="00B63715">
      <w:pPr>
        <w:pStyle w:val="Textebrut"/>
      </w:pPr>
      <w:r>
        <w:t>Le comité de pharmacovigilance (PRAC) de l’Agence européenne des médicaments (EMA) conclut à l’absence de lien entre les saignements post-ménopausiques et les vaccins à ARNm contre le Covid-19 de Pfizer (</w:t>
      </w:r>
      <w:proofErr w:type="spellStart"/>
      <w:r>
        <w:t>Comirnaty</w:t>
      </w:r>
      <w:proofErr w:type="spellEnd"/>
      <w:r>
        <w:t xml:space="preserve">) et </w:t>
      </w:r>
      <w:proofErr w:type="spellStart"/>
      <w:r>
        <w:t>Moderna</w:t>
      </w:r>
      <w:proofErr w:type="spellEnd"/>
      <w:r>
        <w:t xml:space="preserve"> (</w:t>
      </w:r>
      <w:proofErr w:type="spellStart"/>
      <w:r>
        <w:t>Spikevax</w:t>
      </w:r>
      <w:proofErr w:type="spellEnd"/>
      <w:r>
        <w:t>)</w:t>
      </w:r>
    </w:p>
    <w:p w:rsidR="006F0E65" w:rsidRDefault="00173380" w:rsidP="00B63715">
      <w:pPr>
        <w:pStyle w:val="Textebrut"/>
      </w:pPr>
      <w:hyperlink r:id="rId71" w:history="1">
        <w:r w:rsidR="00B63715" w:rsidRPr="00276859">
          <w:rPr>
            <w:rStyle w:val="Lienhypertexte"/>
          </w:rPr>
          <w:t>https://ansm.sante.fr/actualites/retour-dinformation-sur-le-prac-de-mars-2024-4-7-mars</w:t>
        </w:r>
      </w:hyperlink>
    </w:p>
    <w:p w:rsidR="00B63715" w:rsidRDefault="00B63715" w:rsidP="00B63715">
      <w:pPr>
        <w:pStyle w:val="Textebrut"/>
      </w:pPr>
    </w:p>
    <w:p w:rsidR="000F4214" w:rsidRDefault="000F4214" w:rsidP="000F4214">
      <w:pPr>
        <w:pStyle w:val="Textebrut"/>
      </w:pPr>
      <w:r>
        <w:t>Crise sanitaire : sanction disciplinaire pour l’expression publique réitérée mettant en cause la vaccination contre la Covid-19 et promouvant des traitements sans fondement scientifique (CNOP, 14/03/2024).</w:t>
      </w:r>
    </w:p>
    <w:p w:rsidR="000F4214" w:rsidRDefault="000F4214" w:rsidP="000F4214">
      <w:pPr>
        <w:pStyle w:val="Textebrut"/>
      </w:pPr>
      <w:r>
        <w:t>A la suite de quatre signalements et dans un contexte de crise sanitaire liée à la pandémie de Covid-19, le président du Gouvernement de Nouvelle-Calédonie a formé une plainte à l’encontre d’une pharmacienne titulaire d’officine en raison de diverses interventions anti vaccin à la radio, dans une vidéo postée sur la plateforme YouTube et par des courriers adressés aux associations de parents d’élèves, au vice-rectorat et au Gouvernement de la Nouvelle-Calédonie</w:t>
      </w:r>
    </w:p>
    <w:p w:rsidR="00B63715" w:rsidRDefault="00173380" w:rsidP="000F4214">
      <w:pPr>
        <w:pStyle w:val="Textebrut"/>
      </w:pPr>
      <w:hyperlink r:id="rId72" w:history="1">
        <w:r w:rsidR="000F4214" w:rsidRPr="00276859">
          <w:rPr>
            <w:rStyle w:val="Lienhypertexte"/>
          </w:rPr>
          <w:t>https://www.ordre.pharmacien.fr/les-communications/focus-sur/les-actualites/crise-sanitaire-sanction-disciplinaire-pour-l-expression-publique-reiteree-mettant-en-cause-la-vaccination-contre-la-covid-19-et-promouvant-des-t</w:t>
        </w:r>
      </w:hyperlink>
    </w:p>
    <w:p w:rsidR="000F4214" w:rsidRDefault="000F4214" w:rsidP="000F4214">
      <w:pPr>
        <w:pStyle w:val="Textebrut"/>
      </w:pPr>
    </w:p>
    <w:p w:rsidR="00CD2C4E" w:rsidRDefault="00CD2C4E" w:rsidP="00CD2C4E">
      <w:pPr>
        <w:pStyle w:val="Textebrut"/>
      </w:pPr>
      <w:r>
        <w:t>Renouvellement vaccinal contre le Covid-19 : protéger les plus fragiles (Ministère de la santé, 15/03/2024)</w:t>
      </w:r>
    </w:p>
    <w:p w:rsidR="00CD2C4E" w:rsidRDefault="00CD2C4E" w:rsidP="00CD2C4E">
      <w:pPr>
        <w:pStyle w:val="Textebrut"/>
      </w:pPr>
      <w:r>
        <w:t>La campagne de vaccination automnale contre la grippe et le covid-19 en métropole, en Guadeloupe, à la Martinique et en Guyane a pris fin le 29 février 2024.</w:t>
      </w:r>
    </w:p>
    <w:p w:rsidR="00CD2C4E" w:rsidRDefault="00CD2C4E" w:rsidP="00CD2C4E">
      <w:pPr>
        <w:pStyle w:val="Textebrut"/>
      </w:pPr>
      <w:r>
        <w:t xml:space="preserve">Dans le cadre de la stratégie vaccinale visant à protéger les populations les plus fragiles contre le Covid-19, les personnes dont la protection immunitaire diminue plus rapidement dans le temps pourront bénéficier d’une vaccination supplémentaire contre le covid-19 au printemps 2024. Cette démarche de renouvellement vaccinal </w:t>
      </w:r>
      <w:r>
        <w:lastRenderedPageBreak/>
        <w:t>s’inscrit dans une volonté collective de protéger les populations les plus fragiles et de limiter la propagation du virus tout au long de l’année</w:t>
      </w:r>
    </w:p>
    <w:p w:rsidR="000F4214" w:rsidRDefault="00173380" w:rsidP="00CD2C4E">
      <w:pPr>
        <w:pStyle w:val="Textebrut"/>
      </w:pPr>
      <w:hyperlink r:id="rId73" w:history="1">
        <w:r w:rsidR="00CD2C4E" w:rsidRPr="00FA55BC">
          <w:rPr>
            <w:rStyle w:val="Lienhypertexte"/>
          </w:rPr>
          <w:t>https://sante.gouv.fr/soins-et-maladies/maladies/maladies-infectieuses/coronavirus/vaccin-covid-19/article/renouvellement-vaccinal-contre-le-covid-19-proteger-les-plus-fragiles</w:t>
        </w:r>
      </w:hyperlink>
    </w:p>
    <w:p w:rsidR="00CD2C4E" w:rsidRDefault="00CD2C4E" w:rsidP="00CD2C4E">
      <w:pPr>
        <w:pStyle w:val="Textebrut"/>
      </w:pPr>
    </w:p>
    <w:p w:rsidR="00FE09FC" w:rsidRDefault="00FE09FC" w:rsidP="00FE09FC">
      <w:pPr>
        <w:pStyle w:val="Textebrut"/>
      </w:pPr>
      <w:r>
        <w:t>La vaccination contre le Covid-19 - Tout savoir, tout comprendre (Ministère de la santé, actualisation du 15/03/2024)</w:t>
      </w:r>
    </w:p>
    <w:p w:rsidR="00FE09FC" w:rsidRDefault="00173380" w:rsidP="00FE09FC">
      <w:pPr>
        <w:pStyle w:val="Textebrut"/>
      </w:pPr>
      <w:hyperlink r:id="rId74" w:history="1">
        <w:r w:rsidR="00FE09FC" w:rsidRPr="00FA55BC">
          <w:rPr>
            <w:rStyle w:val="Lienhypertexte"/>
          </w:rPr>
          <w:t>https://solidarites-sante.gouv.fr/grands-dossiers/vaccin-covid-19/je-suis-un-particulier/</w:t>
        </w:r>
      </w:hyperlink>
    </w:p>
    <w:p w:rsidR="00FE09FC" w:rsidRDefault="00FE09FC" w:rsidP="00FE09FC">
      <w:pPr>
        <w:pStyle w:val="Textebrut"/>
      </w:pPr>
    </w:p>
    <w:p w:rsidR="00FE09FC" w:rsidRDefault="00FE09FC" w:rsidP="00FE09FC">
      <w:pPr>
        <w:pStyle w:val="Textebrut"/>
      </w:pPr>
      <w:r>
        <w:t xml:space="preserve">Analyse de risque liée aux </w:t>
      </w:r>
      <w:proofErr w:type="spellStart"/>
      <w:r>
        <w:t>variants</w:t>
      </w:r>
      <w:proofErr w:type="spellEnd"/>
      <w:r>
        <w:t xml:space="preserve"> émergents de SARS-COV-2 (</w:t>
      </w:r>
      <w:proofErr w:type="spellStart"/>
      <w:r>
        <w:t>SpF</w:t>
      </w:r>
      <w:proofErr w:type="spellEnd"/>
      <w:r>
        <w:t>, 11/03/2024)</w:t>
      </w:r>
    </w:p>
    <w:p w:rsidR="00CD2C4E" w:rsidRDefault="00173380" w:rsidP="00FE09FC">
      <w:pPr>
        <w:pStyle w:val="Textebrut"/>
      </w:pPr>
      <w:hyperlink r:id="rId75" w:history="1">
        <w:r w:rsidR="00FE09FC" w:rsidRPr="00FA55BC">
          <w:rPr>
            <w:rStyle w:val="Lienhypertexte"/>
          </w:rPr>
          <w:t>https://www.santepubliquefrance.fr/media/files/01-maladies-et-traumatismes/maladies-et-infections-respiratoires/infection-a-coronavirus/analyse-de-risque-liee-aux-variants-emergents-de-sars-cov-2-11-03-24</w:t>
        </w:r>
      </w:hyperlink>
    </w:p>
    <w:p w:rsidR="00912ED0" w:rsidRDefault="00912ED0" w:rsidP="00912ED0">
      <w:pPr>
        <w:pStyle w:val="Textebrut"/>
      </w:pPr>
      <w:r>
        <w:t>Une étude inédite sur l’état de santé des Français avant le Covid-19 et son évolution depuis 1990 (ameli.fr, 20/03/2024)</w:t>
      </w:r>
    </w:p>
    <w:p w:rsidR="00FE09FC" w:rsidRDefault="00173380" w:rsidP="00912ED0">
      <w:pPr>
        <w:pStyle w:val="Textebrut"/>
      </w:pPr>
      <w:hyperlink r:id="rId76" w:history="1">
        <w:r w:rsidR="00912ED0" w:rsidRPr="004744AB">
          <w:rPr>
            <w:rStyle w:val="Lienhypertexte"/>
          </w:rPr>
          <w:t>https://www.ameli.fr/pharmacien/actualites/une-etude-inedite-sur-l-etat-de-sante-des-francais-avant-le-covid-19-et-son-evolution-depuis-1990</w:t>
        </w:r>
      </w:hyperlink>
    </w:p>
    <w:p w:rsidR="00912ED0" w:rsidRDefault="00912ED0" w:rsidP="00912ED0">
      <w:pPr>
        <w:pStyle w:val="Textebrut"/>
      </w:pPr>
      <w:r>
        <w:t>Une étude sur l’état de santé des Français avant la pandémie de Covid-19 pour aider les décideurs à réduire le fardeau des maladies (INSERM, 20/03/2024).</w:t>
      </w:r>
    </w:p>
    <w:p w:rsidR="00912ED0" w:rsidRDefault="00912ED0" w:rsidP="00912ED0">
      <w:pPr>
        <w:pStyle w:val="Textebrut"/>
      </w:pPr>
      <w:r>
        <w:t>Pour mettre en place des politiques de santé publique adaptées, il est crucial de connaître l’état de santé de la population ainsi que son évolution au cours du temps. Ces connaissances sont d’autant plus importantes que la pandémie de Covid-19 a fortement désorganisé les systèmes de soins à travers le monde. Pour la première fois, une étude menée par des équipes de l’Inserm, du CHU et de l’université de Bordeaux en collaboration avec Santé publique France, la Caisse nationale de l’Assurance Maladie (</w:t>
      </w:r>
      <w:proofErr w:type="spellStart"/>
      <w:r>
        <w:t>Cnam</w:t>
      </w:r>
      <w:proofErr w:type="spellEnd"/>
      <w:r>
        <w:t xml:space="preserve">) et les collaborateurs de la Global </w:t>
      </w:r>
      <w:proofErr w:type="spellStart"/>
      <w:r>
        <w:t>Burden</w:t>
      </w:r>
      <w:proofErr w:type="spellEnd"/>
      <w:r>
        <w:t xml:space="preserve"> of </w:t>
      </w:r>
      <w:proofErr w:type="spellStart"/>
      <w:r>
        <w:t>Diseases</w:t>
      </w:r>
      <w:proofErr w:type="spellEnd"/>
      <w:r>
        <w:t xml:space="preserve"> </w:t>
      </w:r>
      <w:proofErr w:type="spellStart"/>
      <w:r>
        <w:t>study</w:t>
      </w:r>
      <w:proofErr w:type="spellEnd"/>
      <w:r>
        <w:t xml:space="preserve"> (GBD), dresse un panorama de l’état de santé des Français juste avant la pandémie en 2019, et son évolution depuis 1990. Ce travail compare aussi la situation française à celle d’autres pays européens, aboutissant ainsi à un bilan précis qui permet de guider la décision publique et de réfléchir à l’impact plus général qu’a eu la Covid-19 sur la santé des Français. Les résultats sont publiés dans la revue The Lancet </w:t>
      </w:r>
      <w:proofErr w:type="spellStart"/>
      <w:r>
        <w:t>Regional</w:t>
      </w:r>
      <w:proofErr w:type="spellEnd"/>
      <w:r>
        <w:t xml:space="preserve"> </w:t>
      </w:r>
      <w:proofErr w:type="spellStart"/>
      <w:r>
        <w:t>Health</w:t>
      </w:r>
      <w:proofErr w:type="spellEnd"/>
    </w:p>
    <w:p w:rsidR="00912ED0" w:rsidRDefault="00173380" w:rsidP="00912ED0">
      <w:pPr>
        <w:pStyle w:val="Textebrut"/>
      </w:pPr>
      <w:hyperlink r:id="rId77" w:history="1">
        <w:r w:rsidR="00912ED0" w:rsidRPr="004744AB">
          <w:rPr>
            <w:rStyle w:val="Lienhypertexte"/>
          </w:rPr>
          <w:t>https://presse.inserm.fr/une-etude-sur-letat-de-sante-des-francais-avant-la-pandemie-de-covid-19-pour-aider-les-decideurs-a-reduire-le-fardeau-des-maladies/68222/</w:t>
        </w:r>
      </w:hyperlink>
    </w:p>
    <w:p w:rsidR="00912ED0" w:rsidRDefault="00912ED0" w:rsidP="00912ED0">
      <w:pPr>
        <w:pStyle w:val="Textebrut"/>
      </w:pPr>
    </w:p>
    <w:p w:rsidR="00912ED0" w:rsidRDefault="00096BE7" w:rsidP="00912ED0">
      <w:pPr>
        <w:pStyle w:val="Textebrut"/>
      </w:pPr>
      <w:r w:rsidRPr="00096BE7">
        <w:t xml:space="preserve">Mise à jour des données de sécurité des vaccins contre le Covid-19 (EMA, actualisation du 18/03/2024). Cette actualisation concerne le retrait du marché du vaccin </w:t>
      </w:r>
      <w:proofErr w:type="spellStart"/>
      <w:r w:rsidRPr="00096BE7">
        <w:t>VidPrevtyn</w:t>
      </w:r>
      <w:proofErr w:type="spellEnd"/>
      <w:r>
        <w:t>®</w:t>
      </w:r>
      <w:r w:rsidRPr="00096BE7">
        <w:t xml:space="preserve"> par Sanofi, pour raisons commerciales, depuis le 18/03/2024, retrait qui suit celui du vaccin </w:t>
      </w:r>
      <w:proofErr w:type="spellStart"/>
      <w:r w:rsidRPr="00096BE7">
        <w:t>Valneva</w:t>
      </w:r>
      <w:proofErr w:type="spellEnd"/>
      <w:r>
        <w:t>®</w:t>
      </w:r>
      <w:r w:rsidRPr="00096BE7">
        <w:t xml:space="preserve"> pour le</w:t>
      </w:r>
      <w:r>
        <w:t>s mêmes raisons en décembre 2023</w:t>
      </w:r>
    </w:p>
    <w:p w:rsidR="00096BE7" w:rsidRDefault="00173380" w:rsidP="00912ED0">
      <w:pPr>
        <w:pStyle w:val="Textebrut"/>
      </w:pPr>
      <w:hyperlink r:id="rId78" w:history="1">
        <w:r w:rsidR="00096BE7" w:rsidRPr="004744AB">
          <w:rPr>
            <w:rStyle w:val="Lienhypertexte"/>
          </w:rPr>
          <w:t>https://www.ema.europa.eu/en/documents/covid-19-vaccine-safety-update/covid-19-vaccines-safety-update-8-december-2022_en.pdf</w:t>
        </w:r>
      </w:hyperlink>
    </w:p>
    <w:p w:rsidR="00096BE7" w:rsidRDefault="00096BE7" w:rsidP="00912ED0">
      <w:pPr>
        <w:pStyle w:val="Textebrut"/>
      </w:pPr>
    </w:p>
    <w:p w:rsidR="000B0A8D" w:rsidRDefault="000B0A8D" w:rsidP="000B0A8D">
      <w:pPr>
        <w:pStyle w:val="Textebrut"/>
      </w:pPr>
      <w:proofErr w:type="spellStart"/>
      <w:r>
        <w:t>Paxlovid</w:t>
      </w:r>
      <w:proofErr w:type="spellEnd"/>
      <w:r>
        <w:t xml:space="preserve"> (</w:t>
      </w:r>
      <w:proofErr w:type="spellStart"/>
      <w:r>
        <w:t>nirmatrelvir</w:t>
      </w:r>
      <w:proofErr w:type="spellEnd"/>
      <w:r>
        <w:t>/</w:t>
      </w:r>
      <w:proofErr w:type="spellStart"/>
      <w:r>
        <w:t>ritonavir</w:t>
      </w:r>
      <w:proofErr w:type="spellEnd"/>
      <w:r>
        <w:t xml:space="preserve">) : rappel des interactions médicamenteuses avec certains immunosuppresseurs, notamment le </w:t>
      </w:r>
      <w:proofErr w:type="spellStart"/>
      <w:r>
        <w:t>tacrolimus</w:t>
      </w:r>
      <w:proofErr w:type="spellEnd"/>
      <w:r>
        <w:t>, pouvant être fatales (ANSM, 21/03/2024).</w:t>
      </w:r>
    </w:p>
    <w:p w:rsidR="000B0A8D" w:rsidRDefault="000B0A8D" w:rsidP="000B0A8D">
      <w:pPr>
        <w:pStyle w:val="Textebrut"/>
      </w:pPr>
      <w:r>
        <w:t>Information destinée aux médecins généralistes, infectiologues, médecins transplanteurs et spécialistes en thérapie immunosuppressive (hématologues, internistes, néphrologues, hépato-gastroentérologues), spécialistes en pharmacologie clinique, urgentistes, pharmaciens d'officine et hospitaliers</w:t>
      </w:r>
    </w:p>
    <w:p w:rsidR="00FE09FC" w:rsidRDefault="00173380" w:rsidP="000B0A8D">
      <w:pPr>
        <w:pStyle w:val="Textebrut"/>
      </w:pPr>
      <w:hyperlink r:id="rId79" w:history="1">
        <w:r w:rsidR="000B0A8D" w:rsidRPr="004744AB">
          <w:rPr>
            <w:rStyle w:val="Lienhypertexte"/>
          </w:rPr>
          <w:t>https://ansm.sante.fr/informations-de-securite/paxlovid-nirmatrelvir-ritonavir-rappel-des-interactions-medicamenteuses-avec-certains-immunosuppresseurs-notamment-le-tacrolimus-pouvant-etre-fatales</w:t>
        </w:r>
      </w:hyperlink>
    </w:p>
    <w:p w:rsidR="000B0A8D" w:rsidRDefault="000B0A8D" w:rsidP="000B0A8D">
      <w:pPr>
        <w:pStyle w:val="Textebrut"/>
      </w:pPr>
    </w:p>
    <w:p w:rsidR="00B6728D" w:rsidRDefault="00B6728D" w:rsidP="00B6728D">
      <w:pPr>
        <w:pStyle w:val="Textebrut"/>
      </w:pPr>
      <w:r>
        <w:t>Actualisation de la fiche « Gestion des troubles cognitifs associés aux symptômes prolongés de la Covid-19 » (HAS, 22/03/2024)</w:t>
      </w:r>
    </w:p>
    <w:p w:rsidR="000B0A8D" w:rsidRDefault="00173380" w:rsidP="00B6728D">
      <w:pPr>
        <w:pStyle w:val="Textebrut"/>
      </w:pPr>
      <w:hyperlink r:id="rId80" w:history="1">
        <w:r w:rsidR="00B6728D" w:rsidRPr="001A4431">
          <w:rPr>
            <w:rStyle w:val="Lienhypertexte"/>
          </w:rPr>
          <w:t>https://www.has-sante.fr/jcms/p_3502106/fr/fiche-troubles-cognitifs</w:t>
        </w:r>
      </w:hyperlink>
    </w:p>
    <w:p w:rsidR="00B6728D" w:rsidRDefault="00B6728D" w:rsidP="00B6728D">
      <w:pPr>
        <w:pStyle w:val="Textebrut"/>
      </w:pPr>
    </w:p>
    <w:p w:rsidR="00B244C8" w:rsidRDefault="00B244C8" w:rsidP="00B244C8">
      <w:pPr>
        <w:pStyle w:val="Textebrut"/>
      </w:pPr>
      <w:r>
        <w:t>Vaccin Covid-19 : rappel de printemps à partir du 15 avril (ameli.fr, 27/03/2024).</w:t>
      </w:r>
    </w:p>
    <w:p w:rsidR="00B244C8" w:rsidRDefault="00B244C8" w:rsidP="00B244C8">
      <w:pPr>
        <w:pStyle w:val="Textebrut"/>
      </w:pPr>
      <w:r>
        <w:t xml:space="preserve">Les personnes les plus à risque de forme grave de Covid-19 et celles dont la protection immunitaire diminue plus rapidement dans le temps vont pouvoir recevoir une nouvelle dose de vaccin dès le 15 avril et jusqu’au 16 juin </w:t>
      </w:r>
      <w:r>
        <w:lastRenderedPageBreak/>
        <w:t>2024. En fonction de la circulation du virus, cette campagne vaccinale printanière pourra être prolongée d’un mois</w:t>
      </w:r>
    </w:p>
    <w:p w:rsidR="00B6728D" w:rsidRDefault="00173380" w:rsidP="00B244C8">
      <w:pPr>
        <w:pStyle w:val="Textebrut"/>
      </w:pPr>
      <w:hyperlink r:id="rId81" w:history="1">
        <w:r w:rsidR="00B244C8" w:rsidRPr="001A4431">
          <w:rPr>
            <w:rStyle w:val="Lienhypertexte"/>
          </w:rPr>
          <w:t>https://www.ameli.fr/assure/actualites/vaccin-covid-19-rappel-de-printemps-partir-du-15-avril</w:t>
        </w:r>
      </w:hyperlink>
    </w:p>
    <w:p w:rsidR="00B244C8" w:rsidRDefault="00B244C8" w:rsidP="00B244C8">
      <w:pPr>
        <w:pStyle w:val="Textebrut"/>
      </w:pPr>
    </w:p>
    <w:p w:rsidR="00DC008D" w:rsidRDefault="00DC008D" w:rsidP="00DC008D">
      <w:pPr>
        <w:pStyle w:val="Textebrut"/>
      </w:pPr>
      <w:r>
        <w:t>Infections respiratoires aiguës (grippe, bronchiolite, COVID-19). Bulletin du 27 mars 2024 (</w:t>
      </w:r>
      <w:proofErr w:type="spellStart"/>
      <w:r>
        <w:t>SpF</w:t>
      </w:r>
      <w:proofErr w:type="spellEnd"/>
      <w:r>
        <w:t>, 27/03/2024).</w:t>
      </w:r>
    </w:p>
    <w:p w:rsidR="00DC008D" w:rsidRDefault="00DC008D" w:rsidP="00DC008D">
      <w:pPr>
        <w:pStyle w:val="Textebrut"/>
      </w:pPr>
      <w:r>
        <w:t>Infections respiratoires aiguës (IRA) : Activité en diminution en médecine de ville et à l'hôpital.</w:t>
      </w:r>
    </w:p>
    <w:p w:rsidR="00DC008D" w:rsidRDefault="00DC008D" w:rsidP="00DC008D">
      <w:pPr>
        <w:pStyle w:val="Textebrut"/>
      </w:pPr>
      <w:r>
        <w:t>COVID-19 : Indicateurs à des niveaux faibles</w:t>
      </w:r>
    </w:p>
    <w:p w:rsidR="00B244C8" w:rsidRDefault="00173380" w:rsidP="00DC008D">
      <w:pPr>
        <w:pStyle w:val="Textebrut"/>
      </w:pPr>
      <w:hyperlink r:id="rId82" w:history="1">
        <w:r w:rsidR="00DC008D" w:rsidRPr="000B5D66">
          <w:rPr>
            <w:rStyle w:val="Lienhypertexte"/>
          </w:rPr>
          <w:t>https://www.santepubliquefrance.fr/maladies-et-traumatismes/maladies-et-infections-respiratoires/grippe/documents/bulletin-national/infections-respiratoires-aigues-grippe-bronchiolite-covid-19-.-bulletin-du-27-mars-2024</w:t>
        </w:r>
      </w:hyperlink>
    </w:p>
    <w:p w:rsidR="00DC008D" w:rsidRDefault="00DC008D" w:rsidP="00DC008D">
      <w:pPr>
        <w:pStyle w:val="Textebrut"/>
      </w:pPr>
    </w:p>
    <w:p w:rsidR="00DC008D" w:rsidRDefault="00DC008D" w:rsidP="00DC008D">
      <w:pPr>
        <w:pStyle w:val="Textebrut"/>
      </w:pPr>
    </w:p>
    <w:p w:rsidR="0099044D" w:rsidRDefault="0099044D" w:rsidP="0099044D">
      <w:pPr>
        <w:pStyle w:val="Textebrut"/>
      </w:pPr>
    </w:p>
    <w:p w:rsidR="00107ABA" w:rsidRPr="0089584B" w:rsidRDefault="00173380" w:rsidP="0089584B">
      <w:pPr>
        <w:pStyle w:val="PEPS"/>
      </w:pPr>
      <w:hyperlink r:id="rId83" w:history="1">
        <w:r w:rsidR="00930CE0" w:rsidRPr="0089584B">
          <w:t>Autres actualités</w:t>
        </w:r>
      </w:hyperlink>
      <w:r w:rsidR="00930CE0" w:rsidRPr="0089584B">
        <w:t> :</w:t>
      </w:r>
    </w:p>
    <w:p w:rsidR="00AC503D" w:rsidRDefault="00AC503D" w:rsidP="00AC503D">
      <w:pPr>
        <w:pStyle w:val="Textebrut"/>
      </w:pPr>
      <w:r>
        <w:t>En ligne sur la page d’actualités du PEPPS :</w:t>
      </w:r>
    </w:p>
    <w:p w:rsidR="00AC503D" w:rsidRDefault="00173380" w:rsidP="00AC503D">
      <w:pPr>
        <w:pStyle w:val="Textebrut"/>
      </w:pPr>
      <w:hyperlink r:id="rId84" w:history="1">
        <w:r w:rsidR="00AC503D" w:rsidRPr="002859B7">
          <w:rPr>
            <w:rStyle w:val="Lienhypertexte"/>
          </w:rPr>
          <w:t>https://peps.sante.gouv.fr/actu/actualites.html</w:t>
        </w:r>
      </w:hyperlink>
    </w:p>
    <w:p w:rsidR="00930CE0" w:rsidRDefault="00930CE0" w:rsidP="00F8571B">
      <w:pPr>
        <w:pStyle w:val="Textebrut"/>
      </w:pPr>
    </w:p>
    <w:p w:rsidR="00A77132" w:rsidRDefault="00A77132" w:rsidP="00A77132">
      <w:pPr>
        <w:pStyle w:val="Textebrut"/>
      </w:pPr>
      <w:r>
        <w:t>Le service de santé des armées, une pièce maîtresse de notre outil de défense (Rapport d’information n° 936, Sénat, 27/09/2023)</w:t>
      </w:r>
    </w:p>
    <w:p w:rsidR="00A77132" w:rsidRDefault="00173380" w:rsidP="00A77132">
      <w:pPr>
        <w:pStyle w:val="Textebrut"/>
      </w:pPr>
      <w:hyperlink r:id="rId85" w:history="1">
        <w:r w:rsidR="00A77132" w:rsidRPr="004744AB">
          <w:rPr>
            <w:rStyle w:val="Lienhypertexte"/>
          </w:rPr>
          <w:t>https://www.senat.fr/notice-rapport/2022/r22-936-notice.html</w:t>
        </w:r>
      </w:hyperlink>
    </w:p>
    <w:p w:rsidR="00A77132" w:rsidRDefault="00A77132" w:rsidP="00A77132">
      <w:pPr>
        <w:pStyle w:val="Textebrut"/>
      </w:pPr>
    </w:p>
    <w:p w:rsidR="009F03F0" w:rsidRDefault="009F03F0" w:rsidP="00A77132">
      <w:pPr>
        <w:pStyle w:val="Textebrut"/>
      </w:pPr>
      <w:r w:rsidRPr="009F03F0">
        <w:t>Questions / réponses sur la réforme des produits de contraste (Ministère de la santé, 15/02/2024)</w:t>
      </w:r>
    </w:p>
    <w:p w:rsidR="009F03F0" w:rsidRDefault="00173380" w:rsidP="0063226C">
      <w:pPr>
        <w:pStyle w:val="Textebrut"/>
      </w:pPr>
      <w:hyperlink r:id="rId86" w:history="1">
        <w:r w:rsidR="009F03F0" w:rsidRPr="004744AB">
          <w:rPr>
            <w:rStyle w:val="Lienhypertexte"/>
          </w:rPr>
          <w:t>https://sante.gouv.fr/soins-et-maladies/autres-produits-de-sante/article/questions-reponses-sur-la-reforme-des-produits-de-contraste</w:t>
        </w:r>
      </w:hyperlink>
    </w:p>
    <w:p w:rsidR="009F03F0" w:rsidRDefault="009F03F0" w:rsidP="0063226C">
      <w:pPr>
        <w:pStyle w:val="Textebrut"/>
      </w:pPr>
    </w:p>
    <w:p w:rsidR="0063226C" w:rsidRDefault="0063226C" w:rsidP="0063226C">
      <w:pPr>
        <w:pStyle w:val="Textebrut"/>
      </w:pPr>
      <w:r>
        <w:t>Contribuer à l'évaluation des médicaments en vue de leur remboursement ou d'une autorisation d'accès précoce (HAS, 29/02/2024).</w:t>
      </w:r>
    </w:p>
    <w:p w:rsidR="0063226C" w:rsidRDefault="0063226C" w:rsidP="0063226C">
      <w:pPr>
        <w:pStyle w:val="Textebrut"/>
      </w:pPr>
      <w:r>
        <w:t xml:space="preserve">Associations de patients et groupes d’usagers du système de santé, </w:t>
      </w:r>
      <w:proofErr w:type="gramStart"/>
      <w:r>
        <w:t>la HAS</w:t>
      </w:r>
      <w:proofErr w:type="gramEnd"/>
      <w:r>
        <w:t xml:space="preserve"> vous invite à vous exprimer sur la façon dont les patients vivent leurs maladies et leurs traitements actuels, et sur les attentes suscitées par les traitements à venir</w:t>
      </w:r>
    </w:p>
    <w:p w:rsidR="00126647" w:rsidRDefault="00173380" w:rsidP="0063226C">
      <w:pPr>
        <w:pStyle w:val="Textebrut"/>
      </w:pPr>
      <w:hyperlink r:id="rId87" w:history="1">
        <w:r w:rsidR="0063226C" w:rsidRPr="00073E19">
          <w:rPr>
            <w:rStyle w:val="Lienhypertexte"/>
          </w:rPr>
          <w:t>https://www.has-sante.fr/jcms/p_3114053/fr/contribuer-a-l-evaluation-des-medicaments-en-vue-de-leur-remboursement-ou-d-une-autorisation-d-acces-precoce</w:t>
        </w:r>
      </w:hyperlink>
    </w:p>
    <w:p w:rsidR="0063226C" w:rsidRDefault="0063226C" w:rsidP="0063226C">
      <w:pPr>
        <w:pStyle w:val="Textebrut"/>
      </w:pPr>
    </w:p>
    <w:p w:rsidR="00CF4AEE" w:rsidRDefault="00CF4AEE" w:rsidP="00CF4AEE">
      <w:pPr>
        <w:pStyle w:val="Textebrut"/>
      </w:pPr>
      <w:r>
        <w:t>Dérégulation de la pharmacie, absence de réforme économique, pénuries de médicaments – Les pharmaciens ne se laisseront pas faire ! (USPO, 01/03/2024)</w:t>
      </w:r>
    </w:p>
    <w:p w:rsidR="0063226C" w:rsidRDefault="00173380" w:rsidP="00CF4AEE">
      <w:pPr>
        <w:pStyle w:val="Textebrut"/>
      </w:pPr>
      <w:hyperlink r:id="rId88" w:history="1">
        <w:r w:rsidR="00CF4AEE" w:rsidRPr="00404281">
          <w:rPr>
            <w:rStyle w:val="Lienhypertexte"/>
          </w:rPr>
          <w:t>https://uspo.fr/deregulation-de-la-pharmacie-absence-de-reforme-economique-penuries-de-medicaments/</w:t>
        </w:r>
      </w:hyperlink>
    </w:p>
    <w:p w:rsidR="00CF4AEE" w:rsidRDefault="00CF4AEE" w:rsidP="00CF4AEE">
      <w:pPr>
        <w:pStyle w:val="Textebrut"/>
      </w:pPr>
    </w:p>
    <w:p w:rsidR="00CD3FD6" w:rsidRDefault="00CD3FD6" w:rsidP="00CD3FD6">
      <w:pPr>
        <w:pStyle w:val="Textebrut"/>
      </w:pPr>
      <w:r>
        <w:t>La France peut interdire la vente d’OTC par des plateformes (Le Quotidien du pharmacien, 29/02/2024). Article réservé aux abonnés.</w:t>
      </w:r>
    </w:p>
    <w:p w:rsidR="00CD3FD6" w:rsidRDefault="00CD3FD6" w:rsidP="00CD3FD6">
      <w:pPr>
        <w:pStyle w:val="Textebrut"/>
      </w:pPr>
      <w:r>
        <w:t>La Cour de justice de l’Union européenne (CJUE) a rendu aujourd’hui un arrêt primordial pour la pharmacie française. Les États membres sont en effet habilités à statuer eux-mêmes sur la vente de médicaments OTC via des plateformes Internet</w:t>
      </w:r>
    </w:p>
    <w:p w:rsidR="00CF4AEE" w:rsidRDefault="00173380" w:rsidP="00CD3FD6">
      <w:pPr>
        <w:pStyle w:val="Textebrut"/>
      </w:pPr>
      <w:hyperlink r:id="rId89" w:history="1">
        <w:r w:rsidR="00CD3FD6" w:rsidRPr="00404281">
          <w:rPr>
            <w:rStyle w:val="Lienhypertexte"/>
          </w:rPr>
          <w:t>https://www.lequotidiendupharmacien.fr/exercice-pro/la-france-peut-interdire-la-vente-dotc-par-des-plateformes</w:t>
        </w:r>
      </w:hyperlink>
    </w:p>
    <w:p w:rsidR="00CD3FD6" w:rsidRDefault="00CD3FD6" w:rsidP="00CD3FD6">
      <w:pPr>
        <w:pStyle w:val="Textebrut"/>
      </w:pPr>
    </w:p>
    <w:p w:rsidR="00DF4192" w:rsidRDefault="00DF4192" w:rsidP="00DF4192">
      <w:pPr>
        <w:pStyle w:val="Textebrut"/>
      </w:pPr>
      <w:r>
        <w:t>Réforme des études de santé - Les fédérations étudiantes lancent une grande consultation (Le Quotidien du pharmacien, 29/02/2024).</w:t>
      </w:r>
    </w:p>
    <w:p w:rsidR="00DF4192" w:rsidRDefault="00DF4192" w:rsidP="00DF4192">
      <w:pPr>
        <w:pStyle w:val="Textebrut"/>
      </w:pPr>
      <w:r>
        <w:t>Les principales fédérations d’étudiants en santé ont rendu leur rapport 2024 sur la réforme du 1er cycle des études de santé. Elles critiquent les multiples dysfonctionnements attribués à une mise en œuvre incohérente de la réforme, et lancent un questionnaire adressé à tous les étudiants ayant suivi une PASS, une LAS ou une LSPS</w:t>
      </w:r>
    </w:p>
    <w:p w:rsidR="00CD3FD6" w:rsidRDefault="00173380" w:rsidP="00DF4192">
      <w:pPr>
        <w:pStyle w:val="Textebrut"/>
      </w:pPr>
      <w:hyperlink r:id="rId90" w:history="1">
        <w:r w:rsidR="00DF4192" w:rsidRPr="00404281">
          <w:rPr>
            <w:rStyle w:val="Lienhypertexte"/>
          </w:rPr>
          <w:t>https://www.lequotidiendupharmacien.fr/exercice-pro/etudes-formation-continue/les-federations-etudiantes-lancent-une-grande-consultation</w:t>
        </w:r>
      </w:hyperlink>
    </w:p>
    <w:p w:rsidR="00DF4192" w:rsidRDefault="00DF4192" w:rsidP="004D046B">
      <w:pPr>
        <w:pStyle w:val="Textebrut"/>
      </w:pPr>
    </w:p>
    <w:p w:rsidR="004D046B" w:rsidRDefault="004D046B" w:rsidP="004D046B">
      <w:pPr>
        <w:pStyle w:val="Textebrut"/>
      </w:pPr>
      <w:r>
        <w:t>Prescription électronique, où en est l’ordonnance numérique ? (CNOP, 29/02/2024)</w:t>
      </w:r>
    </w:p>
    <w:p w:rsidR="004D046B" w:rsidRDefault="004D046B" w:rsidP="004D046B">
      <w:pPr>
        <w:pStyle w:val="Textebrut"/>
      </w:pPr>
      <w:r>
        <w:t>La e-prescription consiste à dématérialiser le parcours de l’ordonnance entre prescripteurs et professionnels de santé amenés à les exécuter (pharmaciens, biologistes médicaux…). Son déploiement a commencé en 2022 auprès des médecins et des officines de ville, notamment pour les prescriptions de produits de santé. Point d’étape sur un dispositif qui doit se généraliser avant la fin de l’année, et son impact sur l'exercice professionnel des pharmaciens</w:t>
      </w:r>
    </w:p>
    <w:p w:rsidR="00CD3FD6" w:rsidRDefault="00173380" w:rsidP="004D046B">
      <w:pPr>
        <w:pStyle w:val="Textebrut"/>
      </w:pPr>
      <w:hyperlink r:id="rId91" w:history="1">
        <w:r w:rsidR="004D046B" w:rsidRPr="00404281">
          <w:rPr>
            <w:rStyle w:val="Lienhypertexte"/>
          </w:rPr>
          <w:t>https://www.ordre.pharmacien.fr/les-communications/focus-sur/les-actualites/prescription-electronique-ou-en-est-l-ordonnance-numerique</w:t>
        </w:r>
      </w:hyperlink>
    </w:p>
    <w:p w:rsidR="00DF4192" w:rsidRDefault="00DF4192" w:rsidP="00DF4192">
      <w:pPr>
        <w:pStyle w:val="Textebrut"/>
      </w:pPr>
      <w:r>
        <w:t>Mise en œuvre de la prescription électronique : Quel impact pour les médicaments stupéfiants et assimilés ? (</w:t>
      </w:r>
      <w:proofErr w:type="spellStart"/>
      <w:r>
        <w:t>Meddispar</w:t>
      </w:r>
      <w:proofErr w:type="spellEnd"/>
      <w:r>
        <w:t>, 02/02/2024)</w:t>
      </w:r>
    </w:p>
    <w:p w:rsidR="004D046B" w:rsidRDefault="00173380" w:rsidP="00DF4192">
      <w:pPr>
        <w:pStyle w:val="Textebrut"/>
      </w:pPr>
      <w:hyperlink r:id="rId92" w:history="1">
        <w:r w:rsidR="00DF4192" w:rsidRPr="00404281">
          <w:rPr>
            <w:rStyle w:val="Lienhypertexte"/>
          </w:rPr>
          <w:t>https://www.meddispar.fr/Actualites/2024/Mise-en-oeuvre-de-la-prescription-electronique-Quel-impact-pour-les-medicaments-stupefiants-et-assimiles</w:t>
        </w:r>
      </w:hyperlink>
    </w:p>
    <w:p w:rsidR="00DF4192" w:rsidRDefault="00DF4192" w:rsidP="00DF4192">
      <w:pPr>
        <w:pStyle w:val="Textebrut"/>
      </w:pPr>
    </w:p>
    <w:p w:rsidR="009F7D89" w:rsidRDefault="009F7D89" w:rsidP="009F7D89">
      <w:pPr>
        <w:pStyle w:val="Textebrut"/>
      </w:pPr>
      <w:r>
        <w:t xml:space="preserve">Communiqué du 01/03/2024 - Vers un 4ème Plan National Maladies Rares (PNMR4) Catherine Vautrin, Sylvie </w:t>
      </w:r>
      <w:proofErr w:type="spellStart"/>
      <w:r>
        <w:t>Retailleau</w:t>
      </w:r>
      <w:proofErr w:type="spellEnd"/>
      <w:r>
        <w:t xml:space="preserve">, Roland Lescure et Frédéric </w:t>
      </w:r>
      <w:proofErr w:type="spellStart"/>
      <w:r>
        <w:t>Valletoux</w:t>
      </w:r>
      <w:proofErr w:type="spellEnd"/>
      <w:r>
        <w:t xml:space="preserve"> annoncent un soutien renforcé pour les personnes malades par un maillage territorial plus étroit avec la labellisation des nouveaux centres de référence maladies rares et le renforcement de la collecte des données de santé entre la France et l’Europe</w:t>
      </w:r>
    </w:p>
    <w:p w:rsidR="009F7D89" w:rsidRDefault="009F7D89" w:rsidP="009F7D89">
      <w:pPr>
        <w:pStyle w:val="Textebrut"/>
      </w:pPr>
      <w:r>
        <w:t>Alors que le 3ème Plan National Maladies Rares (PNMR3, 2018-2022) a permis d’atteindre des objectifs ambitieux dans le domaine du diagnostic et du suivi des traitements avec la mise en place de deux observatoires nationaux pilotés par les 23 filières de santé maladies rares, sa prolongation en 2023 a été l’occasion de mener d’intenses travaux d’évaluation et de préparation d’un 4ème plan (PNMR4) dont les premiers jalons ont été initiés</w:t>
      </w:r>
    </w:p>
    <w:p w:rsidR="004D046B" w:rsidRDefault="00173380" w:rsidP="009F7D89">
      <w:pPr>
        <w:pStyle w:val="Textebrut"/>
      </w:pPr>
      <w:hyperlink r:id="rId93" w:history="1">
        <w:r w:rsidR="009F7D89" w:rsidRPr="00404281">
          <w:rPr>
            <w:rStyle w:val="Lienhypertexte"/>
          </w:rPr>
          <w:t>https://sante.gouv.fr/actualites/presse/communiques-de-presse/article/vers-un-4eme-plan-national-maladies-rares-pnmr4-catherine-vautrin-sylvie</w:t>
        </w:r>
      </w:hyperlink>
    </w:p>
    <w:p w:rsidR="009F7D89" w:rsidRDefault="009F7D89" w:rsidP="009F7D89">
      <w:pPr>
        <w:pStyle w:val="Textebrut"/>
      </w:pPr>
    </w:p>
    <w:p w:rsidR="0090794B" w:rsidRDefault="0090794B" w:rsidP="0090794B">
      <w:pPr>
        <w:pStyle w:val="Textebrut"/>
      </w:pPr>
      <w:r>
        <w:t>Antitoxine diphtérique - Autorisation d'accès compassionnel (AAC) en cours (ANSM, 04/03/2024)</w:t>
      </w:r>
    </w:p>
    <w:p w:rsidR="009F7D89" w:rsidRDefault="00173380" w:rsidP="0090794B">
      <w:pPr>
        <w:pStyle w:val="Textebrut"/>
      </w:pPr>
      <w:hyperlink r:id="rId94" w:history="1">
        <w:r w:rsidR="0090794B" w:rsidRPr="00ED0EC0">
          <w:rPr>
            <w:rStyle w:val="Lienhypertexte"/>
          </w:rPr>
          <w:t>https://ansm.sante.fr/tableau-acces-derogatoire/antitoxine-diphterique</w:t>
        </w:r>
      </w:hyperlink>
    </w:p>
    <w:p w:rsidR="0090794B" w:rsidRDefault="0090794B" w:rsidP="0090794B">
      <w:pPr>
        <w:pStyle w:val="Textebrut"/>
      </w:pPr>
    </w:p>
    <w:p w:rsidR="00446898" w:rsidRDefault="00446898" w:rsidP="00446898">
      <w:pPr>
        <w:pStyle w:val="Textebrut"/>
      </w:pPr>
      <w:r>
        <w:t>Bulletin épidémiologique hebdomadaire, 5 mars 2024, n°5 (</w:t>
      </w:r>
      <w:proofErr w:type="spellStart"/>
      <w:r>
        <w:t>SpF</w:t>
      </w:r>
      <w:proofErr w:type="spellEnd"/>
      <w:r>
        <w:t>, 05/03/2024)</w:t>
      </w:r>
    </w:p>
    <w:p w:rsidR="00446898" w:rsidRDefault="00173380" w:rsidP="00446898">
      <w:pPr>
        <w:pStyle w:val="Textebrut"/>
      </w:pPr>
      <w:hyperlink r:id="rId95" w:history="1">
        <w:r w:rsidR="00446898" w:rsidRPr="00ED0EC0">
          <w:rPr>
            <w:rStyle w:val="Lienhypertexte"/>
          </w:rPr>
          <w:t>http://beh.santepubliquefrance.fr/beh/2024/5/index.html</w:t>
        </w:r>
      </w:hyperlink>
    </w:p>
    <w:p w:rsidR="0090794B" w:rsidRDefault="00446898" w:rsidP="00446898">
      <w:pPr>
        <w:pStyle w:val="Textebrut"/>
      </w:pPr>
      <w:r>
        <w:t>Avec 2 articles sur les programmes nationaux de dépistage organisé respectivement du cancer colorectal et du col de l’utérus</w:t>
      </w:r>
    </w:p>
    <w:p w:rsidR="00446898" w:rsidRDefault="00446898" w:rsidP="00446898">
      <w:pPr>
        <w:pStyle w:val="Textebrut"/>
      </w:pPr>
    </w:p>
    <w:p w:rsidR="00E95EB0" w:rsidRDefault="00E95EB0" w:rsidP="00E95EB0">
      <w:pPr>
        <w:pStyle w:val="Textebrut"/>
      </w:pPr>
      <w:r>
        <w:t>Papillomavirus : moins de 15 % d’élèves vaccinés (Le Moniteur des pharmaciens, 04/03/2024).</w:t>
      </w:r>
    </w:p>
    <w:p w:rsidR="00E95EB0" w:rsidRDefault="00E95EB0" w:rsidP="00E95EB0">
      <w:pPr>
        <w:pStyle w:val="Textebrut"/>
      </w:pPr>
      <w:r>
        <w:t>La vaccination contre le papillomavirus a fait un flop. Moins de 15 % d’élèves ont été vaccinés contre les 30 % attendus. Une campagne de sensibilisation sera lancée au printemps prochain</w:t>
      </w:r>
    </w:p>
    <w:p w:rsidR="00E95EB0" w:rsidRDefault="00173380" w:rsidP="00E95EB0">
      <w:pPr>
        <w:pStyle w:val="Textebrut"/>
      </w:pPr>
      <w:hyperlink r:id="rId96" w:history="1">
        <w:r w:rsidR="00E95EB0" w:rsidRPr="007A6A69">
          <w:rPr>
            <w:rStyle w:val="Lienhypertexte"/>
          </w:rPr>
          <w:t>https://www.lemoniteurdespharmacies.fr/actu/actualites/actus-medicaments/papillomavirus-moins-de-15-percent-d-eleves-vaccines.html</w:t>
        </w:r>
      </w:hyperlink>
    </w:p>
    <w:p w:rsidR="00E95EB0" w:rsidRDefault="00E95EB0" w:rsidP="00E95EB0">
      <w:pPr>
        <w:pStyle w:val="Textebrut"/>
      </w:pPr>
    </w:p>
    <w:p w:rsidR="00BE5CE8" w:rsidRDefault="00BE5CE8" w:rsidP="00BE5CE8">
      <w:pPr>
        <w:pStyle w:val="Textebrut"/>
      </w:pPr>
      <w:r>
        <w:t xml:space="preserve">Lieux d’implantation des cabines de téléconsultation et de </w:t>
      </w:r>
      <w:proofErr w:type="spellStart"/>
      <w:r>
        <w:t>télésoin</w:t>
      </w:r>
      <w:proofErr w:type="spellEnd"/>
      <w:r>
        <w:t xml:space="preserve"> : assurer l’accès à des soins de qualité (HAS, 06/03/2024).</w:t>
      </w:r>
    </w:p>
    <w:p w:rsidR="00BE5CE8" w:rsidRDefault="00BE5CE8" w:rsidP="00BE5CE8">
      <w:pPr>
        <w:pStyle w:val="Textebrut"/>
      </w:pPr>
      <w:r>
        <w:t xml:space="preserve">En réduisant les distances et les délais, la télésanté peut contribuer à faciliter l’accès à l’offre de soins. Des cabines et autres équipements de téléconsultation et de </w:t>
      </w:r>
      <w:proofErr w:type="spellStart"/>
      <w:r>
        <w:t>télésoin</w:t>
      </w:r>
      <w:proofErr w:type="spellEnd"/>
      <w:r>
        <w:t xml:space="preserve"> sont déjà implantés dans divers lieux, y compris en dehors des lieux de soins. Dans ce contexte, comment assurer aux patients l’accès à des soins de qualité ? La Haute Autorité de santé (HAS) publie des recommandations relatives aux lieux et conditions d’environnement pour la réalisation d’une téléconsultation ou d’un </w:t>
      </w:r>
      <w:proofErr w:type="spellStart"/>
      <w:r>
        <w:t>télésoin</w:t>
      </w:r>
      <w:proofErr w:type="spellEnd"/>
      <w:r>
        <w:t xml:space="preserve"> de qualité</w:t>
      </w:r>
    </w:p>
    <w:p w:rsidR="00E95EB0" w:rsidRDefault="00173380" w:rsidP="00BE5CE8">
      <w:pPr>
        <w:pStyle w:val="Textebrut"/>
      </w:pPr>
      <w:hyperlink r:id="rId97" w:history="1">
        <w:r w:rsidR="00BE5CE8" w:rsidRPr="007A6A69">
          <w:rPr>
            <w:rStyle w:val="Lienhypertexte"/>
          </w:rPr>
          <w:t>https://www.has-sante.fr/jcms/p_3499399/fr/lieux-d-implantation-des-cabines-de-teleconsultation-et-de-telesoin-assurer-l-acces-a-des-soins-de-qualite</w:t>
        </w:r>
      </w:hyperlink>
    </w:p>
    <w:p w:rsidR="00BE5CE8" w:rsidRDefault="00BE5CE8" w:rsidP="00BE5CE8">
      <w:pPr>
        <w:pStyle w:val="Textebrut"/>
      </w:pPr>
    </w:p>
    <w:p w:rsidR="00626F0F" w:rsidRDefault="00626F0F" w:rsidP="00626F0F">
      <w:pPr>
        <w:pStyle w:val="Textebrut"/>
      </w:pPr>
      <w:r>
        <w:t>Dépistage organisé du cancer colorectal : un test simple et rapide qui sauve des vies (ameli.fr, 06/03/2024)</w:t>
      </w:r>
    </w:p>
    <w:p w:rsidR="00BE5CE8" w:rsidRDefault="00173380" w:rsidP="00626F0F">
      <w:pPr>
        <w:pStyle w:val="Textebrut"/>
      </w:pPr>
      <w:hyperlink r:id="rId98" w:history="1">
        <w:r w:rsidR="00626F0F" w:rsidRPr="007A6A69">
          <w:rPr>
            <w:rStyle w:val="Lienhypertexte"/>
          </w:rPr>
          <w:t>https://www.ameli.fr/assure/actualites/depistage-organise-du-cancer-colorectal-un-test-simple-et-rapide-qui-sauve-des-vies</w:t>
        </w:r>
      </w:hyperlink>
    </w:p>
    <w:p w:rsidR="0099044D" w:rsidRDefault="0099044D" w:rsidP="0099044D">
      <w:pPr>
        <w:pStyle w:val="Textebrut"/>
      </w:pPr>
      <w:r>
        <w:t>Cancer colorectal : les efforts des pharmaciens (et des autres) pour améliorer la participation au dépistage (Le Moniteur des pharmacies, 06/03/2024).</w:t>
      </w:r>
    </w:p>
    <w:p w:rsidR="0099044D" w:rsidRDefault="0099044D" w:rsidP="0099044D">
      <w:pPr>
        <w:pStyle w:val="Textebrut"/>
      </w:pPr>
      <w:r>
        <w:t>Comme chaque année, le mois de mars est placé sous le signe du dépistage du cancer colorectal avec la campagne Mars bleu. Le Bulletin épidémiologique hebdomadaire (BEH) paru ce mardi 5 mars tente d’affiner le calcul de la participation à ce dépistage, en arrivant toujours à la même conclusion : le taux de participation reste insuffisant !</w:t>
      </w:r>
    </w:p>
    <w:p w:rsidR="00626F0F" w:rsidRDefault="00173380" w:rsidP="0099044D">
      <w:pPr>
        <w:pStyle w:val="Textebrut"/>
      </w:pPr>
      <w:hyperlink r:id="rId99" w:history="1">
        <w:r w:rsidR="0099044D" w:rsidRPr="00425447">
          <w:rPr>
            <w:rStyle w:val="Lienhypertexte"/>
          </w:rPr>
          <w:t>https://www.lemoniteurdespharmacies.fr/actu/actualites/actus-socio-professionnelles/cancer-colorectal-les-efforts-des-pharmaciens-et-des-autres-pour-ameliorer-la-participation-au-depistage.html</w:t>
        </w:r>
      </w:hyperlink>
    </w:p>
    <w:p w:rsidR="00A07BE5" w:rsidRDefault="00A07BE5" w:rsidP="00A07BE5">
      <w:pPr>
        <w:pStyle w:val="Textebrut"/>
      </w:pPr>
      <w:r>
        <w:t>Dépistage du cancer colorectal : "A partir de 50 ans, c’est tous les 2 ans" (CNOP, 07/03/2024).</w:t>
      </w:r>
    </w:p>
    <w:p w:rsidR="00A07BE5" w:rsidRDefault="00A07BE5" w:rsidP="00A07BE5">
      <w:pPr>
        <w:pStyle w:val="Textebrut"/>
      </w:pPr>
      <w:r>
        <w:t xml:space="preserve">À l’occasion du mois de mobilisation contre le cancer colorectal, </w:t>
      </w:r>
      <w:proofErr w:type="spellStart"/>
      <w:r>
        <w:t>l’INCa</w:t>
      </w:r>
      <w:proofErr w:type="spellEnd"/>
      <w:r>
        <w:t xml:space="preserve"> déploie une nouvelle campagne pour sensibiliser les personnes concernées à l’importance de se faire dépister. Des outils d’information et de communication sont à votre disposition auprès du </w:t>
      </w:r>
      <w:proofErr w:type="spellStart"/>
      <w:r>
        <w:t>Cespharm</w:t>
      </w:r>
      <w:proofErr w:type="spellEnd"/>
    </w:p>
    <w:p w:rsidR="0099044D" w:rsidRDefault="00173380" w:rsidP="00A07BE5">
      <w:pPr>
        <w:pStyle w:val="Textebrut"/>
      </w:pPr>
      <w:hyperlink r:id="rId100" w:history="1">
        <w:r w:rsidR="00A07BE5" w:rsidRPr="00C66783">
          <w:rPr>
            <w:rStyle w:val="Lienhypertexte"/>
          </w:rPr>
          <w:t>https://www.ordre.pharmacien.fr/les-communications/focus-sur/les-actualites/depistage-du-cancer-colorectal-a-partir-de-50-ans-c-est-tous-les-2-ans</w:t>
        </w:r>
      </w:hyperlink>
    </w:p>
    <w:p w:rsidR="00A07BE5" w:rsidRDefault="00A07BE5" w:rsidP="00A07BE5">
      <w:pPr>
        <w:pStyle w:val="Textebrut"/>
      </w:pPr>
    </w:p>
    <w:p w:rsidR="0099044D" w:rsidRDefault="0099044D" w:rsidP="0099044D">
      <w:pPr>
        <w:pStyle w:val="Textebrut"/>
      </w:pPr>
      <w:r>
        <w:t>Faux négatifs de RAI de dépistage I-</w:t>
      </w:r>
      <w:proofErr w:type="spellStart"/>
      <w:r>
        <w:t>Mag</w:t>
      </w:r>
      <w:proofErr w:type="spellEnd"/>
      <w:r>
        <w:t>-</w:t>
      </w:r>
      <w:proofErr w:type="spellStart"/>
      <w:r>
        <w:t>Screen</w:t>
      </w:r>
      <w:proofErr w:type="spellEnd"/>
      <w:r>
        <w:t xml:space="preserve"> </w:t>
      </w:r>
      <w:proofErr w:type="spellStart"/>
      <w:r>
        <w:t>Diagast</w:t>
      </w:r>
      <w:proofErr w:type="spellEnd"/>
      <w:r>
        <w:t xml:space="preserve"> : des recommandations entrent en application (ANSM, 06/03/2024).</w:t>
      </w:r>
    </w:p>
    <w:p w:rsidR="0099044D" w:rsidRDefault="0099044D" w:rsidP="0099044D">
      <w:pPr>
        <w:pStyle w:val="Textebrut"/>
      </w:pPr>
      <w:r>
        <w:t xml:space="preserve">La société </w:t>
      </w:r>
      <w:proofErr w:type="spellStart"/>
      <w:r>
        <w:t>Diagast</w:t>
      </w:r>
      <w:proofErr w:type="spellEnd"/>
      <w:r>
        <w:t xml:space="preserve"> a rapporté en décembre 2023 une anomalie liée aux réactifs I-</w:t>
      </w:r>
      <w:proofErr w:type="spellStart"/>
      <w:r>
        <w:t>Mag</w:t>
      </w:r>
      <w:proofErr w:type="spellEnd"/>
      <w:r>
        <w:t>-</w:t>
      </w:r>
      <w:proofErr w:type="spellStart"/>
      <w:r>
        <w:t>Screen</w:t>
      </w:r>
      <w:proofErr w:type="spellEnd"/>
      <w:r>
        <w:t xml:space="preserve"> utilisés dans la recherche d'agglutinines irrégulières (RAI) de dépistage. Ce dépistage est nécessaire pour sécuriser la réalisation d’une transfusion et le suivi des grossesses. Or, les réactifs I-</w:t>
      </w:r>
      <w:proofErr w:type="spellStart"/>
      <w:r>
        <w:t>Mag</w:t>
      </w:r>
      <w:proofErr w:type="spellEnd"/>
      <w:r>
        <w:t>-</w:t>
      </w:r>
      <w:proofErr w:type="spellStart"/>
      <w:r>
        <w:t>Screen</w:t>
      </w:r>
      <w:proofErr w:type="spellEnd"/>
      <w:r>
        <w:t xml:space="preserve"> sont susceptibles dans de rares cas de produire de faux résultats négatifs.</w:t>
      </w:r>
    </w:p>
    <w:p w:rsidR="0099044D" w:rsidRDefault="0099044D" w:rsidP="0099044D">
      <w:pPr>
        <w:pStyle w:val="Textebrut"/>
      </w:pPr>
      <w:r>
        <w:t xml:space="preserve">Des mesures de contrôle qualité renforcées ont été demandées aux laboratoires de biologie médicale par </w:t>
      </w:r>
      <w:proofErr w:type="spellStart"/>
      <w:r>
        <w:t>Diagast</w:t>
      </w:r>
      <w:proofErr w:type="spellEnd"/>
      <w:r>
        <w:t>. À ce jour, aucune déclaration d’hémovigilance n’a été rapportée, que ce soit en France ou à l’étranger</w:t>
      </w:r>
    </w:p>
    <w:p w:rsidR="00626F0F" w:rsidRDefault="00173380" w:rsidP="0099044D">
      <w:pPr>
        <w:pStyle w:val="Textebrut"/>
      </w:pPr>
      <w:hyperlink r:id="rId101" w:history="1">
        <w:r w:rsidR="0099044D" w:rsidRPr="00425447">
          <w:rPr>
            <w:rStyle w:val="Lienhypertexte"/>
          </w:rPr>
          <w:t>https://ansm.sante.fr/actualites/faux-negatifs-de-rai-de-depistage-i-mag-screen-diagast-des-recommandations-entrent-en-application</w:t>
        </w:r>
      </w:hyperlink>
    </w:p>
    <w:p w:rsidR="0099044D" w:rsidRDefault="0099044D" w:rsidP="0099044D">
      <w:pPr>
        <w:pStyle w:val="Textebrut"/>
      </w:pPr>
    </w:p>
    <w:p w:rsidR="0099044D" w:rsidRDefault="000C3971" w:rsidP="0099044D">
      <w:pPr>
        <w:pStyle w:val="Textebrut"/>
      </w:pPr>
      <w:r w:rsidRPr="000C3971">
        <w:t>Double contrôle de délivrance d’une ordonnance à l’officine (Prescrire, mars 2024)</w:t>
      </w:r>
    </w:p>
    <w:p w:rsidR="000C3971" w:rsidRDefault="00173380" w:rsidP="0099044D">
      <w:pPr>
        <w:pStyle w:val="Textebrut"/>
      </w:pPr>
      <w:hyperlink r:id="rId102" w:history="1">
        <w:r w:rsidR="000C3971" w:rsidRPr="00425447">
          <w:rPr>
            <w:rStyle w:val="Lienhypertexte"/>
          </w:rPr>
          <w:t>https://peps.sante.gouv.fr/actu/2024/24_prescrire_double-controle-ordo_mars2024.pdf</w:t>
        </w:r>
      </w:hyperlink>
    </w:p>
    <w:p w:rsidR="000C3971" w:rsidRDefault="000C3971" w:rsidP="0099044D">
      <w:pPr>
        <w:pStyle w:val="Textebrut"/>
      </w:pPr>
    </w:p>
    <w:p w:rsidR="00EB53D1" w:rsidRDefault="00EB53D1" w:rsidP="00EB53D1">
      <w:pPr>
        <w:pStyle w:val="Textebrut"/>
      </w:pPr>
      <w:r>
        <w:t xml:space="preserve">Risques liés à la </w:t>
      </w:r>
      <w:proofErr w:type="spellStart"/>
      <w:r>
        <w:t>pseudoéphédrine</w:t>
      </w:r>
      <w:proofErr w:type="spellEnd"/>
      <w:r>
        <w:t xml:space="preserve"> : les pharmaciens informent-ils suffisamment bien leurs patients ? (Le Quotidien du pharmacien, 07/03/2024. Article réservé aux abonnés.</w:t>
      </w:r>
    </w:p>
    <w:p w:rsidR="00EB53D1" w:rsidRDefault="00EB53D1" w:rsidP="00EB53D1">
      <w:pPr>
        <w:pStyle w:val="Textebrut"/>
      </w:pPr>
      <w:r w:rsidRPr="00EB53D1">
        <w:t xml:space="preserve">Des journalistes du magazine de « France 2 » Envoyé spécial se sont rendus dans plusieurs pharmacies pour acheter des médicaments anti-rhume contenant de la </w:t>
      </w:r>
      <w:proofErr w:type="spellStart"/>
      <w:r w:rsidRPr="00EB53D1">
        <w:t>pseudoéphédrine</w:t>
      </w:r>
      <w:proofErr w:type="spellEnd"/>
      <w:r w:rsidRPr="00EB53D1">
        <w:t xml:space="preserve"> et voir quels conseils leur prodiguaient les officinaux. Alors que ces spécialités sont aujourd’hui déconseillées par l’Agence nationale de sécurité du médicament (ANSM), quatre pharmaciens, sur neuf sollicités, ont délivré ces médicaments sans poser de question</w:t>
      </w:r>
    </w:p>
    <w:p w:rsidR="000C3971" w:rsidRDefault="00173380" w:rsidP="00EB53D1">
      <w:pPr>
        <w:pStyle w:val="Textebrut"/>
      </w:pPr>
      <w:hyperlink r:id="rId103" w:history="1">
        <w:r w:rsidR="00EB53D1" w:rsidRPr="00750D2B">
          <w:rPr>
            <w:rStyle w:val="Lienhypertexte"/>
          </w:rPr>
          <w:t>https://www.lequotidiendupharmacien.fr/exercice-pro/risques-lies-la-pseudoephedrine-les-pharmaciens-informent-ils-suffisamment-bien-leurs-patients</w:t>
        </w:r>
      </w:hyperlink>
    </w:p>
    <w:p w:rsidR="00EB53D1" w:rsidRDefault="00EB53D1" w:rsidP="00EB53D1">
      <w:pPr>
        <w:pStyle w:val="Textebrut"/>
      </w:pPr>
    </w:p>
    <w:p w:rsidR="00EB53D1" w:rsidRDefault="00EB53D1" w:rsidP="00EB53D1">
      <w:pPr>
        <w:pStyle w:val="Textebrut"/>
      </w:pPr>
      <w:r>
        <w:t>Négociations conventionnelles - Assurance-maladie : 20 000 euros par an pour les pharmacies en territoires fragiles (Le Quotidien du pharmacien, 07/03/2024).</w:t>
      </w:r>
    </w:p>
    <w:p w:rsidR="00EB53D1" w:rsidRDefault="00EB53D1" w:rsidP="00EB53D1">
      <w:pPr>
        <w:pStyle w:val="Textebrut"/>
      </w:pPr>
      <w:r>
        <w:t>Lors de la plénière multilatérale avec les syndicats de pharmaciens, mardi 5 mars, l’assurance-maladie s’est abstenue de s’engager sur le volet économique de la convention pharmaceutique, et plus particulièrement sur la revalorisation des honoraires de dispensation. Elle s’est, en revanche, penchée sur un aspect spécifique de l’économie officinale : la viabilité des officines situées en territoires fragiles</w:t>
      </w:r>
    </w:p>
    <w:p w:rsidR="00EB53D1" w:rsidRDefault="00173380" w:rsidP="00EB53D1">
      <w:pPr>
        <w:pStyle w:val="Textebrut"/>
      </w:pPr>
      <w:hyperlink r:id="rId104" w:history="1">
        <w:r w:rsidR="00EB53D1" w:rsidRPr="00750D2B">
          <w:rPr>
            <w:rStyle w:val="Lienhypertexte"/>
          </w:rPr>
          <w:t>https://www.lequotidiendupharmacien.fr/exercice-pro/assurance-maladie-20-000-euros-par-pour-les-pharmacies-en-territoires-fragiles</w:t>
        </w:r>
      </w:hyperlink>
    </w:p>
    <w:p w:rsidR="00EB53D1" w:rsidRDefault="00EB53D1" w:rsidP="00EB53D1">
      <w:pPr>
        <w:pStyle w:val="Textebrut"/>
      </w:pPr>
    </w:p>
    <w:p w:rsidR="00EB53D1" w:rsidRDefault="00EB53D1" w:rsidP="00EB53D1">
      <w:pPr>
        <w:pStyle w:val="Textebrut"/>
      </w:pPr>
      <w:r>
        <w:t>Selon la ministre du Travail et de la Santé - Dépistage de l’endométriose : le test salivaire devrait être remboursé en 2025 (Le Quotidien du pharmacien, 07/03/2024). Article réservé aux abonnés.</w:t>
      </w:r>
    </w:p>
    <w:p w:rsidR="00EB53D1" w:rsidRDefault="00EB53D1" w:rsidP="00EB53D1">
      <w:pPr>
        <w:pStyle w:val="Textebrut"/>
      </w:pPr>
      <w:r>
        <w:lastRenderedPageBreak/>
        <w:t xml:space="preserve">À partir de 2025, le test de dépistage de l’endométriose, </w:t>
      </w:r>
      <w:proofErr w:type="spellStart"/>
      <w:r>
        <w:t>Endotest</w:t>
      </w:r>
      <w:proofErr w:type="spellEnd"/>
      <w:r>
        <w:t>, devrait être disponible et pris en charge par la Sécurité sociale pour toutes les femmes concernées, a annoncé la ministre du Travail et de la Santé, avant même que la Haute Autorité de santé n’ait donné son avis final sur la pertinence de cette prise en charge</w:t>
      </w:r>
    </w:p>
    <w:p w:rsidR="00EB53D1" w:rsidRDefault="00173380" w:rsidP="00EB53D1">
      <w:pPr>
        <w:pStyle w:val="Textebrut"/>
      </w:pPr>
      <w:hyperlink r:id="rId105" w:history="1">
        <w:r w:rsidR="00EB53D1" w:rsidRPr="00750D2B">
          <w:rPr>
            <w:rStyle w:val="Lienhypertexte"/>
          </w:rPr>
          <w:t>https://www.lequotidiendupharmacien.fr/medicament-parapharmacie/depistage-de-lendometriose-le-test-salivaire-devrait-etre-rembourse-en-2025</w:t>
        </w:r>
      </w:hyperlink>
    </w:p>
    <w:p w:rsidR="00EB53D1" w:rsidRDefault="00EB53D1" w:rsidP="00EB53D1">
      <w:pPr>
        <w:pStyle w:val="Textebrut"/>
      </w:pPr>
    </w:p>
    <w:p w:rsidR="001C09BA" w:rsidRDefault="001C09BA" w:rsidP="001C09BA">
      <w:pPr>
        <w:pStyle w:val="Textebrut"/>
      </w:pPr>
      <w:r>
        <w:t>Rappel de deux lots de la spécialité BCG-</w:t>
      </w:r>
      <w:proofErr w:type="spellStart"/>
      <w:r>
        <w:t>Medac</w:t>
      </w:r>
      <w:proofErr w:type="spellEnd"/>
      <w:r>
        <w:t xml:space="preserve"> en raison d’un possible défaut d’étanchéité du flacon (ANSM, 07/03/2024).</w:t>
      </w:r>
    </w:p>
    <w:p w:rsidR="001C09BA" w:rsidRDefault="001C09BA" w:rsidP="001C09BA">
      <w:pPr>
        <w:pStyle w:val="Textebrut"/>
      </w:pPr>
      <w:r>
        <w:t xml:space="preserve">Nous avons été informés par le laboratoire </w:t>
      </w:r>
      <w:proofErr w:type="spellStart"/>
      <w:r>
        <w:t>Medac</w:t>
      </w:r>
      <w:proofErr w:type="spellEnd"/>
      <w:r>
        <w:t xml:space="preserve"> SAS de l’identification d’un défaut d’étanchéité des flacons présents dans certaines boîtes des lots C230298A et C230298D de la spécialité BCG-</w:t>
      </w:r>
      <w:proofErr w:type="spellStart"/>
      <w:r>
        <w:t>Medac</w:t>
      </w:r>
      <w:proofErr w:type="spellEnd"/>
      <w:r>
        <w:t>.</w:t>
      </w:r>
    </w:p>
    <w:p w:rsidR="001C09BA" w:rsidRDefault="001C09BA" w:rsidP="001C09BA">
      <w:pPr>
        <w:pStyle w:val="Textebrut"/>
      </w:pPr>
      <w:r>
        <w:t xml:space="preserve">Les pharmacies hospitalières ayant délivré ce produit doivent contacter les patients concernés afin de procéder à un échange de boîtes avec un lot conforme. Les patients ayant chez eux une boîte du lot concerné </w:t>
      </w:r>
      <w:proofErr w:type="gramStart"/>
      <w:r>
        <w:t>doivent</w:t>
      </w:r>
      <w:proofErr w:type="gramEnd"/>
      <w:r>
        <w:t xml:space="preserve"> la rapporter à la pharmacie hospitalière qui l’a délivrée pour qu’elle soit remplacée. Aucun cas de pharmacovigilance en lien avec ce défaut qualité n'a été rapporté au laboratoire à ce jour. Ce défaut d’étanchéité n’a été rapporté que sur un faible nombre de flacons issus de ces lots</w:t>
      </w:r>
    </w:p>
    <w:p w:rsidR="00EB53D1" w:rsidRDefault="00173380" w:rsidP="001C09BA">
      <w:pPr>
        <w:pStyle w:val="Textebrut"/>
      </w:pPr>
      <w:hyperlink r:id="rId106" w:history="1">
        <w:r w:rsidR="001C09BA" w:rsidRPr="00C66783">
          <w:rPr>
            <w:rStyle w:val="Lienhypertexte"/>
          </w:rPr>
          <w:t>https://ansm.sante.fr/actualites/rappel-de-deux-lots-de-la-specialite-bcg-medac-en-raison-dun-possible-defaut-detancheite-du-flacon</w:t>
        </w:r>
      </w:hyperlink>
    </w:p>
    <w:p w:rsidR="001C09BA" w:rsidRDefault="001C09BA" w:rsidP="001C09BA">
      <w:pPr>
        <w:pStyle w:val="Textebrut"/>
      </w:pPr>
    </w:p>
    <w:p w:rsidR="008126B0" w:rsidRDefault="008126B0" w:rsidP="008126B0">
      <w:pPr>
        <w:pStyle w:val="Textebrut"/>
      </w:pPr>
      <w:proofErr w:type="gramStart"/>
      <w:r>
        <w:t>La HAS</w:t>
      </w:r>
      <w:proofErr w:type="gramEnd"/>
      <w:r>
        <w:t xml:space="preserve"> actualise la stratégie de vaccination contre le zona (HAS, 07/03/2024).</w:t>
      </w:r>
    </w:p>
    <w:p w:rsidR="008126B0" w:rsidRDefault="008126B0" w:rsidP="008126B0">
      <w:pPr>
        <w:pStyle w:val="Textebrut"/>
      </w:pPr>
      <w:r>
        <w:t xml:space="preserve">Causé par la réactivation du virus varicelle-zona, le zona est une affection virale de la peau et des muqueuses qui touche particulièrement les personnes âgées. En France, le Haut conseil de la santé publique a recommandé en 2013 l’administration du vaccin </w:t>
      </w:r>
      <w:proofErr w:type="spellStart"/>
      <w:r>
        <w:t>Zostavax</w:t>
      </w:r>
      <w:proofErr w:type="spellEnd"/>
      <w:r>
        <w:t xml:space="preserve"> aux adultes de 65 à 74 ans révolus. </w:t>
      </w:r>
      <w:proofErr w:type="gramStart"/>
      <w:r>
        <w:t>La HAS</w:t>
      </w:r>
      <w:proofErr w:type="gramEnd"/>
      <w:r>
        <w:t xml:space="preserve"> a été saisie par la Direction générale de la santé afin d’actualiser cette stratégie, notamment en évaluant les données concernant un autre vaccin, </w:t>
      </w:r>
      <w:proofErr w:type="spellStart"/>
      <w:r>
        <w:t>Shingrix</w:t>
      </w:r>
      <w:proofErr w:type="spellEnd"/>
      <w:r>
        <w:t xml:space="preserve">. À l’issue de son analyse, </w:t>
      </w:r>
      <w:proofErr w:type="gramStart"/>
      <w:r>
        <w:t>la HAS</w:t>
      </w:r>
      <w:proofErr w:type="gramEnd"/>
      <w:r>
        <w:t xml:space="preserve"> recommande la vaccination des personnes immunodéprimées de 18 ans et plus et de tous les adultes de 65 ans et plus avec le vaccin </w:t>
      </w:r>
      <w:proofErr w:type="spellStart"/>
      <w:r>
        <w:t>Shingrix</w:t>
      </w:r>
      <w:proofErr w:type="spellEnd"/>
    </w:p>
    <w:p w:rsidR="001C09BA" w:rsidRDefault="00173380" w:rsidP="008126B0">
      <w:pPr>
        <w:pStyle w:val="Textebrut"/>
      </w:pPr>
      <w:hyperlink r:id="rId107" w:history="1">
        <w:r w:rsidR="008126B0" w:rsidRPr="00C66783">
          <w:rPr>
            <w:rStyle w:val="Lienhypertexte"/>
          </w:rPr>
          <w:t>https://www.has-sante.fr/jcms/p_3499761/fr/la-has-actualise-la-strategie-de-vaccination-contre-le-zona</w:t>
        </w:r>
      </w:hyperlink>
    </w:p>
    <w:p w:rsidR="008126B0" w:rsidRDefault="008126B0" w:rsidP="008126B0">
      <w:pPr>
        <w:pStyle w:val="Textebrut"/>
      </w:pPr>
      <w:r>
        <w:t xml:space="preserve">Recommandations vaccinales contre le Zona. Place du vaccin </w:t>
      </w:r>
      <w:proofErr w:type="spellStart"/>
      <w:r>
        <w:t>Shingrix</w:t>
      </w:r>
      <w:proofErr w:type="spellEnd"/>
      <w:r>
        <w:t xml:space="preserve"> (HAS, 07/03/2024)</w:t>
      </w:r>
    </w:p>
    <w:p w:rsidR="008126B0" w:rsidRDefault="00173380" w:rsidP="008126B0">
      <w:pPr>
        <w:pStyle w:val="Textebrut"/>
      </w:pPr>
      <w:hyperlink r:id="rId108" w:history="1">
        <w:r w:rsidR="008126B0" w:rsidRPr="00C66783">
          <w:rPr>
            <w:rStyle w:val="Lienhypertexte"/>
          </w:rPr>
          <w:t>https://www.has-sante.fr/jcms/p_3498915/fr/recommandations-vaccinales-contre-le-zona-place-du-vaccin-shingrix</w:t>
        </w:r>
      </w:hyperlink>
    </w:p>
    <w:p w:rsidR="008126B0" w:rsidRDefault="008126B0" w:rsidP="008126B0">
      <w:pPr>
        <w:pStyle w:val="Textebrut"/>
      </w:pPr>
    </w:p>
    <w:p w:rsidR="008126B0" w:rsidRDefault="008126B0" w:rsidP="008126B0">
      <w:pPr>
        <w:pStyle w:val="Textebrut"/>
      </w:pPr>
      <w:r>
        <w:t xml:space="preserve">Persistance et sécurité des </w:t>
      </w:r>
      <w:proofErr w:type="spellStart"/>
      <w:r>
        <w:t>biosimilaires</w:t>
      </w:r>
      <w:proofErr w:type="spellEnd"/>
      <w:r>
        <w:t xml:space="preserve"> d’anti-TNF par rapport aux médicaments biologiques de référence (EPI-Phare, 07/03/2024).</w:t>
      </w:r>
    </w:p>
    <w:p w:rsidR="008126B0" w:rsidRDefault="008126B0" w:rsidP="008126B0">
      <w:pPr>
        <w:pStyle w:val="Textebrut"/>
      </w:pPr>
      <w:r>
        <w:t xml:space="preserve">Objectifs : L’équivalence </w:t>
      </w:r>
      <w:proofErr w:type="spellStart"/>
      <w:r>
        <w:t>biosimilaire</w:t>
      </w:r>
      <w:proofErr w:type="spellEnd"/>
      <w:r>
        <w:t>-médicament biologique de référence a été démontrée lors d’essais cliniques de phase 3 dans quelques indications de l’</w:t>
      </w:r>
      <w:proofErr w:type="spellStart"/>
      <w:r>
        <w:t>infliximab</w:t>
      </w:r>
      <w:proofErr w:type="spellEnd"/>
      <w:r>
        <w:t>, de l’</w:t>
      </w:r>
      <w:proofErr w:type="spellStart"/>
      <w:r>
        <w:t>étanercept</w:t>
      </w:r>
      <w:proofErr w:type="spellEnd"/>
      <w:r>
        <w:t xml:space="preserve"> et de l’</w:t>
      </w:r>
      <w:proofErr w:type="spellStart"/>
      <w:r>
        <w:t>adalimumab</w:t>
      </w:r>
      <w:proofErr w:type="spellEnd"/>
      <w:r>
        <w:t xml:space="preserve">. L’objectif de notre étude était de comparer la persistance et la sécurité des </w:t>
      </w:r>
      <w:proofErr w:type="spellStart"/>
      <w:r>
        <w:t>biosimilaires</w:t>
      </w:r>
      <w:proofErr w:type="spellEnd"/>
      <w:r>
        <w:t xml:space="preserve"> par rapport aux médicaments de référence dans toutes les indications autorisées de ces molécules.</w:t>
      </w:r>
    </w:p>
    <w:p w:rsidR="008126B0" w:rsidRDefault="008126B0" w:rsidP="008126B0">
      <w:pPr>
        <w:pStyle w:val="Textebrut"/>
      </w:pPr>
      <w:r>
        <w:t xml:space="preserve">Conclusion : Notre étude montre des résultats rassurants concernant la persistance et la sécurité des traitements par </w:t>
      </w:r>
      <w:proofErr w:type="spellStart"/>
      <w:r>
        <w:t>biosimilaires</w:t>
      </w:r>
      <w:proofErr w:type="spellEnd"/>
      <w:r>
        <w:t xml:space="preserve"> des anti-TNF alpha par rapport aux médicaments biologiques de référence dans toutes les indications autorisées</w:t>
      </w:r>
    </w:p>
    <w:p w:rsidR="008126B0" w:rsidRDefault="00173380" w:rsidP="008126B0">
      <w:pPr>
        <w:pStyle w:val="Textebrut"/>
      </w:pPr>
      <w:hyperlink r:id="rId109" w:history="1">
        <w:r w:rsidR="008126B0" w:rsidRPr="00C66783">
          <w:rPr>
            <w:rStyle w:val="Lienhypertexte"/>
          </w:rPr>
          <w:t>https://www.epi-phare.fr/rapports-detudes-et-publications/persistance-securite-biosimilaire/</w:t>
        </w:r>
      </w:hyperlink>
    </w:p>
    <w:p w:rsidR="008126B0" w:rsidRDefault="008126B0" w:rsidP="008126B0">
      <w:pPr>
        <w:pStyle w:val="Textebrut"/>
      </w:pPr>
    </w:p>
    <w:p w:rsidR="00451DD0" w:rsidRDefault="00451DD0" w:rsidP="00451DD0">
      <w:pPr>
        <w:pStyle w:val="Textebrut"/>
      </w:pPr>
      <w:r>
        <w:t>Biothérapies : la levée de la prescription initiale hospitalière est-elle un moyen de lutte contre la désertification médicale ? (Le Moniteur des pharmacies, 07/03/2024).</w:t>
      </w:r>
    </w:p>
    <w:p w:rsidR="00451DD0" w:rsidRDefault="00451DD0" w:rsidP="00451DD0">
      <w:pPr>
        <w:pStyle w:val="Textebrut"/>
      </w:pPr>
      <w:r>
        <w:t xml:space="preserve">A l’occasion de la deuxième édition des universités de l’eczéma qui se sont tenues ce mercredi 6 mars à l’initiative de l’Association française de l’eczéma, le Dr Marc </w:t>
      </w:r>
      <w:proofErr w:type="spellStart"/>
      <w:r>
        <w:t>Perrussel</w:t>
      </w:r>
      <w:proofErr w:type="spellEnd"/>
      <w:r>
        <w:t xml:space="preserve"> est revenu sur la levée imminente de la </w:t>
      </w:r>
      <w:proofErr w:type="spellStart"/>
      <w:r>
        <w:t>primoprescription</w:t>
      </w:r>
      <w:proofErr w:type="spellEnd"/>
      <w:r>
        <w:t xml:space="preserve"> hospitalière des biothérapies notamment en dermatologie. Il y voit un moyen de favoriser l’installation des dermatologues en ville</w:t>
      </w:r>
    </w:p>
    <w:p w:rsidR="00451DD0" w:rsidRDefault="00173380" w:rsidP="00451DD0">
      <w:pPr>
        <w:pStyle w:val="Textebrut"/>
      </w:pPr>
      <w:hyperlink r:id="rId110" w:history="1">
        <w:r w:rsidR="00451DD0" w:rsidRPr="00C66783">
          <w:rPr>
            <w:rStyle w:val="Lienhypertexte"/>
          </w:rPr>
          <w:t>https://www.lemoniteurdespharmacies.fr/actu/actualites/actus-medicaments/biotherapies-la-levee-de-la-prescription-initiale-hospitaliere-est-elle-un-moyen-de-lutte-contre-la-desertification-medicale.html</w:t>
        </w:r>
      </w:hyperlink>
    </w:p>
    <w:p w:rsidR="00451DD0" w:rsidRDefault="00451DD0" w:rsidP="00451DD0">
      <w:pPr>
        <w:pStyle w:val="Textebrut"/>
      </w:pPr>
    </w:p>
    <w:p w:rsidR="008126B0" w:rsidRDefault="008126B0" w:rsidP="008126B0">
      <w:pPr>
        <w:pStyle w:val="Textebrut"/>
      </w:pPr>
      <w:proofErr w:type="spellStart"/>
      <w:r>
        <w:t>Trod</w:t>
      </w:r>
      <w:proofErr w:type="spellEnd"/>
      <w:r>
        <w:t xml:space="preserve"> angine et cystite : l’incompréhension des organismes de formation (Le Moniteur des pharmacies, 07/03/2024).</w:t>
      </w:r>
    </w:p>
    <w:p w:rsidR="008126B0" w:rsidRDefault="008126B0" w:rsidP="008126B0">
      <w:pPr>
        <w:pStyle w:val="Textebrut"/>
      </w:pPr>
      <w:r>
        <w:lastRenderedPageBreak/>
        <w:t xml:space="preserve">Mission promue dans un contexte de pénurie des antibiotiques et de montée de l’antibiorésistance, la réalisation du </w:t>
      </w:r>
      <w:proofErr w:type="spellStart"/>
      <w:r>
        <w:t>Trod</w:t>
      </w:r>
      <w:proofErr w:type="spellEnd"/>
      <w:r>
        <w:t xml:space="preserve"> de l’angine et, récemment, de la cystite s’installe à l’officine. Mais, les contours de la formation à ces nouvelles missions ainsi que sa prise en charge sont devenus opaques, suscitant l’agacement des organismes de formation rassemblés au sein de l’</w:t>
      </w:r>
      <w:proofErr w:type="spellStart"/>
      <w:r>
        <w:t>Unoformation</w:t>
      </w:r>
      <w:proofErr w:type="spellEnd"/>
    </w:p>
    <w:p w:rsidR="008126B0" w:rsidRDefault="00173380" w:rsidP="008126B0">
      <w:pPr>
        <w:pStyle w:val="Textebrut"/>
      </w:pPr>
      <w:hyperlink r:id="rId111" w:history="1">
        <w:r w:rsidR="000320E3" w:rsidRPr="00C66783">
          <w:rPr>
            <w:rStyle w:val="Lienhypertexte"/>
          </w:rPr>
          <w:t>https://www.lemoniteurdespharmacies.fr/actu/actualites/actus-socio-professionnelles/trod-angine-et-cystite-l-incomprehension-des-organismes-de-formation.html</w:t>
        </w:r>
      </w:hyperlink>
    </w:p>
    <w:p w:rsidR="000320E3" w:rsidRDefault="000320E3" w:rsidP="008126B0">
      <w:pPr>
        <w:pStyle w:val="Textebrut"/>
      </w:pPr>
    </w:p>
    <w:p w:rsidR="00451DD0" w:rsidRDefault="00451DD0" w:rsidP="00451DD0">
      <w:pPr>
        <w:pStyle w:val="Textebrut"/>
      </w:pPr>
      <w:r>
        <w:t>Produits de contraste : fin du remboursement en ville le 1er avril (CNOP, 07/03/2024).</w:t>
      </w:r>
    </w:p>
    <w:p w:rsidR="00451DD0" w:rsidRDefault="00451DD0" w:rsidP="00451DD0">
      <w:pPr>
        <w:pStyle w:val="Textebrut"/>
      </w:pPr>
      <w:r>
        <w:t>Quatre arrêtés du 28 février 2024 portant radiation de produits de contraste de la liste des spécialités remboursables ont été publiés au Journal Officiel du 5 mars 2024. Un double circuit de distribution des produits de contraste est mis en place durant une période transitoire d’un mois, jusqu’au 31 mars 2024, afin d’éviter les interruptions de prise en charge des patients et les ruptures de stocks</w:t>
      </w:r>
    </w:p>
    <w:p w:rsidR="000320E3" w:rsidRDefault="00173380" w:rsidP="00451DD0">
      <w:pPr>
        <w:pStyle w:val="Textebrut"/>
      </w:pPr>
      <w:hyperlink r:id="rId112" w:history="1">
        <w:r w:rsidR="00451DD0" w:rsidRPr="00C66783">
          <w:rPr>
            <w:rStyle w:val="Lienhypertexte"/>
          </w:rPr>
          <w:t>https://www.ordre.pharmacien.fr/les-communications/focus-sur/les-actualites/produits-de-contraste-fin-du-remboursement-en-ville-le-1er-avril</w:t>
        </w:r>
      </w:hyperlink>
    </w:p>
    <w:p w:rsidR="00451DD0" w:rsidRDefault="00451DD0" w:rsidP="00451DD0">
      <w:pPr>
        <w:pStyle w:val="Textebrut"/>
      </w:pPr>
    </w:p>
    <w:p w:rsidR="00451DD0" w:rsidRDefault="00451DD0" w:rsidP="00451DD0">
      <w:pPr>
        <w:pStyle w:val="Textebrut"/>
      </w:pPr>
      <w:r>
        <w:t>Pharmaciens : devenez les ambassadeurs de vos métiers ! (CNOP, 07/03/2024).</w:t>
      </w:r>
    </w:p>
    <w:p w:rsidR="00451DD0" w:rsidRDefault="00451DD0" w:rsidP="00451DD0">
      <w:pPr>
        <w:pStyle w:val="Textebrut"/>
      </w:pPr>
      <w:r>
        <w:t>Suite au lancement de sa nouvelle campagne pour l’attractivité des études et des métiers de la pharmacie, l’Ordre national des pharmaciens appelle l’ensemble des pharmaciens à devenir, à leur tour, ambassadeurs de la profession</w:t>
      </w:r>
    </w:p>
    <w:p w:rsidR="00451DD0" w:rsidRDefault="00173380" w:rsidP="00451DD0">
      <w:pPr>
        <w:pStyle w:val="Textebrut"/>
      </w:pPr>
      <w:hyperlink r:id="rId113" w:history="1">
        <w:r w:rsidR="00451DD0" w:rsidRPr="00C66783">
          <w:rPr>
            <w:rStyle w:val="Lienhypertexte"/>
          </w:rPr>
          <w:t>https://www.ordre.pharmacien.fr/les-communications/focus-sur/les-actualites/pharmaciens-devenez-les-ambassadeurs-de-vos-metiers</w:t>
        </w:r>
      </w:hyperlink>
    </w:p>
    <w:p w:rsidR="00451DD0" w:rsidRDefault="00451DD0" w:rsidP="00451DD0">
      <w:pPr>
        <w:pStyle w:val="Textebrut"/>
      </w:pPr>
    </w:p>
    <w:p w:rsidR="00DC7753" w:rsidRDefault="00DC7753" w:rsidP="00DC7753">
      <w:pPr>
        <w:pStyle w:val="Textebrut"/>
      </w:pPr>
      <w:r>
        <w:t>Lutte contre les dérives sectaires : lancement d'une campagne nationale de prévention (CNOP, 07/03/2024).</w:t>
      </w:r>
    </w:p>
    <w:p w:rsidR="00DC7753" w:rsidRDefault="00DC7753" w:rsidP="00DC7753">
      <w:pPr>
        <w:pStyle w:val="Textebrut"/>
      </w:pPr>
      <w:r>
        <w:t>Le Gouvernement lance une campagne nationale de communication pour sensibiliser le public aux dangers des dérives sectaires. Diffusée pour une durée d’un mois sur internet et les réseaux sociaux, la campagne porte sur quatre thématiques : santé, fortune, éducation, éveil spirituel</w:t>
      </w:r>
    </w:p>
    <w:p w:rsidR="00451DD0" w:rsidRDefault="00173380" w:rsidP="00DC7753">
      <w:pPr>
        <w:pStyle w:val="Textebrut"/>
      </w:pPr>
      <w:hyperlink r:id="rId114" w:history="1">
        <w:r w:rsidR="00DC7753" w:rsidRPr="00C66783">
          <w:rPr>
            <w:rStyle w:val="Lienhypertexte"/>
          </w:rPr>
          <w:t>https://www.ordre.pharmacien.fr/les-communications/focus-sur/les-actualites/lutte-contre-les-derives-sectaires-lancement-d-une-campagne-nationale-de-prevention</w:t>
        </w:r>
      </w:hyperlink>
    </w:p>
    <w:p w:rsidR="00DC7753" w:rsidRDefault="00DC7753" w:rsidP="00DC7753">
      <w:pPr>
        <w:pStyle w:val="Textebrut"/>
      </w:pPr>
    </w:p>
    <w:p w:rsidR="006A7005" w:rsidRDefault="006A7005" w:rsidP="006A7005">
      <w:pPr>
        <w:pStyle w:val="Textebrut"/>
      </w:pPr>
      <w:r>
        <w:t>Communiqué du 11/03/2024 - Forfait innovation : une 1ere technologie de sante inscrite au remboursement par l’assurance maladie.</w:t>
      </w:r>
    </w:p>
    <w:p w:rsidR="006A7005" w:rsidRDefault="006A7005" w:rsidP="006A7005">
      <w:pPr>
        <w:pStyle w:val="Textebrut"/>
      </w:pPr>
      <w:r>
        <w:t>Après l’avis favorable rendu par la haute autorité de santé (HAS), le test METAglut1TM est désormais pris en charge officiellement par l’assurance maladie depuis le 15 février. Ce test, utilisé pour le diagnostic de la maladie de Vivo, se caractérise par ses performances diagnostiques et les bénéfices apportés aux patients, avec une approche moins invasive et une facilité accrue d’utilisation. Depuis 2018, METAglut1™ était financé par le forfait innovation, dispositif dont la vocation est de favoriser l’accès sécurisé à des technologies de santé innovantes, d’accompagner les porteurs de projet et de recueillir des données cliniques et/ou médico-économiques pour le remboursement pérenne de ces technologies.</w:t>
      </w:r>
    </w:p>
    <w:p w:rsidR="006A7005" w:rsidRDefault="006A7005" w:rsidP="006A7005">
      <w:pPr>
        <w:pStyle w:val="Textebrut"/>
      </w:pPr>
      <w:r>
        <w:t>Il s’agit de la 1ère technologie de santé issue du forfait innovation à être remboursée en droit commun</w:t>
      </w:r>
    </w:p>
    <w:p w:rsidR="006A7005" w:rsidRDefault="00173380" w:rsidP="006A7005">
      <w:pPr>
        <w:pStyle w:val="Textebrut"/>
      </w:pPr>
      <w:hyperlink r:id="rId115" w:history="1">
        <w:r w:rsidR="006A7005" w:rsidRPr="0071307D">
          <w:rPr>
            <w:rStyle w:val="Lienhypertexte"/>
          </w:rPr>
          <w:t>https://sante.gouv.fr/actualites/presse/communiques-de-presse/article/forfait-innovation-une-1ere-technologie-de-sante-inscrite-au-remboursement-par</w:t>
        </w:r>
      </w:hyperlink>
    </w:p>
    <w:p w:rsidR="006A7005" w:rsidRDefault="006A7005" w:rsidP="006A7005">
      <w:pPr>
        <w:pStyle w:val="Textebrut"/>
      </w:pPr>
      <w:r>
        <w:t>Pour mémoire :</w:t>
      </w:r>
    </w:p>
    <w:p w:rsidR="006A7005" w:rsidRDefault="006A7005" w:rsidP="006A7005">
      <w:pPr>
        <w:pStyle w:val="Textebrut"/>
      </w:pPr>
      <w:r w:rsidRPr="006A7005">
        <w:t>Décision UNCAM du 02/01/2024 relative à la liste des actes et prestations pris en charge par l'assurance maladie</w:t>
      </w:r>
    </w:p>
    <w:p w:rsidR="00DC7753" w:rsidRDefault="00173380" w:rsidP="006A7005">
      <w:pPr>
        <w:pStyle w:val="Textebrut"/>
      </w:pPr>
      <w:hyperlink r:id="rId116" w:history="1">
        <w:r w:rsidR="006A7005" w:rsidRPr="0071307D">
          <w:rPr>
            <w:rStyle w:val="Lienhypertexte"/>
          </w:rPr>
          <w:t>https://www.legifrance.gouv.fr/jorf/id/JORFTEXT000049144839</w:t>
        </w:r>
      </w:hyperlink>
    </w:p>
    <w:p w:rsidR="006A7005" w:rsidRDefault="006A7005" w:rsidP="006A7005">
      <w:pPr>
        <w:pStyle w:val="Textebrut"/>
      </w:pPr>
    </w:p>
    <w:p w:rsidR="00F614BF" w:rsidRDefault="00F614BF" w:rsidP="00F614BF">
      <w:pPr>
        <w:pStyle w:val="Textebrut"/>
      </w:pPr>
      <w:r>
        <w:t>Tests génétiques sur Internet : la CNIL appelle à la vigilance (CNIL, 06/03/2024).</w:t>
      </w:r>
    </w:p>
    <w:p w:rsidR="00F614BF" w:rsidRDefault="00F614BF" w:rsidP="00F614BF">
      <w:pPr>
        <w:pStyle w:val="Textebrut"/>
      </w:pPr>
      <w:r>
        <w:t>Les tests génétiques vendus en kit sur Internet, notamment à visée généalogique, connaissent un fort succès. Qualifiés de « récréatifs », leur utilisation comporte pourtant des risques liés à la fiabilité des résultats et à l’absence de transparence sur l’utilisation des données personnelles sensibles recueillies</w:t>
      </w:r>
    </w:p>
    <w:p w:rsidR="008126B0" w:rsidRDefault="00173380" w:rsidP="00F614BF">
      <w:pPr>
        <w:pStyle w:val="Textebrut"/>
      </w:pPr>
      <w:hyperlink r:id="rId117" w:history="1">
        <w:r w:rsidR="00F614BF" w:rsidRPr="005A3B41">
          <w:rPr>
            <w:rStyle w:val="Lienhypertexte"/>
          </w:rPr>
          <w:t>https://cnil.fr/fr/tests-genetiques-sur-internet-la-cnil-appelle-la-vigilance</w:t>
        </w:r>
      </w:hyperlink>
    </w:p>
    <w:p w:rsidR="00F614BF" w:rsidRDefault="00F614BF" w:rsidP="00F614BF">
      <w:pPr>
        <w:pStyle w:val="Textebrut"/>
      </w:pPr>
    </w:p>
    <w:p w:rsidR="00F614BF" w:rsidRDefault="00F614BF" w:rsidP="00F614BF">
      <w:pPr>
        <w:pStyle w:val="Textebrut"/>
      </w:pPr>
      <w:r>
        <w:t>Les autotests de fertilité au banc d’essai (DGCCRF, 08/03/2024).</w:t>
      </w:r>
    </w:p>
    <w:p w:rsidR="00F614BF" w:rsidRDefault="00F614BF" w:rsidP="00F614BF">
      <w:pPr>
        <w:pStyle w:val="Textebrut"/>
      </w:pPr>
      <w:r>
        <w:lastRenderedPageBreak/>
        <w:t>En 2022-2023, la DGCCRF a mené une enquête afin de vérifier la sensibilité des autotests urinaires de grossesse, d’ovulation et de ménopause et la loyauté des informations fournies aux consommateurs. Les investigations ont mis en évidence des anomalies d’étiquetage et des défauts de sensibilité pour 4 produits sur 10</w:t>
      </w:r>
    </w:p>
    <w:p w:rsidR="00F614BF" w:rsidRDefault="00173380" w:rsidP="00F614BF">
      <w:pPr>
        <w:pStyle w:val="Textebrut"/>
      </w:pPr>
      <w:hyperlink r:id="rId118" w:history="1">
        <w:r w:rsidR="00F614BF" w:rsidRPr="005A3B41">
          <w:rPr>
            <w:rStyle w:val="Lienhypertexte"/>
          </w:rPr>
          <w:t>https://www.economie.gouv.fr/dgccrf/les-autotests-de-fertilite-au-banc-dessai</w:t>
        </w:r>
      </w:hyperlink>
    </w:p>
    <w:p w:rsidR="00F614BF" w:rsidRDefault="00F614BF" w:rsidP="00F614BF">
      <w:pPr>
        <w:pStyle w:val="Textebrut"/>
      </w:pPr>
    </w:p>
    <w:p w:rsidR="00BF5261" w:rsidRDefault="00BF5261" w:rsidP="00BF5261">
      <w:pPr>
        <w:pStyle w:val="Textebrut"/>
      </w:pPr>
      <w:r>
        <w:t>Enceinte, les médicaments, c’est (toujours) pas n’importe comment ! (ANSM, 12/03/2024)</w:t>
      </w:r>
    </w:p>
    <w:p w:rsidR="00BF5261" w:rsidRDefault="00BF5261" w:rsidP="00BF5261">
      <w:pPr>
        <w:pStyle w:val="Textebrut"/>
      </w:pPr>
      <w:r>
        <w:t>Nous lançons ce mardi 12 mars 2024 une phase de rappel de notre campagne d’information sur les médicaments et la grossesse. Cette campagne a pour objectif de sensibiliser les femmes et leur entourage aux risques liés à la prise de médicament pendant la grossesse. Ce rappel, 100% digital, se déclinera pendant 4 semaines sur différents supports</w:t>
      </w:r>
    </w:p>
    <w:p w:rsidR="00F614BF" w:rsidRDefault="00173380" w:rsidP="00BF5261">
      <w:pPr>
        <w:pStyle w:val="Textebrut"/>
      </w:pPr>
      <w:hyperlink r:id="rId119" w:history="1">
        <w:r w:rsidR="00BF5261" w:rsidRPr="005A3B41">
          <w:rPr>
            <w:rStyle w:val="Lienhypertexte"/>
          </w:rPr>
          <w:t>https://ansm.sante.fr/actualites/enceinte-les-medicaments-cest-toujours-pas-nimporte-comment</w:t>
        </w:r>
      </w:hyperlink>
    </w:p>
    <w:p w:rsidR="00BF5261" w:rsidRDefault="00BF5261" w:rsidP="00BF5261">
      <w:pPr>
        <w:pStyle w:val="Textebrut"/>
      </w:pPr>
      <w:r>
        <w:t>La campagne :</w:t>
      </w:r>
    </w:p>
    <w:p w:rsidR="00BF5261" w:rsidRDefault="00173380" w:rsidP="00BF5261">
      <w:pPr>
        <w:pStyle w:val="Textebrut"/>
      </w:pPr>
      <w:hyperlink r:id="rId120" w:history="1">
        <w:r w:rsidR="00BF5261" w:rsidRPr="005A3B41">
          <w:rPr>
            <w:rStyle w:val="Lienhypertexte"/>
          </w:rPr>
          <w:t>https://ansm.sante.fr/page/enceinte-les-medicaments-cest-pas-nimporte-comment</w:t>
        </w:r>
      </w:hyperlink>
    </w:p>
    <w:p w:rsidR="00BF5261" w:rsidRDefault="00BF5261" w:rsidP="00BF5261">
      <w:pPr>
        <w:pStyle w:val="Textebrut"/>
      </w:pPr>
    </w:p>
    <w:p w:rsidR="007A52B3" w:rsidRDefault="007A52B3" w:rsidP="007A52B3">
      <w:pPr>
        <w:pStyle w:val="Textebrut"/>
      </w:pPr>
      <w:r>
        <w:t>Soins écoresponsables : un questionnaire pour promouvoir les bonnes pratiques (ameli.fr, 07/03/2024).</w:t>
      </w:r>
    </w:p>
    <w:p w:rsidR="007A52B3" w:rsidRDefault="007A52B3" w:rsidP="007A52B3">
      <w:pPr>
        <w:pStyle w:val="Textebrut"/>
      </w:pPr>
      <w:r>
        <w:t>Dans le cadre de la transition écologique en santé, les professionnels exerçant en ville et/ou au sein de structures de soins et/ou médicosociales sont vivement invités à remplir un questionnaire en ligne dédié aux soins écoresponsables. Ce questionnaire sera ouvert jusqu’au 30 avril</w:t>
      </w:r>
    </w:p>
    <w:p w:rsidR="00BF5261" w:rsidRDefault="00173380" w:rsidP="007A52B3">
      <w:pPr>
        <w:pStyle w:val="Textebrut"/>
      </w:pPr>
      <w:hyperlink r:id="rId121" w:history="1">
        <w:r w:rsidR="007A52B3" w:rsidRPr="004D6410">
          <w:rPr>
            <w:rStyle w:val="Lienhypertexte"/>
          </w:rPr>
          <w:t>https://www.ameli.fr/laboratoire-danalyses-medicales/actualites/soins-ecoresponsables-un-questionnaire-pour-promouvoir-les-bonnes-pratiques</w:t>
        </w:r>
      </w:hyperlink>
    </w:p>
    <w:p w:rsidR="007A52B3" w:rsidRDefault="007A52B3" w:rsidP="007A52B3">
      <w:pPr>
        <w:pStyle w:val="Textebrut"/>
      </w:pPr>
    </w:p>
    <w:p w:rsidR="007A52B3" w:rsidRDefault="007A52B3" w:rsidP="007A52B3">
      <w:pPr>
        <w:pStyle w:val="Textebrut"/>
      </w:pPr>
      <w:r>
        <w:t>Remboursements de soins à fin janvier 2024 (ameli.fr, 28/02/2024).</w:t>
      </w:r>
    </w:p>
    <w:p w:rsidR="007A52B3" w:rsidRDefault="007A52B3" w:rsidP="007A52B3">
      <w:pPr>
        <w:pStyle w:val="Textebrut"/>
      </w:pPr>
      <w:r>
        <w:t>Les remboursements de soins du régime général évoluent de +2,8% sur les douze derniers mois (+0,7% pour les soins de ville, +5,4% pour les établissements sanitaires et + 3,5% pour la contribution au Fonds d’intervention régionale)</w:t>
      </w:r>
    </w:p>
    <w:p w:rsidR="007A52B3" w:rsidRDefault="00173380" w:rsidP="007A52B3">
      <w:pPr>
        <w:pStyle w:val="Textebrut"/>
      </w:pPr>
      <w:hyperlink r:id="rId122" w:history="1">
        <w:r w:rsidR="007A52B3" w:rsidRPr="004D6410">
          <w:rPr>
            <w:rStyle w:val="Lienhypertexte"/>
          </w:rPr>
          <w:t>https://www.assurance-maladie.ameli.fr/presse/2024-02-28-cp-depenses-fin-janvier-2024</w:t>
        </w:r>
      </w:hyperlink>
    </w:p>
    <w:p w:rsidR="007A52B3" w:rsidRDefault="007A52B3" w:rsidP="007A52B3">
      <w:pPr>
        <w:pStyle w:val="Textebrut"/>
      </w:pPr>
    </w:p>
    <w:p w:rsidR="004837FD" w:rsidRDefault="004837FD" w:rsidP="004837FD">
      <w:pPr>
        <w:pStyle w:val="Textebrut"/>
      </w:pPr>
      <w:r>
        <w:t>Accélérer les coopérations et les partages de tâches entre professionnels de santé (HAS, 13/03/2024).</w:t>
      </w:r>
    </w:p>
    <w:p w:rsidR="004837FD" w:rsidRDefault="004837FD" w:rsidP="004837FD">
      <w:pPr>
        <w:pStyle w:val="Textebrut"/>
      </w:pPr>
      <w:r>
        <w:t xml:space="preserve">Dans un système de santé confronté à de multiples défis, les coopérations et les partages de tâches entre professionnels de santé, sont de nature à réduire les délais d’accès aux soins, à renforcer l’attractivité des métiers et à améliorer la qualité des services rendus. Dès 2008, la Haute Autorité de santé et l’Observatoire national des professions de santé (ONDPS), plaidaient ensemble pour un « cadre rénové créant les conditions favorables au développement des nouvelles formes de coopération qui améliorent la qualité du système de santé ». A l’issue de 15 années d’efforts, </w:t>
      </w:r>
      <w:proofErr w:type="gramStart"/>
      <w:r>
        <w:t>la HAS</w:t>
      </w:r>
      <w:proofErr w:type="gramEnd"/>
      <w:r>
        <w:t xml:space="preserve"> a la conviction que cette politique publique doit franchir un nouveau cap</w:t>
      </w:r>
    </w:p>
    <w:p w:rsidR="007A52B3" w:rsidRDefault="00173380" w:rsidP="004837FD">
      <w:pPr>
        <w:pStyle w:val="Textebrut"/>
      </w:pPr>
      <w:hyperlink r:id="rId123" w:history="1">
        <w:r w:rsidR="004837FD" w:rsidRPr="004D6410">
          <w:rPr>
            <w:rStyle w:val="Lienhypertexte"/>
          </w:rPr>
          <w:t>https://www.has-sante.fr/jcms/p_3500091/fr/accelerer-les-cooperations-et-les-partages-de-taches-entre-professionnels-de-sante</w:t>
        </w:r>
      </w:hyperlink>
    </w:p>
    <w:p w:rsidR="004837FD" w:rsidRDefault="004837FD" w:rsidP="004837FD">
      <w:pPr>
        <w:pStyle w:val="Textebrut"/>
      </w:pPr>
    </w:p>
    <w:p w:rsidR="00060E11" w:rsidRDefault="00060E11" w:rsidP="00060E11">
      <w:pPr>
        <w:pStyle w:val="Textebrut"/>
      </w:pPr>
      <w:r>
        <w:t xml:space="preserve">25 recommandations pour l'IA en France (Commission de l’IA, 13/03/2024). </w:t>
      </w:r>
      <w:proofErr w:type="spellStart"/>
      <w:r>
        <w:t>NdlR</w:t>
      </w:r>
      <w:proofErr w:type="spellEnd"/>
      <w:r>
        <w:t xml:space="preserve"> : même si je n’ai pas tout lu (130 pages), plus que les recommandations, ce sont les différents chapitres de la première partie qui sont réellement intéressants.</w:t>
      </w:r>
    </w:p>
    <w:p w:rsidR="00060E11" w:rsidRDefault="00060E11" w:rsidP="00060E11">
      <w:pPr>
        <w:pStyle w:val="Textebrut"/>
      </w:pPr>
      <w:r>
        <w:t>Alors que l'intelligence artificielle (IA) évolue à un rythme effréné, la Commission de l'IA publie un rapport contenant 25 recommandations pour que la France puisse tirer parti de cette révolution technologique et en saisir toutes les opportunités</w:t>
      </w:r>
    </w:p>
    <w:p w:rsidR="00060E11" w:rsidRDefault="00173380" w:rsidP="00060E11">
      <w:pPr>
        <w:pStyle w:val="Textebrut"/>
      </w:pPr>
      <w:hyperlink r:id="rId124" w:history="1">
        <w:r w:rsidR="00060E11" w:rsidRPr="00A96D35">
          <w:rPr>
            <w:rStyle w:val="Lienhypertexte"/>
          </w:rPr>
          <w:t>https://www.gouvernement.fr/actualite/25-recommandations-pour-lia-en-france</w:t>
        </w:r>
      </w:hyperlink>
    </w:p>
    <w:p w:rsidR="00060E11" w:rsidRDefault="00060E11" w:rsidP="00060E11">
      <w:pPr>
        <w:pStyle w:val="Textebrut"/>
      </w:pPr>
      <w:r>
        <w:t>Le rapport - IA : notre ambition pour la France</w:t>
      </w:r>
    </w:p>
    <w:p w:rsidR="004837FD" w:rsidRDefault="00173380" w:rsidP="00060E11">
      <w:pPr>
        <w:pStyle w:val="Textebrut"/>
      </w:pPr>
      <w:hyperlink r:id="rId125" w:history="1">
        <w:r w:rsidR="00060E11" w:rsidRPr="00A96D35">
          <w:rPr>
            <w:rStyle w:val="Lienhypertexte"/>
          </w:rPr>
          <w:t>https://www.gouvernement.fr/upload/media/content/0001/09/4d3cc456dd2f5b9d79ee75feea63b47f10d75158.pdf</w:t>
        </w:r>
      </w:hyperlink>
    </w:p>
    <w:p w:rsidR="00060E11" w:rsidRDefault="00060E11" w:rsidP="00060E11">
      <w:pPr>
        <w:pStyle w:val="Textebrut"/>
      </w:pPr>
    </w:p>
    <w:p w:rsidR="00060E11" w:rsidRDefault="00060E11" w:rsidP="00060E11">
      <w:pPr>
        <w:pStyle w:val="Textebrut"/>
      </w:pPr>
      <w:r>
        <w:t>Surveillance de la résistance bactérienne aux antibiotiques en soins de ville et en établissements d’hébergement pour personnes âgées dépendantes. Mission Primo : Résultats 2022 (</w:t>
      </w:r>
      <w:proofErr w:type="spellStart"/>
      <w:r>
        <w:t>SpF</w:t>
      </w:r>
      <w:proofErr w:type="spellEnd"/>
      <w:r>
        <w:t>, 14/02/2024).</w:t>
      </w:r>
    </w:p>
    <w:p w:rsidR="00060E11" w:rsidRDefault="00173380" w:rsidP="00060E11">
      <w:pPr>
        <w:pStyle w:val="Textebrut"/>
      </w:pPr>
      <w:hyperlink r:id="rId126" w:history="1">
        <w:r w:rsidR="00060E11" w:rsidRPr="00A96D35">
          <w:rPr>
            <w:rStyle w:val="Lienhypertexte"/>
          </w:rPr>
          <w:t>https://www.santepubliquefrance.fr/maladies-et-traumatismes/infections-associees-aux-soins-et-resistance-aux-antibiotiques/resistance-aux-antibiotiques/documents/enquetes-etudes/surveillance-de-la-resistance-</w:t>
        </w:r>
        <w:r w:rsidR="00060E11" w:rsidRPr="00A96D35">
          <w:rPr>
            <w:rStyle w:val="Lienhypertexte"/>
          </w:rPr>
          <w:lastRenderedPageBreak/>
          <w:t>bacterienne-aux-antibiotiques-en-soins-de-ville-et-en-etablissements-d-hebergement-pour-personnes-agees-dependantes2</w:t>
        </w:r>
      </w:hyperlink>
    </w:p>
    <w:p w:rsidR="00060E11" w:rsidRDefault="00060E11" w:rsidP="00060E11">
      <w:pPr>
        <w:pStyle w:val="Textebrut"/>
      </w:pPr>
    </w:p>
    <w:p w:rsidR="00F12051" w:rsidRDefault="00F12051" w:rsidP="00F12051">
      <w:pPr>
        <w:pStyle w:val="Textebrut"/>
      </w:pPr>
      <w:r>
        <w:t>Programme de travail 2024 de Santé publique France : les travaux menés autour de six grands enjeux (</w:t>
      </w:r>
      <w:proofErr w:type="spellStart"/>
      <w:r>
        <w:t>SpF</w:t>
      </w:r>
      <w:proofErr w:type="spellEnd"/>
      <w:r>
        <w:t>, 14/03/2024).</w:t>
      </w:r>
    </w:p>
    <w:p w:rsidR="00F12051" w:rsidRDefault="00F12051" w:rsidP="00F12051">
      <w:pPr>
        <w:pStyle w:val="Textebrut"/>
      </w:pPr>
      <w:r>
        <w:t>Retrouvez les grands enjeux de la programmation 2024 de l’agence ainsi que l’ambition que nous portons dans la conduite des travaux et des collaborations qui seront menés cette année, guidés par l’objectif constant de continuum de santé publique</w:t>
      </w:r>
    </w:p>
    <w:p w:rsidR="00060E11" w:rsidRDefault="00173380" w:rsidP="00F12051">
      <w:pPr>
        <w:pStyle w:val="Textebrut"/>
      </w:pPr>
      <w:hyperlink r:id="rId127" w:history="1">
        <w:r w:rsidR="00F12051" w:rsidRPr="00A96D35">
          <w:rPr>
            <w:rStyle w:val="Lienhypertexte"/>
          </w:rPr>
          <w:t>https://www.santepubliquefrance.fr/les-actualites/2024/programme-de-travail-2024-de-sante-publique-france-les-travaux-menes-autour-de-six-grands-enjeux</w:t>
        </w:r>
      </w:hyperlink>
    </w:p>
    <w:p w:rsidR="00F12051" w:rsidRDefault="00F12051" w:rsidP="00F12051">
      <w:pPr>
        <w:pStyle w:val="Textebrut"/>
      </w:pPr>
    </w:p>
    <w:p w:rsidR="00B63715" w:rsidRDefault="00B63715" w:rsidP="00B63715">
      <w:pPr>
        <w:pStyle w:val="Textebrut"/>
      </w:pPr>
      <w:r>
        <w:t>Gazette de l'infectiologie: Journée mondiale de lutte contre la tuberculose (SPILF, 14/03/2024).</w:t>
      </w:r>
    </w:p>
    <w:p w:rsidR="00B63715" w:rsidRDefault="00B63715" w:rsidP="00B63715">
      <w:pPr>
        <w:pStyle w:val="Textebrut"/>
      </w:pPr>
      <w:r>
        <w:t>Contrairement à l'image très 19e siècle que nous en avons, la tuberculose reste un enjeu de santé publique bien actuel. Et pas uniquement dans les pays à faible niveau de ressources. Si on ne compte que 4 500 cas par an en France, les experts s'inquiètent d'une résistance croissante aux antibiotiques mais aussi de l'existence de tuberculoses latentes susceptibles de se réactiver</w:t>
      </w:r>
    </w:p>
    <w:p w:rsidR="00F12051" w:rsidRDefault="00173380" w:rsidP="00B63715">
      <w:pPr>
        <w:pStyle w:val="Textebrut"/>
      </w:pPr>
      <w:hyperlink r:id="rId128" w:history="1">
        <w:r w:rsidR="00B63715" w:rsidRPr="00276859">
          <w:rPr>
            <w:rStyle w:val="Lienhypertexte"/>
          </w:rPr>
          <w:t>https://www.infectiologie.com/fr/actualites/gazette-de-l-infectiologie-journee-mondiale-de-lutte-contre-la-tuberculose_-n.html</w:t>
        </w:r>
      </w:hyperlink>
    </w:p>
    <w:p w:rsidR="00B63715" w:rsidRDefault="00B63715" w:rsidP="00B63715">
      <w:pPr>
        <w:pStyle w:val="Textebrut"/>
      </w:pPr>
    </w:p>
    <w:p w:rsidR="000F4214" w:rsidRDefault="000F4214" w:rsidP="000F4214">
      <w:pPr>
        <w:pStyle w:val="Textebrut"/>
      </w:pPr>
      <w:r>
        <w:t xml:space="preserve">Espaces de téléconsultation ou de </w:t>
      </w:r>
      <w:proofErr w:type="spellStart"/>
      <w:r>
        <w:t>télésoin</w:t>
      </w:r>
      <w:proofErr w:type="spellEnd"/>
      <w:r>
        <w:t xml:space="preserve"> : les recommandations de </w:t>
      </w:r>
      <w:proofErr w:type="gramStart"/>
      <w:r>
        <w:t>la HAS</w:t>
      </w:r>
      <w:proofErr w:type="gramEnd"/>
      <w:r>
        <w:t xml:space="preserve"> (CNOP, 14/03/2024).</w:t>
      </w:r>
    </w:p>
    <w:p w:rsidR="000F4214" w:rsidRDefault="000F4214" w:rsidP="000F4214">
      <w:pPr>
        <w:pStyle w:val="Textebrut"/>
      </w:pPr>
      <w:r>
        <w:t xml:space="preserve">Saisie par la direction générale de l’offre de soins (DGOS), la Haute Autorité de Santé (HAS) a publié des recommandations relatives </w:t>
      </w:r>
      <w:proofErr w:type="gramStart"/>
      <w:r>
        <w:t>aux  lieux</w:t>
      </w:r>
      <w:proofErr w:type="gramEnd"/>
      <w:r>
        <w:t xml:space="preserve"> et conditions d'environnement pour la réalisation d'une téléconsultation ou d'un </w:t>
      </w:r>
      <w:proofErr w:type="spellStart"/>
      <w:r>
        <w:t>télésoin</w:t>
      </w:r>
      <w:proofErr w:type="spellEnd"/>
      <w:r>
        <w:t>. L’Ordre national des pharmaciens avait été consulté dans le cadre de ces travaux et se réjouit que la plupart de ses propositions aient été intégrées aux recommandations</w:t>
      </w:r>
    </w:p>
    <w:p w:rsidR="00B63715" w:rsidRDefault="00173380" w:rsidP="000F4214">
      <w:pPr>
        <w:pStyle w:val="Textebrut"/>
      </w:pPr>
      <w:hyperlink r:id="rId129" w:history="1">
        <w:r w:rsidR="000F4214" w:rsidRPr="00276859">
          <w:rPr>
            <w:rStyle w:val="Lienhypertexte"/>
          </w:rPr>
          <w:t>https://www.ordre.pharmacien.fr/les-communications/focus-sur/les-actualites/espaces-de-teleconsultation-ou-de-telesoin-les-recommandations-de-la-has</w:t>
        </w:r>
      </w:hyperlink>
    </w:p>
    <w:p w:rsidR="000F4214" w:rsidRDefault="000F4214" w:rsidP="000F4214">
      <w:pPr>
        <w:pStyle w:val="Textebrut"/>
      </w:pPr>
    </w:p>
    <w:p w:rsidR="00505B5C" w:rsidRDefault="00505B5C" w:rsidP="00505B5C">
      <w:pPr>
        <w:pStyle w:val="Textebrut"/>
      </w:pPr>
      <w:r>
        <w:t>Le rapporteur général de l'Autorité de la concurrence indique qu’une opération de visite et saisie inopinée a été réalisée dans le secteur de la biologie médicale (Autorité de la concurrence, 15/03/2024)</w:t>
      </w:r>
    </w:p>
    <w:p w:rsidR="000F4214" w:rsidRDefault="00173380" w:rsidP="00505B5C">
      <w:pPr>
        <w:pStyle w:val="Textebrut"/>
      </w:pPr>
      <w:hyperlink r:id="rId130" w:history="1">
        <w:r w:rsidR="00505B5C" w:rsidRPr="00FA55BC">
          <w:rPr>
            <w:rStyle w:val="Lienhypertexte"/>
          </w:rPr>
          <w:t>https://www.autoritedelaconcurrence.fr/fr/communiques-de-presse/le-rapporteur-general-de-lautorite-de-la-concurrence-indique-quune-2</w:t>
        </w:r>
      </w:hyperlink>
    </w:p>
    <w:p w:rsidR="00505B5C" w:rsidRDefault="00505B5C" w:rsidP="00505B5C">
      <w:pPr>
        <w:pStyle w:val="Textebrut"/>
      </w:pPr>
    </w:p>
    <w:p w:rsidR="00C67A5A" w:rsidRDefault="00C67A5A" w:rsidP="00C67A5A">
      <w:pPr>
        <w:pStyle w:val="Textebrut"/>
      </w:pPr>
      <w:r>
        <w:t>Discours du Président de la République – Rencontre des cadres dirigeants de l'État (Elysée.fr, 12/03/2024)</w:t>
      </w:r>
    </w:p>
    <w:p w:rsidR="00505B5C" w:rsidRDefault="00173380" w:rsidP="00C67A5A">
      <w:pPr>
        <w:pStyle w:val="Textebrut"/>
      </w:pPr>
      <w:hyperlink r:id="rId131" w:history="1">
        <w:r w:rsidR="00C67A5A" w:rsidRPr="00FA55BC">
          <w:rPr>
            <w:rStyle w:val="Lienhypertexte"/>
          </w:rPr>
          <w:t>https://www.elysee.fr/emmanuel-macron/2024/03/12/rencontre-des-cadres-dirigeants-de-letat</w:t>
        </w:r>
      </w:hyperlink>
    </w:p>
    <w:p w:rsidR="00C67A5A" w:rsidRDefault="00C67A5A" w:rsidP="00C67A5A">
      <w:pPr>
        <w:pStyle w:val="Textebrut"/>
      </w:pPr>
    </w:p>
    <w:p w:rsidR="003E3EB0" w:rsidRDefault="003E3EB0" w:rsidP="003E3EB0">
      <w:pPr>
        <w:pStyle w:val="Textebrut"/>
      </w:pPr>
      <w:r>
        <w:t>BEH n° 6-7 - 19 mars 2024 – Numéro consacré à la tuberculose</w:t>
      </w:r>
    </w:p>
    <w:p w:rsidR="00C67A5A" w:rsidRDefault="00173380" w:rsidP="003E3EB0">
      <w:pPr>
        <w:pStyle w:val="Textebrut"/>
      </w:pPr>
      <w:hyperlink r:id="rId132" w:history="1">
        <w:r w:rsidR="003E3EB0" w:rsidRPr="004A6AB0">
          <w:rPr>
            <w:rStyle w:val="Lienhypertexte"/>
          </w:rPr>
          <w:t>https://beh.santepubliquefrance.fr/beh/2024/6-7/index.html</w:t>
        </w:r>
      </w:hyperlink>
    </w:p>
    <w:p w:rsidR="003E3EB0" w:rsidRDefault="003E3EB0" w:rsidP="003E3EB0">
      <w:pPr>
        <w:pStyle w:val="Textebrut"/>
      </w:pPr>
    </w:p>
    <w:p w:rsidR="00812B7F" w:rsidRDefault="00812B7F" w:rsidP="00812B7F">
      <w:pPr>
        <w:pStyle w:val="Textebrut"/>
      </w:pPr>
      <w:r>
        <w:t xml:space="preserve">Obésité : quel profil d’utilisation de </w:t>
      </w:r>
      <w:proofErr w:type="spellStart"/>
      <w:r>
        <w:t>Wegovy</w:t>
      </w:r>
      <w:proofErr w:type="spellEnd"/>
      <w:r>
        <w:t xml:space="preserve"> en France pendant son accès précoce ? (ANSM, EPI-PHARE, CNAM, 19/03/2024).</w:t>
      </w:r>
    </w:p>
    <w:p w:rsidR="00812B7F" w:rsidRDefault="00812B7F" w:rsidP="00812B7F">
      <w:pPr>
        <w:pStyle w:val="Textebrut"/>
      </w:pPr>
      <w:r>
        <w:t>Epi-Phare (groupement d’intérêt scientifique en épidémiologie des produits de santé ANSM-</w:t>
      </w:r>
      <w:proofErr w:type="spellStart"/>
      <w:r>
        <w:t>Cnam</w:t>
      </w:r>
      <w:proofErr w:type="spellEnd"/>
      <w:r>
        <w:t xml:space="preserve">) a réalisé une étude de pharmaco-épidémiologie pour décrire le profil des 7048 patients traités en France en accès précoce post-AMM par </w:t>
      </w:r>
      <w:proofErr w:type="spellStart"/>
      <w:r>
        <w:t>Wegovy</w:t>
      </w:r>
      <w:proofErr w:type="spellEnd"/>
      <w:r>
        <w:t xml:space="preserve"> (</w:t>
      </w:r>
      <w:proofErr w:type="spellStart"/>
      <w:r>
        <w:t>sémaglutide</w:t>
      </w:r>
      <w:proofErr w:type="spellEnd"/>
      <w:r>
        <w:t>) et les modalités d’utilisation de ce médicament. Cet analogue du GLP-1, a été mis à disposition en France jusqu’en septembre 2023 en accès précoce pour le traitement de l’obésité chez l’adulte.</w:t>
      </w:r>
    </w:p>
    <w:p w:rsidR="00812B7F" w:rsidRDefault="00812B7F" w:rsidP="00812B7F">
      <w:pPr>
        <w:pStyle w:val="Textebrut"/>
      </w:pPr>
      <w:r>
        <w:t>Il s’agit de la première étude réalisée à partir de la base des médicaments en accès précoce d’Epi-Phare, chainée au Système national des données de santé (SNDS). Ce travail descriptif s’inscrit dans le cadre du programme de travail d’Epi-Phare sur les innovations thérapeutiques et les médicaments en accès précoce et illustre le potentiel de cette nouvelle base de données dans la surveillance épidémiologique des médicaments en accès précoce en France</w:t>
      </w:r>
    </w:p>
    <w:p w:rsidR="00812B7F" w:rsidRDefault="00173380" w:rsidP="00812B7F">
      <w:pPr>
        <w:pStyle w:val="Textebrut"/>
      </w:pPr>
      <w:hyperlink r:id="rId133" w:history="1">
        <w:r w:rsidR="00812B7F" w:rsidRPr="004A6AB0">
          <w:rPr>
            <w:rStyle w:val="Lienhypertexte"/>
          </w:rPr>
          <w:t>https://ansm.sante.fr/actualites/obesite-quel-profil-dutilisation-de-wegovy-en-france-pendant-son-acces-precoce</w:t>
        </w:r>
      </w:hyperlink>
    </w:p>
    <w:p w:rsidR="00812B7F" w:rsidRDefault="00812B7F" w:rsidP="00812B7F">
      <w:pPr>
        <w:pStyle w:val="Textebrut"/>
      </w:pPr>
      <w:r>
        <w:t xml:space="preserve">Utilisation de </w:t>
      </w:r>
      <w:proofErr w:type="spellStart"/>
      <w:r>
        <w:t>Wegovy</w:t>
      </w:r>
      <w:proofErr w:type="spellEnd"/>
      <w:r>
        <w:t>® dans le cadre de son accès précoce (EPI-PHARE, 19/03/2024).</w:t>
      </w:r>
    </w:p>
    <w:p w:rsidR="00812B7F" w:rsidRDefault="00812B7F" w:rsidP="00812B7F">
      <w:pPr>
        <w:pStyle w:val="Textebrut"/>
      </w:pPr>
      <w:r>
        <w:lastRenderedPageBreak/>
        <w:t xml:space="preserve">Suivi de l’utilisation de </w:t>
      </w:r>
      <w:proofErr w:type="spellStart"/>
      <w:r>
        <w:t>Wegovy</w:t>
      </w:r>
      <w:proofErr w:type="spellEnd"/>
      <w:r>
        <w:t>® dans le cadre de son accès précoce Étude nationale réalisée à partir des données du SNDS</w:t>
      </w:r>
    </w:p>
    <w:p w:rsidR="003E3EB0" w:rsidRDefault="00173380" w:rsidP="00812B7F">
      <w:pPr>
        <w:pStyle w:val="Textebrut"/>
      </w:pPr>
      <w:hyperlink r:id="rId134" w:history="1">
        <w:r w:rsidR="00812B7F" w:rsidRPr="004A6AB0">
          <w:rPr>
            <w:rStyle w:val="Lienhypertexte"/>
          </w:rPr>
          <w:t>https://www.epi-phare.fr/rapports-detudes-et-publications/wegovy-acces-precoce/</w:t>
        </w:r>
      </w:hyperlink>
    </w:p>
    <w:p w:rsidR="00812B7F" w:rsidRDefault="00812B7F" w:rsidP="00812B7F">
      <w:pPr>
        <w:pStyle w:val="Textebrut"/>
      </w:pPr>
    </w:p>
    <w:p w:rsidR="00223F62" w:rsidRDefault="00223F62" w:rsidP="00223F62">
      <w:pPr>
        <w:pStyle w:val="Textebrut"/>
      </w:pPr>
      <w:r>
        <w:t>Les syndicats veulent plus de moyens</w:t>
      </w:r>
      <w:r w:rsidR="0086428D">
        <w:t xml:space="preserve"> pour lutter contre la fraude (</w:t>
      </w:r>
      <w:r>
        <w:t>Le Quotidien du pharmacien, 20/03/2024).</w:t>
      </w:r>
    </w:p>
    <w:p w:rsidR="00223F62" w:rsidRDefault="00223F62" w:rsidP="00223F62">
      <w:pPr>
        <w:pStyle w:val="Textebrut"/>
      </w:pPr>
      <w:r>
        <w:t>Les négociations conventionnelles entre les syndicats de pharmaciens et l’assurance-maladie sont entrées dans une nouvelle phase le 19 mars à l’occasion d’une réunion bilatérale durant laquelle chacune des deux parties a pu rappeler ses attentes et ses objectifs. Alors que la CNAM a surtout voulu mettre l’accent sur la lutte contre la fraude, les représentants des pharmaciens ont rappelé qu’ils partageaient cet objectif mais avaient besoin de moyens supplémentaires dans ce domaine</w:t>
      </w:r>
    </w:p>
    <w:p w:rsidR="00812B7F" w:rsidRDefault="00173380" w:rsidP="00223F62">
      <w:pPr>
        <w:pStyle w:val="Textebrut"/>
      </w:pPr>
      <w:hyperlink r:id="rId135" w:history="1">
        <w:r w:rsidR="00223F62" w:rsidRPr="004744AB">
          <w:rPr>
            <w:rStyle w:val="Lienhypertexte"/>
          </w:rPr>
          <w:t>https://www.lequotidiendupharmacien.fr/exercice-pro/politique-de-sante/les-syndicats-veulent-plus-de-moyens-pour-lutter-contre-la-fraude</w:t>
        </w:r>
      </w:hyperlink>
    </w:p>
    <w:p w:rsidR="00223F62" w:rsidRDefault="00223F62" w:rsidP="00223F62">
      <w:pPr>
        <w:pStyle w:val="Textebrut"/>
      </w:pPr>
    </w:p>
    <w:p w:rsidR="00223F62" w:rsidRDefault="00096BE7" w:rsidP="00223F62">
      <w:pPr>
        <w:pStyle w:val="Textebrut"/>
      </w:pPr>
      <w:r w:rsidRPr="00096BE7">
        <w:t>Logigramme élaboré par le conseil central de la section H de l’Ordre des pharmaciens concernant l’approvisionnement en produits de contraste</w:t>
      </w:r>
    </w:p>
    <w:p w:rsidR="00096BE7" w:rsidRDefault="00173380" w:rsidP="00223F62">
      <w:pPr>
        <w:pStyle w:val="Textebrut"/>
      </w:pPr>
      <w:hyperlink r:id="rId136" w:history="1">
        <w:r w:rsidR="00096BE7" w:rsidRPr="004744AB">
          <w:rPr>
            <w:rStyle w:val="Lienhypertexte"/>
          </w:rPr>
          <w:t>https://peps.sante.gouv.fr/actu/2024/24_cch_logigramme-fourniture-pdts-contraste_20240320.jpg</w:t>
        </w:r>
      </w:hyperlink>
    </w:p>
    <w:p w:rsidR="00096BE7" w:rsidRDefault="00096BE7" w:rsidP="00223F62">
      <w:pPr>
        <w:pStyle w:val="Textebrut"/>
      </w:pPr>
    </w:p>
    <w:p w:rsidR="0064443B" w:rsidRDefault="0064443B" w:rsidP="0064443B">
      <w:pPr>
        <w:pStyle w:val="Textebrut"/>
      </w:pPr>
      <w:r>
        <w:t>Communiqué du 21/03/2024 - Le solde des comptes de la sécurité sociale en 2023 s’établit à -10,8 milliards d’euros</w:t>
      </w:r>
    </w:p>
    <w:p w:rsidR="00096BE7" w:rsidRDefault="00173380" w:rsidP="0064443B">
      <w:pPr>
        <w:pStyle w:val="Textebrut"/>
      </w:pPr>
      <w:hyperlink r:id="rId137" w:history="1">
        <w:r w:rsidR="0064443B" w:rsidRPr="004744AB">
          <w:rPr>
            <w:rStyle w:val="Lienhypertexte"/>
          </w:rPr>
          <w:t>https://sante.gouv.fr/actualites/presse/communiques-de-presse/article/le-solde-des-comptes-de-la-securite-sociale-en-2023-s-etablit-a-10-8-milliards</w:t>
        </w:r>
      </w:hyperlink>
    </w:p>
    <w:p w:rsidR="0064443B" w:rsidRDefault="0064443B" w:rsidP="0064443B">
      <w:pPr>
        <w:pStyle w:val="Textebrut"/>
      </w:pPr>
    </w:p>
    <w:p w:rsidR="0086428D" w:rsidRDefault="0086428D" w:rsidP="0086428D">
      <w:pPr>
        <w:pStyle w:val="Textebrut"/>
      </w:pPr>
      <w:r>
        <w:t xml:space="preserve">Virus </w:t>
      </w:r>
      <w:proofErr w:type="spellStart"/>
      <w:r>
        <w:t>Mpox</w:t>
      </w:r>
      <w:proofErr w:type="spellEnd"/>
      <w:r>
        <w:t xml:space="preserve"> : ressources et supports de communication (Ministère de la santé, actualisation du 21/03/2024)</w:t>
      </w:r>
    </w:p>
    <w:p w:rsidR="0086428D" w:rsidRDefault="00173380" w:rsidP="0086428D">
      <w:pPr>
        <w:pStyle w:val="Textebrut"/>
      </w:pPr>
      <w:hyperlink r:id="rId138" w:history="1">
        <w:r w:rsidR="0086428D" w:rsidRPr="004744AB">
          <w:rPr>
            <w:rStyle w:val="Lienhypertexte"/>
          </w:rPr>
          <w:t>https://solidarites-sante.gouv.fr/soins-et-maladies/maladies/maladies-infectieuses/monkeypox/article/monkeypox-ressources-et-supports-de-communication</w:t>
        </w:r>
      </w:hyperlink>
    </w:p>
    <w:p w:rsidR="0086428D" w:rsidRDefault="0086428D" w:rsidP="0086428D">
      <w:pPr>
        <w:pStyle w:val="Textebrut"/>
      </w:pPr>
    </w:p>
    <w:p w:rsidR="0086428D" w:rsidRDefault="0086428D" w:rsidP="0086428D">
      <w:pPr>
        <w:pStyle w:val="Textebrut"/>
      </w:pPr>
      <w:r>
        <w:t xml:space="preserve">Virus </w:t>
      </w:r>
      <w:proofErr w:type="spellStart"/>
      <w:r>
        <w:t>Mpox</w:t>
      </w:r>
      <w:proofErr w:type="spellEnd"/>
      <w:r>
        <w:t xml:space="preserve"> : informations pour les professionnels de santé (Ministère de la santé, actualisation du 21/03/2024)</w:t>
      </w:r>
    </w:p>
    <w:p w:rsidR="0086428D" w:rsidRDefault="00173380" w:rsidP="0086428D">
      <w:pPr>
        <w:pStyle w:val="Textebrut"/>
      </w:pPr>
      <w:hyperlink r:id="rId139" w:history="1">
        <w:r w:rsidR="0086428D" w:rsidRPr="004744AB">
          <w:rPr>
            <w:rStyle w:val="Lienhypertexte"/>
          </w:rPr>
          <w:t>https://sante.gouv.fr/soins-et-maladies/maladies/infections-sexuellement-transmissibles/article/virus-mpox-informations-pour-les-professionnels-de-sante</w:t>
        </w:r>
      </w:hyperlink>
    </w:p>
    <w:p w:rsidR="0086428D" w:rsidRDefault="0086428D" w:rsidP="0086428D">
      <w:pPr>
        <w:pStyle w:val="Textebrut"/>
      </w:pPr>
    </w:p>
    <w:p w:rsidR="0086428D" w:rsidRDefault="0086428D" w:rsidP="0086428D">
      <w:pPr>
        <w:pStyle w:val="Textebrut"/>
      </w:pPr>
      <w:r>
        <w:t xml:space="preserve">Virus </w:t>
      </w:r>
      <w:proofErr w:type="spellStart"/>
      <w:r>
        <w:t>Mpox</w:t>
      </w:r>
      <w:proofErr w:type="spellEnd"/>
      <w:r>
        <w:t xml:space="preserve"> : Questions-Réponses (Ministère de la santé, actualisation du 21/03/2024)</w:t>
      </w:r>
    </w:p>
    <w:p w:rsidR="0064443B" w:rsidRDefault="00173380" w:rsidP="0086428D">
      <w:pPr>
        <w:pStyle w:val="Textebrut"/>
      </w:pPr>
      <w:hyperlink r:id="rId140" w:history="1">
        <w:r w:rsidR="0086428D" w:rsidRPr="004744AB">
          <w:rPr>
            <w:rStyle w:val="Lienhypertexte"/>
          </w:rPr>
          <w:t>https://solidarites-sante.gouv.fr/soins-et-maladies/maladies/maladies-infectieuses/monkeypox/article/monkeypox-variole-du-singe-questions-reponses</w:t>
        </w:r>
      </w:hyperlink>
    </w:p>
    <w:p w:rsidR="0086428D" w:rsidRDefault="0086428D" w:rsidP="0086428D">
      <w:pPr>
        <w:pStyle w:val="Textebrut"/>
      </w:pPr>
    </w:p>
    <w:p w:rsidR="00F62B34" w:rsidRDefault="00F62B34" w:rsidP="00F62B34">
      <w:pPr>
        <w:pStyle w:val="Textebrut"/>
      </w:pPr>
      <w:r>
        <w:t>Consommation d’antibiotiques : des actions pour réduire l’antibiorésistance (CNOP, 21/03/2024).</w:t>
      </w:r>
    </w:p>
    <w:p w:rsidR="00F62B34" w:rsidRDefault="00F62B34" w:rsidP="00F62B34">
      <w:pPr>
        <w:pStyle w:val="Textebrut"/>
      </w:pPr>
      <w:r>
        <w:t>Dans les pays qui ont limité l’utilisation d’antibiotiques en médecine humaine et dans l’élevage animal, l’antibiorésistance recule. La France, 5e consommateur européen, doit poursuivre ses efforts. Pour réduire les utilisations inutiles et préserver l’efficacité des antimicrobiens, le pharmacien tient un rôle central</w:t>
      </w:r>
    </w:p>
    <w:p w:rsidR="0086428D" w:rsidRDefault="00173380" w:rsidP="00F62B34">
      <w:pPr>
        <w:pStyle w:val="Textebrut"/>
      </w:pPr>
      <w:hyperlink r:id="rId141" w:history="1">
        <w:r w:rsidR="00F62B34" w:rsidRPr="009E1CF0">
          <w:rPr>
            <w:rStyle w:val="Lienhypertexte"/>
          </w:rPr>
          <w:t>https://www.ordre.pharmacien.fr/les-communications/focus-sur/les-actualites/consommation-d-antibiotiques-des-actions-pour-reduire-l-antibioresistance</w:t>
        </w:r>
      </w:hyperlink>
    </w:p>
    <w:p w:rsidR="00F62B34" w:rsidRDefault="00F62B34" w:rsidP="00F62B34">
      <w:pPr>
        <w:pStyle w:val="Textebrut"/>
      </w:pPr>
    </w:p>
    <w:p w:rsidR="00F62B34" w:rsidRDefault="00F62B34" w:rsidP="00F62B34">
      <w:pPr>
        <w:pStyle w:val="Textebrut"/>
      </w:pPr>
      <w:r>
        <w:t>Intelligence artificielle : le projet de règlement européen adopté (CNOP, 21/03/2024).</w:t>
      </w:r>
    </w:p>
    <w:p w:rsidR="00F62B34" w:rsidRDefault="00F62B34" w:rsidP="00F62B34">
      <w:pPr>
        <w:pStyle w:val="Textebrut"/>
      </w:pPr>
      <w:r>
        <w:t>Le 13 mars 2024, le Parlement européen a adopté le projet de règlement relatif à l’intelligence artificielle (IA) après deux ans de travail. Première initiative réglementaire mondiale, cette loi encadre l’utilisation de systèmes d’IA en fonction du risque qu’ils représentent. Le texte législatif établit des règles harmonisées pour le développement, la mise sur le marché et l’utilisation de ces systèmes, avec pour objectif notamment de veiller à la sécurité des systèmes d’IA mis sur le marché de l’Union et à leur respect des droits fondamentaux</w:t>
      </w:r>
    </w:p>
    <w:p w:rsidR="00F62B34" w:rsidRDefault="00173380" w:rsidP="00F62B34">
      <w:pPr>
        <w:pStyle w:val="Textebrut"/>
      </w:pPr>
      <w:hyperlink r:id="rId142" w:history="1">
        <w:r w:rsidR="00F62B34" w:rsidRPr="009E1CF0">
          <w:rPr>
            <w:rStyle w:val="Lienhypertexte"/>
          </w:rPr>
          <w:t>https://www.ordre.pharmacien.fr/les-communications/focus-sur/les-actualites/intelligence-artificielle-le-projet-de-reglement-europeen-adopte</w:t>
        </w:r>
      </w:hyperlink>
    </w:p>
    <w:p w:rsidR="00F62B34" w:rsidRDefault="00F62B34" w:rsidP="00F62B34">
      <w:pPr>
        <w:pStyle w:val="Textebrut"/>
      </w:pPr>
    </w:p>
    <w:p w:rsidR="005F6FBF" w:rsidRDefault="005F6FBF" w:rsidP="00F62B34">
      <w:pPr>
        <w:pStyle w:val="Textebrut"/>
      </w:pPr>
    </w:p>
    <w:p w:rsidR="00043D35" w:rsidRDefault="00043D35" w:rsidP="00043D35">
      <w:pPr>
        <w:pStyle w:val="Textebrut"/>
      </w:pPr>
      <w:r>
        <w:lastRenderedPageBreak/>
        <w:t>Sanofi, Lilly et DASTRI lancent RECYPEN, la 1ère solution française de recyclage de stylos injecteurs (DASTRI, 21/03/2024)</w:t>
      </w:r>
    </w:p>
    <w:p w:rsidR="00F62B34" w:rsidRDefault="00173380" w:rsidP="00043D35">
      <w:pPr>
        <w:pStyle w:val="Textebrut"/>
      </w:pPr>
      <w:hyperlink r:id="rId143" w:history="1">
        <w:r w:rsidR="00043D35" w:rsidRPr="009E1CF0">
          <w:rPr>
            <w:rStyle w:val="Lienhypertexte"/>
          </w:rPr>
          <w:t>https://www.dastri.fr/wp-content/uploads/2024/03/CP-Recypen-DASTRI-LILLY-SANOFI-21-mars-2024.pdf</w:t>
        </w:r>
      </w:hyperlink>
    </w:p>
    <w:p w:rsidR="00043D35" w:rsidRDefault="00043D35" w:rsidP="00043D35">
      <w:pPr>
        <w:pStyle w:val="Textebrut"/>
      </w:pPr>
    </w:p>
    <w:p w:rsidR="00043D35" w:rsidRDefault="00217B22" w:rsidP="00043D35">
      <w:pPr>
        <w:pStyle w:val="Textebrut"/>
      </w:pPr>
      <w:r w:rsidRPr="00217B22">
        <w:t xml:space="preserve">Renforcer la </w:t>
      </w:r>
      <w:proofErr w:type="spellStart"/>
      <w:r w:rsidRPr="00217B22">
        <w:t>cybersécurité</w:t>
      </w:r>
      <w:proofErr w:type="spellEnd"/>
      <w:r w:rsidRPr="00217B22">
        <w:t xml:space="preserve"> de nos établissements de santé</w:t>
      </w:r>
      <w:r>
        <w:t xml:space="preserve"> (ANS, 22/03/2024).</w:t>
      </w:r>
    </w:p>
    <w:p w:rsidR="00217B22" w:rsidRDefault="00217B22" w:rsidP="00043D35">
      <w:pPr>
        <w:pStyle w:val="Textebrut"/>
      </w:pPr>
      <w:r w:rsidRPr="00217B22">
        <w:t>Ouverture des deux premiers guichets : “Annuaires techniques et exposition sur internet” et “</w:t>
      </w:r>
      <w:proofErr w:type="spellStart"/>
      <w:r w:rsidRPr="00217B22">
        <w:t>HospiConnect</w:t>
      </w:r>
      <w:proofErr w:type="spellEnd"/>
      <w:r w:rsidRPr="00217B22">
        <w:t xml:space="preserve">” du programme </w:t>
      </w:r>
      <w:proofErr w:type="spellStart"/>
      <w:r w:rsidRPr="00217B22">
        <w:t>CaRE</w:t>
      </w:r>
      <w:proofErr w:type="spellEnd"/>
    </w:p>
    <w:p w:rsidR="00217B22" w:rsidRDefault="00173380" w:rsidP="00043D35">
      <w:pPr>
        <w:pStyle w:val="Textebrut"/>
      </w:pPr>
      <w:hyperlink r:id="rId144" w:history="1">
        <w:r w:rsidR="00217B22" w:rsidRPr="00B57D7B">
          <w:rPr>
            <w:rStyle w:val="Lienhypertexte"/>
          </w:rPr>
          <w:t>https://esante.gouv.fr/espace-presse/renforcer-la-cybersecurite-de-nos-etablissements-de-sante</w:t>
        </w:r>
      </w:hyperlink>
    </w:p>
    <w:p w:rsidR="00217B22" w:rsidRDefault="00217B22" w:rsidP="00043D35">
      <w:pPr>
        <w:pStyle w:val="Textebrut"/>
      </w:pPr>
    </w:p>
    <w:p w:rsidR="00553B11" w:rsidRDefault="00553B11" w:rsidP="00553B11">
      <w:pPr>
        <w:pStyle w:val="Textebrut"/>
      </w:pPr>
      <w:r>
        <w:t>Remboursements de soins à fin février 2024 (ameli.fr, 26/03/2024).</w:t>
      </w:r>
    </w:p>
    <w:p w:rsidR="00553B11" w:rsidRDefault="00553B11" w:rsidP="00553B11">
      <w:pPr>
        <w:pStyle w:val="Textebrut"/>
      </w:pPr>
      <w:r>
        <w:t>Les remboursements de soins du régime général évoluent de +3,7 % sur les douze derniers mois</w:t>
      </w:r>
    </w:p>
    <w:p w:rsidR="00217B22" w:rsidRDefault="00173380" w:rsidP="00553B11">
      <w:pPr>
        <w:pStyle w:val="Textebrut"/>
      </w:pPr>
      <w:hyperlink r:id="rId145" w:history="1">
        <w:r w:rsidR="00553B11" w:rsidRPr="00FC48C6">
          <w:rPr>
            <w:rStyle w:val="Lienhypertexte"/>
          </w:rPr>
          <w:t>https://www.assurance-maladie.ameli.fr/presse/2024-03-26-cp-depenses-fin-fevrier-2024</w:t>
        </w:r>
      </w:hyperlink>
    </w:p>
    <w:p w:rsidR="00553B11" w:rsidRDefault="00553B11" w:rsidP="00553B11">
      <w:pPr>
        <w:pStyle w:val="Textebrut"/>
      </w:pPr>
    </w:p>
    <w:p w:rsidR="00553B11" w:rsidRDefault="00553B11" w:rsidP="00553B11">
      <w:pPr>
        <w:pStyle w:val="Textebrut"/>
      </w:pPr>
      <w:r>
        <w:t>Un complément alimentaire à l’origine d’un décès et plusieurs dizaines d’hospitalisations (Le Quotidien du pharmacien, 26/03/2024).</w:t>
      </w:r>
    </w:p>
    <w:p w:rsidR="00553B11" w:rsidRDefault="00553B11" w:rsidP="00553B11">
      <w:pPr>
        <w:pStyle w:val="Textebrut"/>
      </w:pPr>
      <w:r>
        <w:t>Au Japon, plusieurs dizaines d’hospitalisations et un décès sont liés à la consommation de produits provenant de trois gammes de compléments alimentaires à base de levure de riz rouge. Le laboratoire concerné a déclaré enquêter</w:t>
      </w:r>
    </w:p>
    <w:p w:rsidR="00553B11" w:rsidRDefault="00173380" w:rsidP="00553B11">
      <w:pPr>
        <w:pStyle w:val="Textebrut"/>
      </w:pPr>
      <w:hyperlink r:id="rId146" w:history="1">
        <w:r w:rsidR="00553B11" w:rsidRPr="00FC48C6">
          <w:rPr>
            <w:rStyle w:val="Lienhypertexte"/>
          </w:rPr>
          <w:t>https://www.lequotidiendupharmacien.fr/exercice-pro/un-complement-alimentaire-lorigine-dun-deces-et-plusieurs-dizaines-dhospitalisations</w:t>
        </w:r>
      </w:hyperlink>
    </w:p>
    <w:p w:rsidR="00553B11" w:rsidRDefault="00553B11" w:rsidP="00553B11">
      <w:pPr>
        <w:pStyle w:val="Textebrut"/>
      </w:pPr>
    </w:p>
    <w:p w:rsidR="00B244C8" w:rsidRDefault="00B244C8" w:rsidP="00B244C8">
      <w:pPr>
        <w:pStyle w:val="Textebrut"/>
      </w:pPr>
      <w:r>
        <w:t>Infections invasives à méningocoques : des recommandations vaccinales actualisées (HAS, 27/03/2024).</w:t>
      </w:r>
    </w:p>
    <w:p w:rsidR="00B244C8" w:rsidRDefault="00B244C8" w:rsidP="00B244C8">
      <w:pPr>
        <w:pStyle w:val="Textebrut"/>
      </w:pPr>
      <w:r>
        <w:t xml:space="preserve">Les infections invasives à méningocoques sont des infections transmissibles graves, dont l’issue peut être rapidement fatale. Si la mise en place de mesures barrières durant la crise de Covid-19 a permis une baisse notable de ces infections, les dernières données montrent une reprise de la circulation des méningocoques en France. Saisie par le ministère chargé de la santé, </w:t>
      </w:r>
      <w:proofErr w:type="gramStart"/>
      <w:r>
        <w:t>la HAS</w:t>
      </w:r>
      <w:proofErr w:type="gramEnd"/>
      <w:r>
        <w:t xml:space="preserve"> actualise la stratégie de vaccination contre les méningocoques A, C, W, Y et B. L’objectif est de protéger l’ensemble de la population et plus particulièrement les nourrissons, les adolescents et les jeunes adultes</w:t>
      </w:r>
    </w:p>
    <w:p w:rsidR="00B244C8" w:rsidRDefault="00173380" w:rsidP="00B244C8">
      <w:pPr>
        <w:pStyle w:val="Textebrut"/>
      </w:pPr>
      <w:hyperlink r:id="rId147" w:history="1">
        <w:r w:rsidR="00B244C8" w:rsidRPr="001A4431">
          <w:rPr>
            <w:rStyle w:val="Lienhypertexte"/>
          </w:rPr>
          <w:t>https://www.has-sante.fr/jcms/p_3502914/fr/infections-invasives-a-meningocoques-des-recommandations-vaccinales-actualisees</w:t>
        </w:r>
      </w:hyperlink>
    </w:p>
    <w:p w:rsidR="00B244C8" w:rsidRDefault="00B244C8" w:rsidP="00B244C8">
      <w:pPr>
        <w:pStyle w:val="Textebrut"/>
      </w:pPr>
      <w:r>
        <w:t xml:space="preserve">Stratégie de vaccination contre les infections invasives à méningocoques : Révision de la stratégie contre les </w:t>
      </w:r>
      <w:proofErr w:type="spellStart"/>
      <w:r>
        <w:t>sérogroupes</w:t>
      </w:r>
      <w:proofErr w:type="spellEnd"/>
      <w:r>
        <w:t xml:space="preserve"> ACWY et B (HAS, 27/03/2024)</w:t>
      </w:r>
    </w:p>
    <w:p w:rsidR="00553B11" w:rsidRDefault="00173380" w:rsidP="00B244C8">
      <w:pPr>
        <w:pStyle w:val="Textebrut"/>
      </w:pPr>
      <w:hyperlink r:id="rId148" w:history="1">
        <w:r w:rsidR="00B244C8" w:rsidRPr="001A4431">
          <w:rPr>
            <w:rStyle w:val="Lienhypertexte"/>
          </w:rPr>
          <w:t>https://www.has-sante.fr/jcms/p_3460601/fr/strategie-de-vaccination-contre-les-infections-invasives-a-meningocoques-revision-de-la-strategie-contre-les-serogroupes-acwy-et-b</w:t>
        </w:r>
      </w:hyperlink>
    </w:p>
    <w:p w:rsidR="00B244C8" w:rsidRDefault="00B244C8" w:rsidP="00B244C8">
      <w:pPr>
        <w:pStyle w:val="Textebrut"/>
      </w:pPr>
    </w:p>
    <w:p w:rsidR="00173380" w:rsidRDefault="00173380" w:rsidP="00173380">
      <w:pPr>
        <w:pStyle w:val="Textebrut"/>
      </w:pPr>
      <w:r>
        <w:t>Infections invasives à méningocoque en France en 2023 (</w:t>
      </w:r>
      <w:proofErr w:type="spellStart"/>
      <w:r>
        <w:t>SpF</w:t>
      </w:r>
      <w:proofErr w:type="spellEnd"/>
      <w:r>
        <w:t>, 26/03/2024)</w:t>
      </w:r>
    </w:p>
    <w:p w:rsidR="00173380" w:rsidRDefault="00173380" w:rsidP="00173380">
      <w:pPr>
        <w:pStyle w:val="Textebrut"/>
      </w:pPr>
      <w:hyperlink r:id="rId149" w:history="1">
        <w:r w:rsidRPr="005C76BB">
          <w:rPr>
            <w:rStyle w:val="Lienhypertexte"/>
          </w:rPr>
          <w:t>https://www.santepubliquefrance.fr/maladies-et-traumatismes/maladies-a-prevention-vaccinale/infections-invasives-a-meningocoque/documents/bulletin-national2/infections-invasives-a-meningocoque-en-france-en-2023</w:t>
        </w:r>
      </w:hyperlink>
    </w:p>
    <w:p w:rsidR="00173380" w:rsidRDefault="00173380" w:rsidP="00173380">
      <w:pPr>
        <w:pStyle w:val="Textebrut"/>
      </w:pPr>
    </w:p>
    <w:p w:rsidR="006B0463" w:rsidRDefault="006B0463" w:rsidP="006B0463">
      <w:pPr>
        <w:pStyle w:val="Textebrut"/>
      </w:pPr>
      <w:r>
        <w:t>Risques zoonotiques et traumatiques liés aux contacts des enfants avec les animaux de compagnie non traditionnels (ACNT) (Académie nationale de médecine, 12/03/2024).</w:t>
      </w:r>
    </w:p>
    <w:p w:rsidR="006B0463" w:rsidRDefault="006B0463" w:rsidP="006B0463">
      <w:pPr>
        <w:pStyle w:val="Textebrut"/>
      </w:pPr>
      <w:r>
        <w:t>Cet avis a pour objectif de présenter les risques occasionnés par des contacts de l’enfant avec des animaux autres que le chien et le chat (animaux de compagnie non traditionnels ou ACNT). L’engouement pour ces ACNT est en progression constante qu’il s’agisse du domicile familial (reptiles, amphibiens, petits rongeurs…) ou dans des lieux publics (fermes pédagogiques, mini-fermes, zoos, animaleries, aquariums…). Ces risques sont accrus chez le jeune enfant âgé de moins de 5 ans du fait de sa plus grande vulnérabilité, de son inconscience du risque traumatique ou infectieux ainsi que son comportement naturel de mettre toujours ses mains à la bouche, la recommandation de lui laver les mains étant inadéquate dans ce cas.</w:t>
      </w:r>
    </w:p>
    <w:p w:rsidR="006B0463" w:rsidRDefault="006B0463" w:rsidP="006B0463">
      <w:pPr>
        <w:pStyle w:val="Textebrut"/>
      </w:pPr>
      <w:r>
        <w:t xml:space="preserve">À la différence de certaines zoonoses considérées comme très fréquentes comme la teigne observable simultanément chez l’animal et son propriétaire, il existe certainement une sous-estimation voire l’ignorance de certains risques pour l’enfant quand il s’agit d’un ACNT apparemment en bonne santé mais excréteur d’un agent </w:t>
      </w:r>
      <w:r>
        <w:lastRenderedPageBreak/>
        <w:t xml:space="preserve">pathogène. Les exemples sont nombreux : rat et </w:t>
      </w:r>
      <w:proofErr w:type="spellStart"/>
      <w:r>
        <w:t>hantavirus</w:t>
      </w:r>
      <w:proofErr w:type="spellEnd"/>
      <w:r>
        <w:t xml:space="preserve"> de Séoul, hamster et </w:t>
      </w:r>
      <w:proofErr w:type="spellStart"/>
      <w:r>
        <w:t>chorioméningite</w:t>
      </w:r>
      <w:proofErr w:type="spellEnd"/>
      <w:r>
        <w:t xml:space="preserve"> lymphocytaire, oiseau et Chlamydia </w:t>
      </w:r>
      <w:proofErr w:type="spellStart"/>
      <w:r>
        <w:t>psittaci</w:t>
      </w:r>
      <w:proofErr w:type="spellEnd"/>
      <w:r>
        <w:t xml:space="preserve">, ruminants et colibacillose </w:t>
      </w:r>
      <w:proofErr w:type="spellStart"/>
      <w:r>
        <w:t>entérohémorragique</w:t>
      </w:r>
      <w:proofErr w:type="spellEnd"/>
      <w:r>
        <w:t>, rongeurs, volailles ou reptiles et salmonellose… Ceci peut expliquer une sous-estimation voire l’ignorance de ces risques pour l’enfant à son domicile ou dans un lieu public où l’on oubliera d’appliquer les mesures de biosécurité permettant d’éviter une contamination directe ou indirecte</w:t>
      </w:r>
    </w:p>
    <w:p w:rsidR="00060E11" w:rsidRDefault="00173380" w:rsidP="006B0463">
      <w:pPr>
        <w:pStyle w:val="Textebrut"/>
      </w:pPr>
      <w:hyperlink r:id="rId150" w:history="1">
        <w:r w:rsidR="006B0463" w:rsidRPr="001A4431">
          <w:rPr>
            <w:rStyle w:val="Lienhypertexte"/>
          </w:rPr>
          <w:t>https://www.academie-medecine.fr/risques-zoonotiques-et-traumatiques-lies-aux-contacts-des-enfants-avec-les-animaux-de-compagnie-non-traditionnels-acnt/</w:t>
        </w:r>
      </w:hyperlink>
    </w:p>
    <w:p w:rsidR="006B0463" w:rsidRDefault="006B0463" w:rsidP="006B0463">
      <w:pPr>
        <w:pStyle w:val="Textebrut"/>
      </w:pPr>
    </w:p>
    <w:p w:rsidR="00877301" w:rsidRDefault="009551E4" w:rsidP="00877301">
      <w:pPr>
        <w:pStyle w:val="Textebrut"/>
      </w:pPr>
      <w:r w:rsidRPr="009551E4">
        <w:t>Progestatifs et risque de méningiomes intracrâniens : le BMJ publie une étude épidémiologique française (ANSM/EPI-PHARE/APHP/Assurance maladie, 28/03/2024).</w:t>
      </w:r>
    </w:p>
    <w:p w:rsidR="009551E4" w:rsidRDefault="009551E4" w:rsidP="009551E4">
      <w:pPr>
        <w:pStyle w:val="Textebrut"/>
      </w:pPr>
      <w:r>
        <w:t>Le GIS Epi-Phare (groupement d’intérêt scientifique en épidémiologie des produits de santé ANSM-</w:t>
      </w:r>
      <w:proofErr w:type="spellStart"/>
      <w:r>
        <w:t>Cnam</w:t>
      </w:r>
      <w:proofErr w:type="spellEnd"/>
      <w:r>
        <w:t xml:space="preserve">) publie dans le British </w:t>
      </w:r>
      <w:proofErr w:type="spellStart"/>
      <w:r>
        <w:t>Medical</w:t>
      </w:r>
      <w:proofErr w:type="spellEnd"/>
      <w:r>
        <w:t xml:space="preserve"> Journal (BMJ) une vaste étude de pharmaco-épidémiologie à l’origine des recommandations d’utilisation et de suivi des personnes qui doivent être traitées par des progestatifs à risque de méningiome intracrâniens.</w:t>
      </w:r>
    </w:p>
    <w:p w:rsidR="009551E4" w:rsidRDefault="009551E4" w:rsidP="009551E4">
      <w:pPr>
        <w:pStyle w:val="Textebrut"/>
      </w:pPr>
      <w:r>
        <w:t xml:space="preserve">Conduite avec l’expertise des services de gynécologie médicale de l’hôpital Bicêtre AP-HP et de neurochirurgie de l’hôpital Lariboisière AP-HP, l’étude révèle un sur-risque de méningiome en cas d’utilisation de </w:t>
      </w:r>
      <w:proofErr w:type="spellStart"/>
      <w:r>
        <w:t>médroxyprogestérone</w:t>
      </w:r>
      <w:proofErr w:type="spellEnd"/>
      <w:r>
        <w:t xml:space="preserve"> (</w:t>
      </w:r>
      <w:proofErr w:type="spellStart"/>
      <w:r>
        <w:t>Depo</w:t>
      </w:r>
      <w:proofErr w:type="spellEnd"/>
      <w:r>
        <w:t xml:space="preserve"> </w:t>
      </w:r>
      <w:proofErr w:type="spellStart"/>
      <w:r>
        <w:t>Provera</w:t>
      </w:r>
      <w:proofErr w:type="spellEnd"/>
      <w:r>
        <w:t xml:space="preserve">), contraceptif injectable très largement utilisé dans le monde (74 millions de femmes), mais pas en cas de stérilet hormonal contenant du </w:t>
      </w:r>
      <w:proofErr w:type="spellStart"/>
      <w:r>
        <w:t>lévonorgestrel</w:t>
      </w:r>
      <w:proofErr w:type="spellEnd"/>
    </w:p>
    <w:p w:rsidR="00877301" w:rsidRDefault="00173380" w:rsidP="00877301">
      <w:pPr>
        <w:pStyle w:val="Textebrut"/>
      </w:pPr>
      <w:hyperlink r:id="rId151" w:history="1">
        <w:r w:rsidR="009551E4" w:rsidRPr="000B5D66">
          <w:rPr>
            <w:rStyle w:val="Lienhypertexte"/>
          </w:rPr>
          <w:t>https://ansm.sante.fr/actualites/progestatifs-et-risque-de-meningiomes-intracraniens-le-bmj-publie-une-etude-epidemiologique-francaise</w:t>
        </w:r>
      </w:hyperlink>
    </w:p>
    <w:p w:rsidR="009551E4" w:rsidRDefault="009551E4" w:rsidP="00877301">
      <w:pPr>
        <w:pStyle w:val="Textebrut"/>
      </w:pPr>
    </w:p>
    <w:p w:rsidR="00877301" w:rsidRDefault="00877301" w:rsidP="00877301">
      <w:pPr>
        <w:pStyle w:val="Textebrut"/>
      </w:pPr>
      <w:r>
        <w:t>Infections respiratoires aiguës (grippe, bronchiolite, COVID-19). Bulletin du 27 mars 2024 (</w:t>
      </w:r>
      <w:proofErr w:type="spellStart"/>
      <w:r>
        <w:t>SpF</w:t>
      </w:r>
      <w:proofErr w:type="spellEnd"/>
      <w:r>
        <w:t>, 27/03/2024).</w:t>
      </w:r>
    </w:p>
    <w:p w:rsidR="00877301" w:rsidRDefault="00877301" w:rsidP="00877301">
      <w:pPr>
        <w:pStyle w:val="Textebrut"/>
      </w:pPr>
      <w:r>
        <w:t>Infections respiratoires aiguës (IRA) : Activité en diminution en médecine de ville et à l'hôpital.</w:t>
      </w:r>
    </w:p>
    <w:p w:rsidR="00877301" w:rsidRDefault="00877301" w:rsidP="00877301">
      <w:pPr>
        <w:pStyle w:val="Textebrut"/>
      </w:pPr>
      <w:r>
        <w:t>Grippe : Poursuite de la diminution de l’activité dans l’Hexagone avec retour des indicateurs au niveau de base dans 10 régions, 3 régions encore en phase post-épidémique. Guadeloupe et Martinique toujours en épidémie.</w:t>
      </w:r>
    </w:p>
    <w:p w:rsidR="00877301" w:rsidRDefault="00877301" w:rsidP="00877301">
      <w:pPr>
        <w:pStyle w:val="Textebrut"/>
      </w:pPr>
      <w:r>
        <w:t>Bronchiolite : Toutes les régions au niveau de base, excepté Mayotte en phase épidémique.</w:t>
      </w:r>
    </w:p>
    <w:p w:rsidR="00877301" w:rsidRDefault="00173380" w:rsidP="00877301">
      <w:pPr>
        <w:pStyle w:val="Textebrut"/>
      </w:pPr>
      <w:hyperlink r:id="rId152" w:history="1">
        <w:r w:rsidR="00DC008D" w:rsidRPr="000B5D66">
          <w:rPr>
            <w:rStyle w:val="Lienhypertexte"/>
          </w:rPr>
          <w:t>https://www.santepubliquefrance.fr/maladies-et-traumatismes/maladies-et-infections-respiratoires/grippe/documents/bulletin-national/infections-respiratoires-aigues-grippe-bronchiolite-covid-19-.-bulletin-du-27-mars-2024</w:t>
        </w:r>
      </w:hyperlink>
    </w:p>
    <w:p w:rsidR="00DC008D" w:rsidRDefault="00DC008D" w:rsidP="00877301">
      <w:pPr>
        <w:pStyle w:val="Textebrut"/>
      </w:pPr>
    </w:p>
    <w:p w:rsidR="00970C87" w:rsidRDefault="00970C87" w:rsidP="00970C87">
      <w:pPr>
        <w:pStyle w:val="Textebrut"/>
      </w:pPr>
      <w:r>
        <w:t>Gastro-entérites aiguës. Bulletin du 26 mars 2024 (</w:t>
      </w:r>
      <w:proofErr w:type="spellStart"/>
      <w:r>
        <w:t>SpF</w:t>
      </w:r>
      <w:proofErr w:type="spellEnd"/>
      <w:r>
        <w:t>, 28/03/2024).</w:t>
      </w:r>
    </w:p>
    <w:p w:rsidR="00970C87" w:rsidRDefault="00970C87" w:rsidP="00970C87">
      <w:pPr>
        <w:pStyle w:val="Textebrut"/>
      </w:pPr>
      <w:r>
        <w:t>Le taux d’incidence de diarrhée aiguë rapporté par le réseau Sentinelles se situe parmi les taux les plus bas observés habituellement en cette période les années précédentes. La proportion de consultations pour GEA pour SOS Médecins reste proche des minimums historiques. La proportion de passages aux urgences pour GEA est équivalente à la saison précédente, encadrée par les minimums et maximums historiques</w:t>
      </w:r>
    </w:p>
    <w:p w:rsidR="00970C87" w:rsidRDefault="00173380" w:rsidP="00970C87">
      <w:pPr>
        <w:pStyle w:val="Textebrut"/>
      </w:pPr>
      <w:hyperlink r:id="rId153" w:history="1">
        <w:r w:rsidR="00970C87" w:rsidRPr="000B5D66">
          <w:rPr>
            <w:rStyle w:val="Lienhypertexte"/>
          </w:rPr>
          <w:t>https://www.santepubliquefrance.fr/maladies-et-traumatismes/maladies-infectieuses-d-origine-alimentaire/gastro-enterites-aigues/documents/bulletin-national/gastro-enterites-aigues.-bulletin-du-26-mars-2024</w:t>
        </w:r>
      </w:hyperlink>
    </w:p>
    <w:p w:rsidR="00970C87" w:rsidRDefault="00970C87" w:rsidP="00970C87">
      <w:pPr>
        <w:pStyle w:val="Textebrut"/>
      </w:pPr>
    </w:p>
    <w:p w:rsidR="00537F6F" w:rsidRDefault="00537F6F" w:rsidP="00537F6F">
      <w:pPr>
        <w:pStyle w:val="Textebrut"/>
      </w:pPr>
      <w:r>
        <w:t>Bilan 2023 de la lutte contre les fraudes (ameli.fr, 28/03/2024).</w:t>
      </w:r>
    </w:p>
    <w:p w:rsidR="00537F6F" w:rsidRDefault="00537F6F" w:rsidP="00537F6F">
      <w:pPr>
        <w:pStyle w:val="Textebrut"/>
      </w:pPr>
      <w:r>
        <w:t xml:space="preserve">L’Assurance Maladie présente les résultats des actions de lutte contre les fraudes menées en 2023. Grâce à une stratégie efficace, près de 466 M€ de fraudes ont été détectées et stoppées, un montant record qui dépasse l’objectif de 380 M€ fixé initialement. Ce bilan est le résultat d’une stratégie </w:t>
      </w:r>
      <w:proofErr w:type="spellStart"/>
      <w:r>
        <w:t>anti-fraudes</w:t>
      </w:r>
      <w:proofErr w:type="spellEnd"/>
      <w:r>
        <w:t xml:space="preserve"> qui fait ses preuves, avec une accélération des contrôles et un renforcement constant des moyens humains et techniques. L’Assurance Maladie redouble de fermeté vis-à-vis des fraudeurs – assurés, professionnels de santé et établissements – avec une hausse des poursuites engagées et des pénalités financières en particulier. L’année 2023 a été particulièrement marquée par les campagnes de contrôle et d’enquête ciblant les centres de santé, aboutissant à 21 </w:t>
      </w:r>
      <w:proofErr w:type="spellStart"/>
      <w:r>
        <w:t>déconventionnements</w:t>
      </w:r>
      <w:proofErr w:type="spellEnd"/>
      <w:r>
        <w:t>. Autre fait marquant, le plan d’action national contre les pratiques frauduleuses des audioprothésistes a permis de détecter et de stopper 21,3 millions d’euros de fraudes</w:t>
      </w:r>
    </w:p>
    <w:p w:rsidR="00537F6F" w:rsidRDefault="00173380" w:rsidP="00537F6F">
      <w:pPr>
        <w:pStyle w:val="Textebrut"/>
      </w:pPr>
      <w:hyperlink r:id="rId154" w:history="1">
        <w:r w:rsidR="00537F6F" w:rsidRPr="000B5D66">
          <w:rPr>
            <w:rStyle w:val="Lienhypertexte"/>
          </w:rPr>
          <w:t>https://www.assurance-maladie.ameli.fr/presse/2024-03-28-dp-lcf</w:t>
        </w:r>
      </w:hyperlink>
    </w:p>
    <w:p w:rsidR="00537F6F" w:rsidRDefault="00537F6F" w:rsidP="00537F6F">
      <w:pPr>
        <w:pStyle w:val="Textebrut"/>
      </w:pPr>
      <w:r>
        <w:t>Le dossier de presse :</w:t>
      </w:r>
    </w:p>
    <w:p w:rsidR="00DC008D" w:rsidRDefault="00173380" w:rsidP="00537F6F">
      <w:pPr>
        <w:pStyle w:val="Textebrut"/>
      </w:pPr>
      <w:hyperlink r:id="rId155" w:history="1">
        <w:r w:rsidR="00537F6F" w:rsidRPr="000B5D66">
          <w:rPr>
            <w:rStyle w:val="Lienhypertexte"/>
          </w:rPr>
          <w:t>https://www.assurance-maladie.ameli.fr/sites/default/files/2024-03-28-DP-LCF.pdf</w:t>
        </w:r>
      </w:hyperlink>
    </w:p>
    <w:p w:rsidR="00173380" w:rsidRDefault="00173380" w:rsidP="00173380">
      <w:pPr>
        <w:pStyle w:val="Textebrut"/>
      </w:pPr>
      <w:r>
        <w:lastRenderedPageBreak/>
        <w:t>Lutte contre les fraudes à l’Assurance Maladie en 2023 : des résultats records (ameli.fr, 28/03/2024).</w:t>
      </w:r>
    </w:p>
    <w:p w:rsidR="00173380" w:rsidRDefault="00173380" w:rsidP="00173380">
      <w:pPr>
        <w:pStyle w:val="Textebrut"/>
      </w:pPr>
      <w:r>
        <w:t>En 2023, l’Assurance Maladie a détecté et stoppé un montant de fraudes de 466 millions d’euros, soit une hausse de près de 50 % par rapport à l’année 2022 et un doublement des montants depuis 2015. Ces résultats témoignent de la mobilisation des équipes et de l’efficacité des dispositifs mis en place avec l’ensemble des branches de la Sécurité sociale et les administrations engagées dans la lutte contre les fraudes</w:t>
      </w:r>
    </w:p>
    <w:p w:rsidR="00537F6F" w:rsidRDefault="00173380" w:rsidP="00173380">
      <w:pPr>
        <w:pStyle w:val="Textebrut"/>
      </w:pPr>
      <w:hyperlink r:id="rId156" w:history="1">
        <w:r w:rsidRPr="005C76BB">
          <w:rPr>
            <w:rStyle w:val="Lienhypertexte"/>
          </w:rPr>
          <w:t>https://www.ameli.fr/pharmacien/actualites/lutte-contre-les-fraudes-l-assurance-maladie-en-2023-des-resultats-records</w:t>
        </w:r>
      </w:hyperlink>
    </w:p>
    <w:p w:rsidR="00173380" w:rsidRDefault="00173380" w:rsidP="00173380">
      <w:pPr>
        <w:pStyle w:val="Textebrut"/>
      </w:pPr>
    </w:p>
    <w:p w:rsidR="00970C87" w:rsidRDefault="00970C87" w:rsidP="00970C87">
      <w:pPr>
        <w:pStyle w:val="Textebrut"/>
      </w:pPr>
      <w:r>
        <w:t>Publication d’une fiche « La Vaccination : pré requis pour sa mise en place à l’officine » (Démarche qualité à l’officine, 28/03/2024)</w:t>
      </w:r>
    </w:p>
    <w:p w:rsidR="00970C87" w:rsidRDefault="00173380" w:rsidP="00970C87">
      <w:pPr>
        <w:pStyle w:val="Textebrut"/>
      </w:pPr>
      <w:hyperlink r:id="rId157" w:history="1">
        <w:r w:rsidR="00970C87" w:rsidRPr="000B5D66">
          <w:rPr>
            <w:rStyle w:val="Lienhypertexte"/>
          </w:rPr>
          <w:t>https://6s406.r.sp1-brevo.net/mk/mr/sh/SMJz09SDriOHTBx9CCqsBNIIyAmh/EQAY_EHr3WcX</w:t>
        </w:r>
      </w:hyperlink>
    </w:p>
    <w:p w:rsidR="00970C87" w:rsidRDefault="00970C87" w:rsidP="00970C87">
      <w:pPr>
        <w:pStyle w:val="Textebrut"/>
      </w:pPr>
      <w:r>
        <w:t>Lien vers les documents :</w:t>
      </w:r>
    </w:p>
    <w:p w:rsidR="008126B0" w:rsidRDefault="00173380" w:rsidP="00970C87">
      <w:pPr>
        <w:pStyle w:val="Textebrut"/>
      </w:pPr>
      <w:hyperlink r:id="rId158" w:history="1">
        <w:r w:rsidR="00970C87" w:rsidRPr="000B5D66">
          <w:rPr>
            <w:rStyle w:val="Lienhypertexte"/>
          </w:rPr>
          <w:t>https://www.demarchequaliteofficine.fr/outils/m.23-mise-en-place-de-la-vaccination</w:t>
        </w:r>
      </w:hyperlink>
    </w:p>
    <w:p w:rsidR="00970C87" w:rsidRDefault="00970C87" w:rsidP="00970C87">
      <w:pPr>
        <w:pStyle w:val="Textebrut"/>
      </w:pPr>
    </w:p>
    <w:p w:rsidR="0091156E" w:rsidRDefault="0091156E" w:rsidP="00CD3FD6">
      <w:pPr>
        <w:pStyle w:val="Textebrut"/>
      </w:pPr>
      <w:r w:rsidRPr="0091156E">
        <w:t>MINSANTE n°2024_03 du 29/03/2024 : Décès de patients en lien avec des dialyse</w:t>
      </w:r>
      <w:r>
        <w:t>s</w:t>
      </w:r>
      <w:r w:rsidRPr="0091156E">
        <w:t xml:space="preserve"> </w:t>
      </w:r>
      <w:r w:rsidRPr="0091156E">
        <w:t>réalisées au Mali</w:t>
      </w:r>
    </w:p>
    <w:p w:rsidR="0091156E" w:rsidRDefault="0091156E" w:rsidP="00CD3FD6">
      <w:pPr>
        <w:pStyle w:val="Textebrut"/>
      </w:pPr>
      <w:hyperlink r:id="rId159" w:history="1">
        <w:r w:rsidRPr="005C76BB">
          <w:rPr>
            <w:rStyle w:val="Lienhypertexte"/>
          </w:rPr>
          <w:t>https://peps.sante.gouv.fr/actu/2024/24_minsante-ccs_2024-03.pdf</w:t>
        </w:r>
      </w:hyperlink>
    </w:p>
    <w:p w:rsidR="0091156E" w:rsidRDefault="0091156E" w:rsidP="00CD3FD6">
      <w:pPr>
        <w:pStyle w:val="Textebrut"/>
      </w:pPr>
    </w:p>
    <w:p w:rsidR="00C73E01" w:rsidRDefault="00C73E01" w:rsidP="00361AD6">
      <w:pPr>
        <w:pStyle w:val="Textebrut"/>
      </w:pPr>
      <w:bookmarkStart w:id="0" w:name="_GoBack"/>
      <w:bookmarkEnd w:id="0"/>
    </w:p>
    <w:p w:rsidR="00C73E01" w:rsidRDefault="00C73E01" w:rsidP="00361AD6">
      <w:pPr>
        <w:pStyle w:val="Textebrut"/>
      </w:pPr>
    </w:p>
    <w:p w:rsidR="00C73E01" w:rsidRDefault="00C73E01" w:rsidP="00C73E01">
      <w:pPr>
        <w:pStyle w:val="PEPS"/>
      </w:pPr>
      <w:r>
        <w:t>Rubrique ruptures :</w:t>
      </w:r>
    </w:p>
    <w:p w:rsidR="00C73E01" w:rsidRDefault="00C73E01" w:rsidP="00361AD6">
      <w:pPr>
        <w:pStyle w:val="Textebrut"/>
      </w:pPr>
    </w:p>
    <w:p w:rsidR="00FF4757" w:rsidRDefault="00FF4757" w:rsidP="00361AD6">
      <w:pPr>
        <w:pStyle w:val="Textebrut"/>
      </w:pPr>
      <w:r w:rsidRPr="00FF4757">
        <w:t>Support de présentation du Comité de suivi n° 4 « Plan hivernal » ANSM du 21/03/2024</w:t>
      </w:r>
    </w:p>
    <w:p w:rsidR="00FF4757" w:rsidRDefault="00173380" w:rsidP="00361AD6">
      <w:pPr>
        <w:pStyle w:val="Textebrut"/>
      </w:pPr>
      <w:hyperlink r:id="rId160" w:history="1">
        <w:r w:rsidR="00F62B34" w:rsidRPr="009E1CF0">
          <w:rPr>
            <w:rStyle w:val="Lienhypertexte"/>
          </w:rPr>
          <w:t>https://peps.sante.gouv.fr/actu/2024/24_ansm_presentation-comite-suivi-hiver_21032024.pdf</w:t>
        </w:r>
      </w:hyperlink>
    </w:p>
    <w:p w:rsidR="00F62B34" w:rsidRDefault="00F62B34" w:rsidP="00361AD6">
      <w:pPr>
        <w:pStyle w:val="Textebrut"/>
      </w:pPr>
    </w:p>
    <w:p w:rsidR="008C2943" w:rsidRDefault="008C2943" w:rsidP="008C2943">
      <w:pPr>
        <w:pStyle w:val="Textebrut"/>
      </w:pPr>
      <w:r>
        <w:t>Plan hivernal (ANSM, actualisation hebdomadaire)</w:t>
      </w:r>
    </w:p>
    <w:p w:rsidR="008C2943" w:rsidRDefault="00173380" w:rsidP="008C2943">
      <w:pPr>
        <w:pStyle w:val="Textebrut"/>
      </w:pPr>
      <w:hyperlink r:id="rId161" w:history="1">
        <w:r w:rsidR="008C2943" w:rsidRPr="00B57D7B">
          <w:rPr>
            <w:rStyle w:val="Lienhypertexte"/>
          </w:rPr>
          <w:t>https://ansm.sante.fr/dossiers-thematiques/plan-hivernal</w:t>
        </w:r>
      </w:hyperlink>
    </w:p>
    <w:p w:rsidR="008C2943" w:rsidRDefault="008C2943" w:rsidP="008C2943">
      <w:pPr>
        <w:pStyle w:val="Textebrut"/>
      </w:pPr>
    </w:p>
    <w:p w:rsidR="00CF4AEE" w:rsidRDefault="00CF4AEE" w:rsidP="00CF4AEE">
      <w:pPr>
        <w:pStyle w:val="Textebrut"/>
      </w:pPr>
      <w:proofErr w:type="spellStart"/>
      <w:r>
        <w:t>Menopur</w:t>
      </w:r>
      <w:proofErr w:type="spellEnd"/>
      <w:r>
        <w:t xml:space="preserve"> 75 UI et 600 UI/ml, poudre et solvant pour solution injectable – [</w:t>
      </w:r>
      <w:proofErr w:type="spellStart"/>
      <w:r>
        <w:t>ménotropine</w:t>
      </w:r>
      <w:proofErr w:type="spellEnd"/>
      <w:r>
        <w:t>] – Tension d’approvisionnement depuis le 02/11/2022 (ANSM, actualisation du 29/02/2024).</w:t>
      </w:r>
    </w:p>
    <w:p w:rsidR="00CF4AEE" w:rsidRDefault="00CF4AEE" w:rsidP="00CF4AEE">
      <w:pPr>
        <w:pStyle w:val="Textebrut"/>
      </w:pPr>
      <w:r>
        <w:t xml:space="preserve">Situation en ville : Tension. Situation à l'hôpital : Tension. Contingentement quantitatif en ville et à l'hôpital. Disponibilité d'un stock limité de dépannage d'urgence en ville et à l'hôpital. Lettre d’information du laboratoire </w:t>
      </w:r>
      <w:proofErr w:type="spellStart"/>
      <w:r>
        <w:t>Ferring</w:t>
      </w:r>
      <w:proofErr w:type="spellEnd"/>
      <w:r>
        <w:t xml:space="preserve"> en date du 28/02/2024 à destination des professionnels de santé (29/02/2024). Date de remise à disposition prévue : 01/02/2025</w:t>
      </w:r>
    </w:p>
    <w:p w:rsidR="00C73E01" w:rsidRDefault="00173380" w:rsidP="00CF4AEE">
      <w:pPr>
        <w:pStyle w:val="Textebrut"/>
      </w:pPr>
      <w:hyperlink r:id="rId162" w:history="1">
        <w:r w:rsidR="00CF4AEE" w:rsidRPr="00404281">
          <w:rPr>
            <w:rStyle w:val="Lienhypertexte"/>
          </w:rPr>
          <w:t>https://ansm.sante.fr/disponibilites-des-produits-de-sante/medicaments/menopur-75-ui-et-600-ui-ml-poudre-et-solvant-pour-solution-injectable-menotropine</w:t>
        </w:r>
      </w:hyperlink>
    </w:p>
    <w:p w:rsidR="00CF4AEE" w:rsidRDefault="00CF4AEE" w:rsidP="00CF4AEE">
      <w:pPr>
        <w:pStyle w:val="Textebrut"/>
      </w:pPr>
    </w:p>
    <w:p w:rsidR="00CD7D54" w:rsidRDefault="00CD7D54" w:rsidP="00CD7D54">
      <w:pPr>
        <w:pStyle w:val="Textebrut"/>
      </w:pPr>
      <w:proofErr w:type="spellStart"/>
      <w:r>
        <w:t>Zyvoxid</w:t>
      </w:r>
      <w:proofErr w:type="spellEnd"/>
      <w:r>
        <w:t xml:space="preserve"> 100 mg/5 ml, granulés pour suspension buvable – [</w:t>
      </w:r>
      <w:proofErr w:type="spellStart"/>
      <w:r>
        <w:t>linézolide</w:t>
      </w:r>
      <w:proofErr w:type="spellEnd"/>
      <w:r>
        <w:t>] – Rupture de stock depuis le 28/02/2024 (ANSM, 01/03/2024).</w:t>
      </w:r>
    </w:p>
    <w:p w:rsidR="00CD7D54" w:rsidRDefault="00CD7D54" w:rsidP="00CD7D54">
      <w:pPr>
        <w:pStyle w:val="Textebrut"/>
      </w:pPr>
      <w:r>
        <w:t>Situation à l'hôpital : Rupture. Date de remise à disposition prévue : Fin mars 2024</w:t>
      </w:r>
    </w:p>
    <w:p w:rsidR="00CD7D54" w:rsidRDefault="00173380" w:rsidP="00CD7D54">
      <w:pPr>
        <w:pStyle w:val="Textebrut"/>
      </w:pPr>
      <w:hyperlink r:id="rId163" w:history="1">
        <w:r w:rsidR="00CD7D54" w:rsidRPr="00FC2E94">
          <w:rPr>
            <w:rStyle w:val="Lienhypertexte"/>
          </w:rPr>
          <w:t>https://ansm.sante.fr/disponibilites-des-produits-de-sante/medicaments/zyvoxid-100-mg-5-ml-granules-pour-suspension-buvable-linezolide</w:t>
        </w:r>
      </w:hyperlink>
    </w:p>
    <w:p w:rsidR="00CD7D54" w:rsidRDefault="00CD7D54" w:rsidP="00CD7D54">
      <w:pPr>
        <w:pStyle w:val="Textebrut"/>
      </w:pPr>
    </w:p>
    <w:p w:rsidR="0090794B" w:rsidRDefault="0090794B" w:rsidP="0090794B">
      <w:pPr>
        <w:pStyle w:val="Textebrut"/>
      </w:pPr>
      <w:proofErr w:type="spellStart"/>
      <w:r>
        <w:t>GlucaGen</w:t>
      </w:r>
      <w:proofErr w:type="spellEnd"/>
      <w:r>
        <w:t xml:space="preserve"> Kit 1 mg/ml, poudre et solvant pour solution injectable – [glucagon (chlorhydrate de)] – Remise à disposition à partir du 04/03/2024 (ANSM, 04/03/2024)</w:t>
      </w:r>
    </w:p>
    <w:p w:rsidR="0090794B" w:rsidRDefault="00173380" w:rsidP="0090794B">
      <w:pPr>
        <w:pStyle w:val="Textebrut"/>
      </w:pPr>
      <w:hyperlink r:id="rId164" w:history="1">
        <w:r w:rsidR="0090794B" w:rsidRPr="00ED0EC0">
          <w:rPr>
            <w:rStyle w:val="Lienhypertexte"/>
          </w:rPr>
          <w:t>https://ansm.sante.fr/disponibilites-des-produits-de-sante/medicaments/glucagen-kit-1-mg-ml-poudre-et-solvant-pour-solution-injectable-glucagon-chlorhydrate-de</w:t>
        </w:r>
      </w:hyperlink>
    </w:p>
    <w:p w:rsidR="0090794B" w:rsidRDefault="0090794B" w:rsidP="0090794B">
      <w:pPr>
        <w:pStyle w:val="Textebrut"/>
      </w:pPr>
    </w:p>
    <w:p w:rsidR="00E95EB0" w:rsidRDefault="00E95EB0" w:rsidP="00E95EB0">
      <w:pPr>
        <w:pStyle w:val="Textebrut"/>
      </w:pPr>
      <w:r>
        <w:t>Méthotrexate Accord, solution injectable – [méthotrexate] – Rupture de stock depuis le 12/01/2023 (ANSM, actualisation du 05/03/2024).</w:t>
      </w:r>
    </w:p>
    <w:p w:rsidR="00E95EB0" w:rsidRDefault="00E95EB0" w:rsidP="00E95EB0">
      <w:pPr>
        <w:pStyle w:val="Textebrut"/>
      </w:pPr>
      <w:r>
        <w:t>Rupture de stock de la présentation en flacon de 10 ml de Méthotrexate Accord 100 mg/</w:t>
      </w:r>
      <w:proofErr w:type="spellStart"/>
      <w:r>
        <w:t>mL</w:t>
      </w:r>
      <w:proofErr w:type="spellEnd"/>
      <w:r>
        <w:t>, solution à diluer pour perfusion. Rupture de stock de la présentation en flacon de 50 ml de Méthotrexate Accord 100 mg/</w:t>
      </w:r>
      <w:proofErr w:type="spellStart"/>
      <w:r>
        <w:t>mL</w:t>
      </w:r>
      <w:proofErr w:type="spellEnd"/>
      <w:r>
        <w:t xml:space="preserve">, </w:t>
      </w:r>
      <w:r>
        <w:lastRenderedPageBreak/>
        <w:t>solution à diluer pour perfusion. La présentation en flacon de 2 ml de Méthotrexate Accord 25 mg/ml, solution injectable (50 mg/2 ml) est disponible. Remise à disposition normale indéterminée</w:t>
      </w:r>
    </w:p>
    <w:p w:rsidR="0090794B" w:rsidRDefault="00173380" w:rsidP="00E95EB0">
      <w:pPr>
        <w:pStyle w:val="Textebrut"/>
      </w:pPr>
      <w:hyperlink r:id="rId165" w:history="1">
        <w:r w:rsidR="00E95EB0" w:rsidRPr="007A6A69">
          <w:rPr>
            <w:rStyle w:val="Lienhypertexte"/>
          </w:rPr>
          <w:t>https://ansm.sante.fr/disponibilites-des-produits-de-sante/medicaments/methotrexate-accord-solution-injectable-methotrexate</w:t>
        </w:r>
      </w:hyperlink>
    </w:p>
    <w:p w:rsidR="00E95EB0" w:rsidRDefault="00E95EB0" w:rsidP="00E95EB0">
      <w:pPr>
        <w:pStyle w:val="Textebrut"/>
      </w:pPr>
    </w:p>
    <w:p w:rsidR="00E95EB0" w:rsidRDefault="00E95EB0" w:rsidP="00E95EB0">
      <w:pPr>
        <w:pStyle w:val="Textebrut"/>
      </w:pPr>
      <w:proofErr w:type="spellStart"/>
      <w:r>
        <w:t>Lamotrigine</w:t>
      </w:r>
      <w:proofErr w:type="spellEnd"/>
      <w:r>
        <w:t xml:space="preserve"> 5 mg, 25 mg, 50 mg 100 mg et 200 mg, comprimé </w:t>
      </w:r>
      <w:proofErr w:type="spellStart"/>
      <w:r>
        <w:t>dispersible</w:t>
      </w:r>
      <w:proofErr w:type="spellEnd"/>
      <w:r>
        <w:t xml:space="preserve"> ou à croquer – [</w:t>
      </w:r>
      <w:proofErr w:type="spellStart"/>
      <w:r>
        <w:t>lamotrigine</w:t>
      </w:r>
      <w:proofErr w:type="spellEnd"/>
      <w:r>
        <w:t>] – Tension d’approvisionnement depuis le 02/02/2023 (ANSM, actualisation du 05/03/2024).</w:t>
      </w:r>
    </w:p>
    <w:p w:rsidR="00E95EB0" w:rsidRDefault="00E95EB0" w:rsidP="00E95EB0">
      <w:pPr>
        <w:pStyle w:val="Textebrut"/>
      </w:pPr>
      <w:r>
        <w:t>Tension d'approvisionnement en ville. Distribution contingentée en ville. Les DROM et les hôpitaux ne sont pas impactés par cette mesure. Remise à disposition indéterminée</w:t>
      </w:r>
    </w:p>
    <w:p w:rsidR="00E95EB0" w:rsidRDefault="00173380" w:rsidP="00E95EB0">
      <w:pPr>
        <w:pStyle w:val="Textebrut"/>
      </w:pPr>
      <w:hyperlink r:id="rId166" w:history="1">
        <w:r w:rsidR="00E95EB0" w:rsidRPr="007A6A69">
          <w:rPr>
            <w:rStyle w:val="Lienhypertexte"/>
          </w:rPr>
          <w:t>https://ansm.sante.fr/disponibilites-des-produits-de-sante/medicaments/lamotrigine-5-mg-25-mg-50-mg-100-mg-et-200-mg-comprime-dispersible-ou-a-croquer-lamotrigine</w:t>
        </w:r>
      </w:hyperlink>
    </w:p>
    <w:p w:rsidR="00E95EB0" w:rsidRDefault="00E95EB0" w:rsidP="00E95EB0">
      <w:pPr>
        <w:pStyle w:val="Textebrut"/>
      </w:pPr>
    </w:p>
    <w:p w:rsidR="00E95EB0" w:rsidRDefault="00E95EB0" w:rsidP="00E95EB0">
      <w:pPr>
        <w:pStyle w:val="Textebrut"/>
      </w:pPr>
      <w:proofErr w:type="spellStart"/>
      <w:r>
        <w:t>Ixiaro</w:t>
      </w:r>
      <w:proofErr w:type="spellEnd"/>
      <w:r>
        <w:t xml:space="preserve">, suspension injectable. Vaccin de l'encéphalite japonaise (inactivé, adsorbé) – [virus de l'encéphalite japonaise inactivé, souche </w:t>
      </w:r>
      <w:proofErr w:type="gramStart"/>
      <w:r>
        <w:t>SA(</w:t>
      </w:r>
      <w:proofErr w:type="gramEnd"/>
      <w:r>
        <w:t>14)-14-2] – Remise à disposition à partir du 04/03/2024 (ANSM, 05/03/2024)</w:t>
      </w:r>
    </w:p>
    <w:p w:rsidR="00E95EB0" w:rsidRDefault="00173380" w:rsidP="00E95EB0">
      <w:pPr>
        <w:pStyle w:val="Textebrut"/>
      </w:pPr>
      <w:hyperlink r:id="rId167" w:history="1">
        <w:r w:rsidR="00E95EB0" w:rsidRPr="007A6A69">
          <w:rPr>
            <w:rStyle w:val="Lienhypertexte"/>
          </w:rPr>
          <w:t>https://ansm.sante.fr/disponibilites-des-produits-de-sante/vaccins/ixiaro-suspension-injectable-vaccin-de-lencephalite-japonaise-inactive-adsorbe-virus-de-lencephalite-japonaise-inactive-souche-sa-14-14-2</w:t>
        </w:r>
      </w:hyperlink>
    </w:p>
    <w:p w:rsidR="00E95EB0" w:rsidRDefault="00E95EB0" w:rsidP="00E95EB0">
      <w:pPr>
        <w:pStyle w:val="Textebrut"/>
      </w:pPr>
    </w:p>
    <w:p w:rsidR="00E95EB0" w:rsidRDefault="00E95EB0" w:rsidP="00E95EB0">
      <w:pPr>
        <w:pStyle w:val="Textebrut"/>
      </w:pPr>
      <w:proofErr w:type="spellStart"/>
      <w:r>
        <w:t>Zinnat</w:t>
      </w:r>
      <w:proofErr w:type="spellEnd"/>
      <w:r>
        <w:t xml:space="preserve"> 125 mg/5 ml enfants et nourrissons, granulés pour suspension buvable en flacon de de 80 ml – [</w:t>
      </w:r>
      <w:proofErr w:type="spellStart"/>
      <w:r>
        <w:t>céfuroxime</w:t>
      </w:r>
      <w:proofErr w:type="spellEnd"/>
      <w:r>
        <w:t xml:space="preserve"> </w:t>
      </w:r>
      <w:proofErr w:type="spellStart"/>
      <w:r>
        <w:t>axétil</w:t>
      </w:r>
      <w:proofErr w:type="spellEnd"/>
      <w:r>
        <w:t>] – Tension d’approvisionnement depuis le 12/09/2023 (ANSM, actualisation du 05/03/2024).</w:t>
      </w:r>
    </w:p>
    <w:p w:rsidR="00E95EB0" w:rsidRDefault="00E95EB0" w:rsidP="00E95EB0">
      <w:pPr>
        <w:pStyle w:val="Textebrut"/>
      </w:pPr>
      <w:r>
        <w:t>Situation en ville : tension. Situation à l'hôpital : non impactée. Contingentement quantitatif en ville. Date de remise à disposition prévue : mai 2024</w:t>
      </w:r>
    </w:p>
    <w:p w:rsidR="00E95EB0" w:rsidRDefault="00173380" w:rsidP="00E95EB0">
      <w:pPr>
        <w:pStyle w:val="Textebrut"/>
      </w:pPr>
      <w:hyperlink r:id="rId168" w:history="1">
        <w:r w:rsidR="00E95EB0" w:rsidRPr="007A6A69">
          <w:rPr>
            <w:rStyle w:val="Lienhypertexte"/>
          </w:rPr>
          <w:t>https://ansm.sante.fr/disponibilites-des-produits-de-sante/medicaments/zinnat-125-mg-5-ml-enfants-et-nourrissons-granules-pour-suspension-buvable-en-flacon-de-de-80-ml-cefuroxime-axetil</w:t>
        </w:r>
      </w:hyperlink>
    </w:p>
    <w:p w:rsidR="00E95EB0" w:rsidRDefault="00E95EB0" w:rsidP="00E95EB0">
      <w:pPr>
        <w:pStyle w:val="Textebrut"/>
      </w:pPr>
    </w:p>
    <w:p w:rsidR="00E95EB0" w:rsidRDefault="00E95EB0" w:rsidP="00E95EB0">
      <w:pPr>
        <w:pStyle w:val="Textebrut"/>
      </w:pPr>
      <w:proofErr w:type="spellStart"/>
      <w:r>
        <w:t>Ritaline</w:t>
      </w:r>
      <w:proofErr w:type="spellEnd"/>
      <w:r>
        <w:t xml:space="preserve"> L.P. 10 mg et 20 mg, gélule à libération prolongée – [</w:t>
      </w:r>
      <w:proofErr w:type="spellStart"/>
      <w:r>
        <w:t>méthylphénidate</w:t>
      </w:r>
      <w:proofErr w:type="spellEnd"/>
      <w:r>
        <w:t xml:space="preserve"> (chlorhydrate de)] – Remise à disposition à partir du 29/02/2024 (ANSM, 05/03/2024)</w:t>
      </w:r>
    </w:p>
    <w:p w:rsidR="00E95EB0" w:rsidRDefault="00173380" w:rsidP="00E95EB0">
      <w:pPr>
        <w:pStyle w:val="Textebrut"/>
      </w:pPr>
      <w:hyperlink r:id="rId169" w:history="1">
        <w:r w:rsidR="00E95EB0" w:rsidRPr="007A6A69">
          <w:rPr>
            <w:rStyle w:val="Lienhypertexte"/>
          </w:rPr>
          <w:t>https://ansm.sante.fr/disponibilites-des-produits-de-sante/medicaments/ritaline-l-p-10-mg-et-20-mg-gelule-a-liberation-prolongee-methylphenidate-chlorhydrate-de</w:t>
        </w:r>
      </w:hyperlink>
    </w:p>
    <w:p w:rsidR="00E95EB0" w:rsidRDefault="00E95EB0" w:rsidP="00E95EB0">
      <w:pPr>
        <w:pStyle w:val="Textebrut"/>
      </w:pPr>
    </w:p>
    <w:p w:rsidR="001C09BA" w:rsidRDefault="001C09BA" w:rsidP="001C09BA">
      <w:pPr>
        <w:pStyle w:val="Textebrut"/>
      </w:pPr>
      <w:proofErr w:type="spellStart"/>
      <w:r>
        <w:t>Tercian</w:t>
      </w:r>
      <w:proofErr w:type="spellEnd"/>
      <w:r>
        <w:t xml:space="preserve"> 50 mg/5 ml, solution injectable en ampoule – [</w:t>
      </w:r>
      <w:proofErr w:type="spellStart"/>
      <w:r>
        <w:t>cyamémazine</w:t>
      </w:r>
      <w:proofErr w:type="spellEnd"/>
      <w:r>
        <w:t>] – Tension d’approvisionnement depuis le 31/07/2023 (ANSM, actualisation du 07/03/2024).</w:t>
      </w:r>
    </w:p>
    <w:p w:rsidR="001C09BA" w:rsidRDefault="001C09BA" w:rsidP="001C09BA">
      <w:pPr>
        <w:pStyle w:val="Textebrut"/>
      </w:pPr>
      <w:r>
        <w:t>Situation en ville : tension. Situation à l'hôpital : tension. Contingentement quantitatif en ville et à l'hôpital. Date de remise à disposition prévue : indéterminée</w:t>
      </w:r>
    </w:p>
    <w:p w:rsidR="00E95EB0" w:rsidRDefault="00173380" w:rsidP="001C09BA">
      <w:pPr>
        <w:pStyle w:val="Textebrut"/>
      </w:pPr>
      <w:hyperlink r:id="rId170" w:history="1">
        <w:r w:rsidR="001C09BA" w:rsidRPr="00C66783">
          <w:rPr>
            <w:rStyle w:val="Lienhypertexte"/>
          </w:rPr>
          <w:t>https://ansm.sante.fr/disponibilites-des-produits-de-sante/medicaments/tercian-50-mg-5-ml-solution-injectable-en-ampoule-cyamemazine</w:t>
        </w:r>
      </w:hyperlink>
    </w:p>
    <w:p w:rsidR="001C09BA" w:rsidRDefault="001C09BA" w:rsidP="001C09BA">
      <w:pPr>
        <w:pStyle w:val="Textebrut"/>
      </w:pPr>
    </w:p>
    <w:p w:rsidR="001C09BA" w:rsidRDefault="001C09BA" w:rsidP="001C09BA">
      <w:pPr>
        <w:pStyle w:val="Textebrut"/>
      </w:pPr>
      <w:proofErr w:type="spellStart"/>
      <w:r>
        <w:t>Requip</w:t>
      </w:r>
      <w:proofErr w:type="spellEnd"/>
      <w:r>
        <w:t xml:space="preserve"> 5 mg, comprimé pelliculé – [</w:t>
      </w:r>
      <w:proofErr w:type="spellStart"/>
      <w:r>
        <w:t>ropinirole</w:t>
      </w:r>
      <w:proofErr w:type="spellEnd"/>
      <w:r>
        <w:t xml:space="preserve"> (chlorhydrate de)] – Remise à disposition à partir du 23/01/2024 (ANSM, 07/03/2024)</w:t>
      </w:r>
    </w:p>
    <w:p w:rsidR="001C09BA" w:rsidRDefault="00173380" w:rsidP="001C09BA">
      <w:pPr>
        <w:pStyle w:val="Textebrut"/>
      </w:pPr>
      <w:hyperlink r:id="rId171" w:history="1">
        <w:r w:rsidR="001C09BA" w:rsidRPr="00C66783">
          <w:rPr>
            <w:rStyle w:val="Lienhypertexte"/>
          </w:rPr>
          <w:t>https://ansm.sante.fr/disponibilites-des-produits-de-sante/medicaments/requip-5-mg-comprime-pellicule-ropinirole-chlorhydrate-de</w:t>
        </w:r>
      </w:hyperlink>
    </w:p>
    <w:p w:rsidR="001C09BA" w:rsidRDefault="001C09BA" w:rsidP="001C09BA">
      <w:pPr>
        <w:pStyle w:val="Textebrut"/>
      </w:pPr>
    </w:p>
    <w:p w:rsidR="00DB00B0" w:rsidRDefault="00DB00B0" w:rsidP="00DB00B0">
      <w:pPr>
        <w:pStyle w:val="Textebrut"/>
      </w:pPr>
      <w:proofErr w:type="spellStart"/>
      <w:r>
        <w:t>Zithromax</w:t>
      </w:r>
      <w:proofErr w:type="spellEnd"/>
      <w:r>
        <w:t xml:space="preserve"> 40 mg/ml enfants, poudre pour suspension buvable – [</w:t>
      </w:r>
      <w:proofErr w:type="spellStart"/>
      <w:r>
        <w:t>Azithromycine</w:t>
      </w:r>
      <w:proofErr w:type="spellEnd"/>
      <w:r>
        <w:t xml:space="preserve"> </w:t>
      </w:r>
      <w:proofErr w:type="spellStart"/>
      <w:r>
        <w:t>dihydratée</w:t>
      </w:r>
      <w:proofErr w:type="spellEnd"/>
      <w:r>
        <w:t>] – Tension d’approvisionnement depuis le 08/12/2023 (ANSM, actualisation du 08/03/2024).</w:t>
      </w:r>
    </w:p>
    <w:p w:rsidR="00DB00B0" w:rsidRDefault="00DB00B0" w:rsidP="00DB00B0">
      <w:pPr>
        <w:pStyle w:val="Textebrut"/>
      </w:pPr>
      <w:r>
        <w:t>Situation en ville : Tension. Situation à l'hôpital : Tension. Contingentement quantitatif en ville. Date de remise à disposition prévue : fin mars - début avril 2024</w:t>
      </w:r>
    </w:p>
    <w:p w:rsidR="00DB00B0" w:rsidRDefault="00173380" w:rsidP="00DB00B0">
      <w:pPr>
        <w:pStyle w:val="Textebrut"/>
      </w:pPr>
      <w:hyperlink r:id="rId172" w:history="1">
        <w:r w:rsidR="00DB00B0" w:rsidRPr="0071307D">
          <w:rPr>
            <w:rStyle w:val="Lienhypertexte"/>
          </w:rPr>
          <w:t>https://ansm.sante.fr/disponibilites-des-produits-de-sante/medicaments/zithromax-40-mg-ml-enfants-poudre-pour-suspension-buvable-azithromycine-dihydratee</w:t>
        </w:r>
      </w:hyperlink>
    </w:p>
    <w:p w:rsidR="00DB00B0" w:rsidRDefault="00DB00B0" w:rsidP="00DB00B0">
      <w:pPr>
        <w:pStyle w:val="Textebrut"/>
      </w:pPr>
    </w:p>
    <w:p w:rsidR="00DB00B0" w:rsidRDefault="00DB00B0" w:rsidP="00DB00B0">
      <w:pPr>
        <w:pStyle w:val="Textebrut"/>
      </w:pPr>
      <w:proofErr w:type="spellStart"/>
      <w:r>
        <w:t>Micropakine</w:t>
      </w:r>
      <w:proofErr w:type="spellEnd"/>
      <w:r>
        <w:t xml:space="preserve"> L.P., granulés à libération prolongée en sachet-dose – [acide </w:t>
      </w:r>
      <w:proofErr w:type="spellStart"/>
      <w:r>
        <w:t>valproïque</w:t>
      </w:r>
      <w:proofErr w:type="spellEnd"/>
      <w:r>
        <w:t>, sodium (</w:t>
      </w:r>
      <w:proofErr w:type="spellStart"/>
      <w:r>
        <w:t>valproate</w:t>
      </w:r>
      <w:proofErr w:type="spellEnd"/>
      <w:r>
        <w:t xml:space="preserve"> de)] – Tension d’approvisionnement depuis le 31/05/2023 (ANSM, actualisation du 08/03/2024).</w:t>
      </w:r>
    </w:p>
    <w:p w:rsidR="00DB00B0" w:rsidRDefault="00DB00B0" w:rsidP="00DB00B0">
      <w:pPr>
        <w:pStyle w:val="Textebrut"/>
      </w:pPr>
      <w:r>
        <w:t xml:space="preserve">Situation en ville : Tension. Situation à l'hôpital : non impactée. Contingentement quantitatif en ville. Remise à disposition normale des dosages 750 mg et 1000 mg. Remise à disposition normale prévue début avril 2024 pour : </w:t>
      </w:r>
      <w:proofErr w:type="spellStart"/>
      <w:r>
        <w:lastRenderedPageBreak/>
        <w:t>Micropakine</w:t>
      </w:r>
      <w:proofErr w:type="spellEnd"/>
      <w:r>
        <w:t xml:space="preserve"> L.P. 100 mg, granulés à libération prolongée en sachet-dose ; </w:t>
      </w:r>
      <w:proofErr w:type="spellStart"/>
      <w:r>
        <w:t>Micropakine</w:t>
      </w:r>
      <w:proofErr w:type="spellEnd"/>
      <w:r>
        <w:t xml:space="preserve"> L.P. 250 mg, granulés à libération prolongée en sachet-dose ; </w:t>
      </w:r>
      <w:proofErr w:type="spellStart"/>
      <w:r>
        <w:t>Micropakine</w:t>
      </w:r>
      <w:proofErr w:type="spellEnd"/>
      <w:r>
        <w:t xml:space="preserve"> L.P. 500 mg, granulés à libération prolongée en sachet-dose</w:t>
      </w:r>
    </w:p>
    <w:p w:rsidR="00DB00B0" w:rsidRDefault="00173380" w:rsidP="00DB00B0">
      <w:pPr>
        <w:pStyle w:val="Textebrut"/>
      </w:pPr>
      <w:hyperlink r:id="rId173" w:history="1">
        <w:r w:rsidR="00DB00B0" w:rsidRPr="0071307D">
          <w:rPr>
            <w:rStyle w:val="Lienhypertexte"/>
          </w:rPr>
          <w:t>https://ansm.sante.fr/disponibilites-des-produits-de-sante/medicaments/micropakine-l-p-granules-a-liberation-prolongee-en-sachet-dose-acide-valproique-sodium-valproate-de</w:t>
        </w:r>
      </w:hyperlink>
    </w:p>
    <w:p w:rsidR="00DB00B0" w:rsidRDefault="00DB00B0" w:rsidP="00DB00B0">
      <w:pPr>
        <w:pStyle w:val="Textebrut"/>
      </w:pPr>
    </w:p>
    <w:p w:rsidR="00272E14" w:rsidRDefault="00272E14" w:rsidP="00272E14">
      <w:pPr>
        <w:pStyle w:val="Textebrut"/>
      </w:pPr>
      <w:proofErr w:type="spellStart"/>
      <w:r>
        <w:t>Ofloxacine</w:t>
      </w:r>
      <w:proofErr w:type="spellEnd"/>
      <w:r>
        <w:t xml:space="preserve"> </w:t>
      </w:r>
      <w:proofErr w:type="spellStart"/>
      <w:r>
        <w:t>Biogaran</w:t>
      </w:r>
      <w:proofErr w:type="spellEnd"/>
      <w:r>
        <w:t xml:space="preserve"> 1,5 mg/0,5 ml, solution pour instillation auriculaire en récipient unidose – [</w:t>
      </w:r>
      <w:proofErr w:type="spellStart"/>
      <w:r>
        <w:t>ofloxacine</w:t>
      </w:r>
      <w:proofErr w:type="spellEnd"/>
      <w:r>
        <w:t>] – Remise à disposition à partir du 11/03/2024 (ANSM, 11/03/2024)</w:t>
      </w:r>
    </w:p>
    <w:p w:rsidR="00BF6CD2" w:rsidRDefault="00173380" w:rsidP="00272E14">
      <w:pPr>
        <w:pStyle w:val="Textebrut"/>
      </w:pPr>
      <w:hyperlink r:id="rId174" w:history="1">
        <w:r w:rsidR="00272E14" w:rsidRPr="00291F3C">
          <w:rPr>
            <w:rStyle w:val="Lienhypertexte"/>
          </w:rPr>
          <w:t>https://ansm.sante.fr/disponibilites-des-produits-de-sante/medicaments/ofloxacine-biogaran-1-5-mg-0-5-ml-solution-pour-instillation-auriculaire-en-recipient-unidose-ofloxacine</w:t>
        </w:r>
      </w:hyperlink>
    </w:p>
    <w:p w:rsidR="00272E14" w:rsidRDefault="00272E14" w:rsidP="00272E14">
      <w:pPr>
        <w:pStyle w:val="Textebrut"/>
      </w:pPr>
    </w:p>
    <w:p w:rsidR="00F402F2" w:rsidRDefault="00F402F2" w:rsidP="00F402F2">
      <w:pPr>
        <w:pStyle w:val="Textebrut"/>
      </w:pPr>
      <w:r>
        <w:t>Coli-</w:t>
      </w:r>
      <w:proofErr w:type="spellStart"/>
      <w:r>
        <w:t>Genta</w:t>
      </w:r>
      <w:proofErr w:type="spellEnd"/>
      <w:r>
        <w:t xml:space="preserve"> AP-HP 27 mg - 50 mg gélule enfant – [colistine, gentamicine] – Rupture de stock depuis le 06/03/2024 (ANSM, 12/03/2024).</w:t>
      </w:r>
    </w:p>
    <w:p w:rsidR="00F402F2" w:rsidRDefault="00F402F2" w:rsidP="00F402F2">
      <w:pPr>
        <w:pStyle w:val="Textebrut"/>
      </w:pPr>
      <w:r>
        <w:t>Situation à l'hôpital : Rupture. Lettre d’information du laboratoire AGEPS AP-HP en date du 12/03/2024 à l'attention des professionnels de santé (12/03/2024). Date de remise à disposition prévue : fin juillet 2024</w:t>
      </w:r>
    </w:p>
    <w:p w:rsidR="00F402F2" w:rsidRDefault="00173380" w:rsidP="00F402F2">
      <w:pPr>
        <w:pStyle w:val="Textebrut"/>
      </w:pPr>
      <w:hyperlink r:id="rId175" w:history="1">
        <w:r w:rsidR="00F402F2" w:rsidRPr="004D6410">
          <w:rPr>
            <w:rStyle w:val="Lienhypertexte"/>
          </w:rPr>
          <w:t>https://ansm.sante.fr/disponibilites-des-produits-de-sante/medicaments/coli-genta-ap-hp-27-mg-50-mg-gelule-enfant-colistine-gentamicine</w:t>
        </w:r>
      </w:hyperlink>
    </w:p>
    <w:p w:rsidR="00F402F2" w:rsidRDefault="00F402F2" w:rsidP="00F402F2">
      <w:pPr>
        <w:pStyle w:val="Textebrut"/>
      </w:pPr>
    </w:p>
    <w:p w:rsidR="00F402F2" w:rsidRDefault="00F402F2" w:rsidP="00F402F2">
      <w:pPr>
        <w:pStyle w:val="Textebrut"/>
      </w:pPr>
      <w:proofErr w:type="spellStart"/>
      <w:r>
        <w:t>Creon</w:t>
      </w:r>
      <w:proofErr w:type="spellEnd"/>
      <w:r>
        <w:t xml:space="preserve"> 5 000 U, granulés gastro-résistants – [pancréatine] – Tension d’approvisionnement à partir du 08/03/2024 (ANSM, 12/03/2024).</w:t>
      </w:r>
    </w:p>
    <w:p w:rsidR="00F402F2" w:rsidRDefault="00F402F2" w:rsidP="00F402F2">
      <w:pPr>
        <w:pStyle w:val="Textebrut"/>
      </w:pPr>
      <w:r>
        <w:t xml:space="preserve">Tension d'approvisionnement de la spécialité </w:t>
      </w:r>
      <w:proofErr w:type="spellStart"/>
      <w:r>
        <w:t>Creon</w:t>
      </w:r>
      <w:proofErr w:type="spellEnd"/>
      <w:r>
        <w:t xml:space="preserve"> 5000 U, granulés gastro-résistants. Distribution contingentée en ville. Distribution normale à l'hôpital. Remise à disposition normale indéterminée</w:t>
      </w:r>
    </w:p>
    <w:p w:rsidR="00F402F2" w:rsidRDefault="00173380" w:rsidP="00F402F2">
      <w:pPr>
        <w:pStyle w:val="Textebrut"/>
      </w:pPr>
      <w:hyperlink r:id="rId176" w:history="1">
        <w:r w:rsidR="00F402F2" w:rsidRPr="004D6410">
          <w:rPr>
            <w:rStyle w:val="Lienhypertexte"/>
          </w:rPr>
          <w:t>https://ansm.sante.fr/disponibilites-des-produits-de-sante/medicaments/creon-5-000-u-granules-gastro-resistants-pancreatine</w:t>
        </w:r>
      </w:hyperlink>
    </w:p>
    <w:p w:rsidR="00F402F2" w:rsidRDefault="00F402F2" w:rsidP="00F402F2">
      <w:pPr>
        <w:pStyle w:val="Textebrut"/>
      </w:pPr>
    </w:p>
    <w:p w:rsidR="00F402F2" w:rsidRDefault="00F402F2" w:rsidP="00F402F2">
      <w:pPr>
        <w:pStyle w:val="Textebrut"/>
      </w:pPr>
      <w:proofErr w:type="spellStart"/>
      <w:r>
        <w:t>Ipratropium</w:t>
      </w:r>
      <w:proofErr w:type="spellEnd"/>
      <w:r>
        <w:t xml:space="preserve"> </w:t>
      </w:r>
      <w:proofErr w:type="spellStart"/>
      <w:r>
        <w:t>Teva</w:t>
      </w:r>
      <w:proofErr w:type="spellEnd"/>
      <w:r>
        <w:t xml:space="preserve"> 0,5 mg/2 ml adultes, solution pour inhalation par nébuliseur en récipient unidose – [</w:t>
      </w:r>
      <w:proofErr w:type="spellStart"/>
      <w:r>
        <w:t>ipratropium</w:t>
      </w:r>
      <w:proofErr w:type="spellEnd"/>
      <w:r>
        <w:t xml:space="preserve"> (bromure d') – Rupture de stock depuis le 13/11/2023 (ANSM, 12/03/2024).</w:t>
      </w:r>
    </w:p>
    <w:p w:rsidR="00F402F2" w:rsidRDefault="00F402F2" w:rsidP="00F402F2">
      <w:pPr>
        <w:pStyle w:val="Textebrut"/>
      </w:pPr>
      <w:r>
        <w:t>Rupture de stock en ville. Les autres laboratoires peuvent compenser. Remise à disposition normale prévue septembre 2024</w:t>
      </w:r>
    </w:p>
    <w:p w:rsidR="00F402F2" w:rsidRDefault="00173380" w:rsidP="00F402F2">
      <w:pPr>
        <w:pStyle w:val="Textebrut"/>
      </w:pPr>
      <w:hyperlink r:id="rId177" w:history="1">
        <w:r w:rsidR="00F402F2" w:rsidRPr="004D6410">
          <w:rPr>
            <w:rStyle w:val="Lienhypertexte"/>
          </w:rPr>
          <w:t>https://ansm.sante.fr/disponibilites-des-produits-de-sante/medicaments/ipratropium-teva-0-5-mg-2-ml-adultes-solution-pour-inhalation-par-nebuliseur-en-recipient-unidose-ipratropium-bromure-d</w:t>
        </w:r>
      </w:hyperlink>
    </w:p>
    <w:p w:rsidR="00F402F2" w:rsidRDefault="00F402F2" w:rsidP="00F402F2">
      <w:pPr>
        <w:pStyle w:val="Textebrut"/>
      </w:pPr>
    </w:p>
    <w:p w:rsidR="00A43AC4" w:rsidRDefault="00A43AC4" w:rsidP="00A43AC4">
      <w:pPr>
        <w:pStyle w:val="Textebrut"/>
      </w:pPr>
      <w:proofErr w:type="spellStart"/>
      <w:r>
        <w:t>Corvasal</w:t>
      </w:r>
      <w:proofErr w:type="spellEnd"/>
      <w:r>
        <w:t xml:space="preserve"> 2 mg et 4 mg, comprimé, </w:t>
      </w:r>
      <w:proofErr w:type="spellStart"/>
      <w:r>
        <w:t>Molsidomine</w:t>
      </w:r>
      <w:proofErr w:type="spellEnd"/>
      <w:r>
        <w:t xml:space="preserve"> 2 mg et 4 mg, comprimé – [</w:t>
      </w:r>
      <w:proofErr w:type="spellStart"/>
      <w:r>
        <w:t>molsidomine</w:t>
      </w:r>
      <w:proofErr w:type="spellEnd"/>
      <w:r>
        <w:t>] – Remise à disposition à partir du 27/02/2024 (ANSM, 12/03/2024)</w:t>
      </w:r>
    </w:p>
    <w:p w:rsidR="00F402F2" w:rsidRDefault="00173380" w:rsidP="00A43AC4">
      <w:pPr>
        <w:pStyle w:val="Textebrut"/>
      </w:pPr>
      <w:hyperlink r:id="rId178" w:history="1">
        <w:r w:rsidR="00A43AC4" w:rsidRPr="004D6410">
          <w:rPr>
            <w:rStyle w:val="Lienhypertexte"/>
          </w:rPr>
          <w:t>https://ansm.sante.fr/disponibilites-des-produits-de-sante/medicaments/corvasal-2-mg-et-4-mg-comprime-molsidomine-2-mg-et-4-mg-comprime-molsidomine</w:t>
        </w:r>
      </w:hyperlink>
    </w:p>
    <w:p w:rsidR="00A43AC4" w:rsidRDefault="00A43AC4" w:rsidP="00A43AC4">
      <w:pPr>
        <w:pStyle w:val="Textebrut"/>
      </w:pPr>
    </w:p>
    <w:p w:rsidR="006F0E65" w:rsidRDefault="006F0E65" w:rsidP="006F0E65">
      <w:pPr>
        <w:pStyle w:val="Textebrut"/>
      </w:pPr>
      <w:proofErr w:type="spellStart"/>
      <w:r>
        <w:t>Rifamycine</w:t>
      </w:r>
      <w:proofErr w:type="spellEnd"/>
      <w:r>
        <w:t xml:space="preserve"> </w:t>
      </w:r>
      <w:proofErr w:type="spellStart"/>
      <w:r>
        <w:t>Chibret</w:t>
      </w:r>
      <w:proofErr w:type="spellEnd"/>
      <w:r>
        <w:t xml:space="preserve"> 1000 000 UI pour cent, collyre en solution – [</w:t>
      </w:r>
      <w:proofErr w:type="spellStart"/>
      <w:r>
        <w:t>rifamycine</w:t>
      </w:r>
      <w:proofErr w:type="spellEnd"/>
      <w:r>
        <w:t xml:space="preserve"> sodique] – Rupture de stock depuis le 28/02/2024 (ANSM, 13/03/2024).</w:t>
      </w:r>
    </w:p>
    <w:p w:rsidR="006F0E65" w:rsidRDefault="006F0E65" w:rsidP="006F0E65">
      <w:pPr>
        <w:pStyle w:val="Textebrut"/>
      </w:pPr>
      <w:r>
        <w:t>Rupture de stock en ville. Stock de dépannage d’urgence uniquement pour les patients en sortie d’hôpital et avec initiation du traitement réalisée à l’hôpital. L’approvisionnement à l’hôpital (métropole et DROM COM) n’est pas impacté. Lettre du laboratoire à destination des professionnels de santé en date du 13 mars 2024 (13/03/2024). Remise à disposition normale prévue fin mai 2024</w:t>
      </w:r>
    </w:p>
    <w:p w:rsidR="006F0E65" w:rsidRDefault="00173380" w:rsidP="006F0E65">
      <w:pPr>
        <w:pStyle w:val="Textebrut"/>
      </w:pPr>
      <w:hyperlink r:id="rId179" w:history="1">
        <w:r w:rsidR="006F0E65" w:rsidRPr="00A96D35">
          <w:rPr>
            <w:rStyle w:val="Lienhypertexte"/>
          </w:rPr>
          <w:t>https://ansm.sante.fr/disponibilites-des-produits-de-sante/medicaments/rifamycine-chibret-1000-000-ui-pour-cent-collyre-en-solution-rifamycine-sodique</w:t>
        </w:r>
      </w:hyperlink>
    </w:p>
    <w:p w:rsidR="006F0E65" w:rsidRDefault="006F0E65" w:rsidP="006F0E65">
      <w:pPr>
        <w:pStyle w:val="Textebrut"/>
      </w:pPr>
    </w:p>
    <w:p w:rsidR="006F0E65" w:rsidRDefault="006F0E65" w:rsidP="006F0E65">
      <w:pPr>
        <w:pStyle w:val="Textebrut"/>
      </w:pPr>
      <w:r>
        <w:t xml:space="preserve">Lidocaïne 10 mg/ml adrénaline 0,005 mg/ml </w:t>
      </w:r>
      <w:proofErr w:type="spellStart"/>
      <w:r>
        <w:t>Aguettant</w:t>
      </w:r>
      <w:proofErr w:type="spellEnd"/>
      <w:r>
        <w:t>, solution injectable – [lidocaïne - adrénaline] – Tension d’approvisionnement depuis le 08/03/2024 (ANSM, 13/03/2024).</w:t>
      </w:r>
    </w:p>
    <w:p w:rsidR="006F0E65" w:rsidRDefault="006F0E65" w:rsidP="006F0E65">
      <w:pPr>
        <w:pStyle w:val="Textebrut"/>
      </w:pPr>
      <w:r>
        <w:t xml:space="preserve">Tension d'approvisionnement de la spécialité Lidocaïne 10 mg/ml adrénaline 0,005 mg/ml </w:t>
      </w:r>
      <w:proofErr w:type="spellStart"/>
      <w:r>
        <w:t>Aguettant</w:t>
      </w:r>
      <w:proofErr w:type="spellEnd"/>
      <w:r>
        <w:t>, solution injectable. Distribution hospitalière priorisée. Remise à disposition normale indéterminée</w:t>
      </w:r>
    </w:p>
    <w:p w:rsidR="006F0E65" w:rsidRDefault="00173380" w:rsidP="006F0E65">
      <w:pPr>
        <w:pStyle w:val="Textebrut"/>
      </w:pPr>
      <w:hyperlink r:id="rId180" w:history="1">
        <w:r w:rsidR="006F0E65" w:rsidRPr="00A96D35">
          <w:rPr>
            <w:rStyle w:val="Lienhypertexte"/>
          </w:rPr>
          <w:t>https://ansm.sante.fr/disponibilites-des-produits-de-sante/medicaments/lidocaine-10-mg-ml-adrenaline-0-005-mg-ml-aguettant-solution-injectable-lidocaine-adrenaline</w:t>
        </w:r>
      </w:hyperlink>
    </w:p>
    <w:p w:rsidR="006F0E65" w:rsidRDefault="006F0E65" w:rsidP="006F0E65">
      <w:pPr>
        <w:pStyle w:val="Textebrut"/>
      </w:pPr>
    </w:p>
    <w:p w:rsidR="006F0E65" w:rsidRDefault="006F0E65" w:rsidP="006F0E65">
      <w:pPr>
        <w:pStyle w:val="Textebrut"/>
      </w:pPr>
      <w:r>
        <w:lastRenderedPageBreak/>
        <w:t xml:space="preserve">Lidocaïne 20 mg/ml adrénaline 0,005 mg/ml </w:t>
      </w:r>
      <w:proofErr w:type="spellStart"/>
      <w:r>
        <w:t>Aguettant</w:t>
      </w:r>
      <w:proofErr w:type="spellEnd"/>
      <w:r>
        <w:t>, solution injectable – [lidocaïne - adrénaline] – Rupture de stock depuis le 05/03/2024 (ANSM, 13/03/2024).</w:t>
      </w:r>
    </w:p>
    <w:p w:rsidR="006F0E65" w:rsidRDefault="006F0E65" w:rsidP="006F0E65">
      <w:pPr>
        <w:pStyle w:val="Textebrut"/>
      </w:pPr>
      <w:r>
        <w:t xml:space="preserve">Rupture de stock de la spécialité Lidocaïne 20 mg/ml adrénaline 0,005 mg/ml </w:t>
      </w:r>
      <w:proofErr w:type="spellStart"/>
      <w:r>
        <w:t>Aguettant</w:t>
      </w:r>
      <w:proofErr w:type="spellEnd"/>
      <w:r>
        <w:t>, solution injectable. Remise à disposition normale 2ème quinzaine de mars 2024</w:t>
      </w:r>
    </w:p>
    <w:p w:rsidR="006F0E65" w:rsidRDefault="00173380" w:rsidP="006F0E65">
      <w:pPr>
        <w:pStyle w:val="Textebrut"/>
      </w:pPr>
      <w:hyperlink r:id="rId181" w:history="1">
        <w:r w:rsidR="006F0E65" w:rsidRPr="00A96D35">
          <w:rPr>
            <w:rStyle w:val="Lienhypertexte"/>
          </w:rPr>
          <w:t>https://ansm.sante.fr/disponibilites-des-produits-de-sante/medicaments/lidocaine-20-mg-ml-adrenaline-0-005-mg-ml-aguettant-solution-injectable-lidocaine-adrenaline</w:t>
        </w:r>
      </w:hyperlink>
    </w:p>
    <w:p w:rsidR="006F0E65" w:rsidRDefault="006F0E65" w:rsidP="006F0E65">
      <w:pPr>
        <w:pStyle w:val="Textebrut"/>
      </w:pPr>
    </w:p>
    <w:p w:rsidR="006F0E65" w:rsidRDefault="006F0E65" w:rsidP="006F0E65">
      <w:pPr>
        <w:pStyle w:val="Textebrut"/>
      </w:pPr>
      <w:r>
        <w:t xml:space="preserve">Adrénaline </w:t>
      </w:r>
      <w:proofErr w:type="spellStart"/>
      <w:r>
        <w:t>Aguettant</w:t>
      </w:r>
      <w:proofErr w:type="spellEnd"/>
      <w:r>
        <w:t xml:space="preserve"> 1 mg/</w:t>
      </w:r>
      <w:proofErr w:type="spellStart"/>
      <w:r>
        <w:t>mL</w:t>
      </w:r>
      <w:proofErr w:type="spellEnd"/>
      <w:r>
        <w:t xml:space="preserve"> sans sulfite, solution injectable en seringue pré-remplie – [adrénaline] – Rupture de stock depuis le 08/03/2024 (ANSM, 13/03/2024).</w:t>
      </w:r>
    </w:p>
    <w:p w:rsidR="006F0E65" w:rsidRDefault="006F0E65" w:rsidP="006F0E65">
      <w:pPr>
        <w:pStyle w:val="Textebrut"/>
      </w:pPr>
      <w:r>
        <w:t xml:space="preserve">Rupture de stock de la spécialité Adrénaline </w:t>
      </w:r>
      <w:proofErr w:type="spellStart"/>
      <w:r>
        <w:t>Aguettant</w:t>
      </w:r>
      <w:proofErr w:type="spellEnd"/>
      <w:r>
        <w:t xml:space="preserve"> 1 mg/</w:t>
      </w:r>
      <w:proofErr w:type="spellStart"/>
      <w:r>
        <w:t>mL</w:t>
      </w:r>
      <w:proofErr w:type="spellEnd"/>
      <w:r>
        <w:t xml:space="preserve"> sans sulfite, solution injectable en seringue pré-remplie de 5 ml. La spécialité Adrénaline </w:t>
      </w:r>
      <w:proofErr w:type="spellStart"/>
      <w:r>
        <w:t>Aguettant</w:t>
      </w:r>
      <w:proofErr w:type="spellEnd"/>
      <w:r>
        <w:t xml:space="preserve"> 1 mg/</w:t>
      </w:r>
      <w:proofErr w:type="spellStart"/>
      <w:r>
        <w:t>mL</w:t>
      </w:r>
      <w:proofErr w:type="spellEnd"/>
      <w:r>
        <w:t xml:space="preserve"> sans sulfites, solution injectable en ampoules de 5 ml est disponible. Lettre d'information du laboratoire </w:t>
      </w:r>
      <w:proofErr w:type="spellStart"/>
      <w:r>
        <w:t>Aguettant</w:t>
      </w:r>
      <w:proofErr w:type="spellEnd"/>
      <w:r>
        <w:t xml:space="preserve"> en date du 12 mars 2024 à destination des professionnels de santé (13/03/2024). Remise à disposition normale début avril 2024</w:t>
      </w:r>
    </w:p>
    <w:p w:rsidR="006F0E65" w:rsidRDefault="00173380" w:rsidP="006F0E65">
      <w:pPr>
        <w:pStyle w:val="Textebrut"/>
      </w:pPr>
      <w:hyperlink r:id="rId182" w:history="1">
        <w:r w:rsidR="006F0E65" w:rsidRPr="00A96D35">
          <w:rPr>
            <w:rStyle w:val="Lienhypertexte"/>
          </w:rPr>
          <w:t>https://ansm.sante.fr/disponibilites-des-produits-de-sante/medicaments/adrenaline-aguettant-1-mg-ml-sans-sulfite-solution-injectable-en-seringue-pre-remplie-adrenaline</w:t>
        </w:r>
      </w:hyperlink>
    </w:p>
    <w:p w:rsidR="006F0E65" w:rsidRDefault="006F0E65" w:rsidP="006F0E65">
      <w:pPr>
        <w:pStyle w:val="Textebrut"/>
      </w:pPr>
    </w:p>
    <w:p w:rsidR="006F0E65" w:rsidRDefault="006F0E65" w:rsidP="006F0E65">
      <w:pPr>
        <w:pStyle w:val="Textebrut"/>
      </w:pPr>
      <w:r>
        <w:t>Immunoglobuline humaine normale IV et SC (à base de) – [Immunoglobuline humaine normale (</w:t>
      </w:r>
      <w:proofErr w:type="spellStart"/>
      <w:r>
        <w:t>IgG</w:t>
      </w:r>
      <w:proofErr w:type="spellEnd"/>
      <w:r>
        <w:t>)] – Tension d’approvisionnement depuis le01/04/2021 (ANSM, 13/03/2024).</w:t>
      </w:r>
    </w:p>
    <w:p w:rsidR="006F0E65" w:rsidRDefault="006F0E65" w:rsidP="006F0E65">
      <w:pPr>
        <w:pStyle w:val="Textebrut"/>
      </w:pPr>
      <w:r>
        <w:t xml:space="preserve">Immunoglobuline IV : Tension d’approvisionnement. À partir de janvier 2024, distribution contingentée à hauteur des besoins habituels (base d’avant septembre 2023). Les spécialités du laboratoire </w:t>
      </w:r>
      <w:proofErr w:type="spellStart"/>
      <w:r>
        <w:t>Grifols</w:t>
      </w:r>
      <w:proofErr w:type="spellEnd"/>
      <w:r>
        <w:t xml:space="preserve"> peuvent compenser l’augmentation des besoins additionnels observés depuis septembre 2023 à la hauteur de la quantité manquante anticipée. Remise à disposition indéterminée.</w:t>
      </w:r>
    </w:p>
    <w:p w:rsidR="006F0E65" w:rsidRDefault="006F0E65" w:rsidP="006F0E65">
      <w:pPr>
        <w:pStyle w:val="Textebrut"/>
      </w:pPr>
      <w:r>
        <w:t xml:space="preserve">Immunoglobuline SC : Tension d’approvisionnement. À partir de janvier 2024, Distribution contingentée à hauteur des besoins habituels (base septembre 2023). Les spécialités de </w:t>
      </w:r>
      <w:proofErr w:type="spellStart"/>
      <w:r>
        <w:t>Grifols</w:t>
      </w:r>
      <w:proofErr w:type="spellEnd"/>
      <w:r>
        <w:t xml:space="preserve"> ne peuvent compenser qu’une partie à partir de mars sur la quantité manquante anticipée. </w:t>
      </w:r>
      <w:proofErr w:type="spellStart"/>
      <w:r>
        <w:t>Xembify</w:t>
      </w:r>
      <w:proofErr w:type="spellEnd"/>
      <w:r>
        <w:t xml:space="preserve"> (</w:t>
      </w:r>
      <w:proofErr w:type="spellStart"/>
      <w:r>
        <w:t>IgSC</w:t>
      </w:r>
      <w:proofErr w:type="spellEnd"/>
      <w:r>
        <w:t>) pourra être également utilisé à titre exceptionnel dans la PIDC.</w:t>
      </w:r>
    </w:p>
    <w:p w:rsidR="006F0E65" w:rsidRDefault="006F0E65" w:rsidP="006F0E65">
      <w:pPr>
        <w:pStyle w:val="Textebrut"/>
      </w:pPr>
      <w:r>
        <w:t xml:space="preserve">Mise à disposition exceptionnelle et transitoire de la spécialité </w:t>
      </w:r>
      <w:proofErr w:type="spellStart"/>
      <w:r>
        <w:t>Xembify</w:t>
      </w:r>
      <w:proofErr w:type="spellEnd"/>
      <w:r>
        <w:t xml:space="preserve"> 200 mg/ml solution injectable sous-cutanée initialement destinés aux marchés espagnols et US : Lettre d’information du laboratoire </w:t>
      </w:r>
      <w:proofErr w:type="spellStart"/>
      <w:r>
        <w:t>Grifols</w:t>
      </w:r>
      <w:proofErr w:type="spellEnd"/>
      <w:r>
        <w:t xml:space="preserve"> concernant la spécialité </w:t>
      </w:r>
      <w:proofErr w:type="spellStart"/>
      <w:r>
        <w:t>Xembify</w:t>
      </w:r>
      <w:proofErr w:type="spellEnd"/>
      <w:r>
        <w:t xml:space="preserve"> 200 mg/ml solution injectable sous-cutanée en date du 08/03/2024 à l’attention des professionnels de santé (13/03/2024). Lettre d’information du laboratoire </w:t>
      </w:r>
      <w:proofErr w:type="spellStart"/>
      <w:r>
        <w:t>Grifols</w:t>
      </w:r>
      <w:proofErr w:type="spellEnd"/>
      <w:r>
        <w:t xml:space="preserve"> concernant la spécialité </w:t>
      </w:r>
      <w:proofErr w:type="spellStart"/>
      <w:r>
        <w:t>Xembify</w:t>
      </w:r>
      <w:proofErr w:type="spellEnd"/>
      <w:r>
        <w:t xml:space="preserve"> 200 mg/ml solution injectable sous-cutanée en date du 08/03/2024 à l’attention des patients (13/03/2024).</w:t>
      </w:r>
    </w:p>
    <w:p w:rsidR="006F0E65" w:rsidRDefault="006F0E65" w:rsidP="006F0E65">
      <w:pPr>
        <w:pStyle w:val="Textebrut"/>
      </w:pPr>
      <w:r>
        <w:t xml:space="preserve">Remise à disposition indéterminée. Lettre du laboratoire CSL en date du 22/02/2024 à l’attention des professionnels de santé. Lettre du laboratoire </w:t>
      </w:r>
      <w:proofErr w:type="spellStart"/>
      <w:r>
        <w:t>Octapharma</w:t>
      </w:r>
      <w:proofErr w:type="spellEnd"/>
      <w:r>
        <w:t xml:space="preserve"> en date du 19/02/2024 à l’attention des professionnels de santé</w:t>
      </w:r>
    </w:p>
    <w:p w:rsidR="006F0E65" w:rsidRDefault="006F0E65" w:rsidP="006F0E65">
      <w:pPr>
        <w:pStyle w:val="Textebrut"/>
      </w:pPr>
      <w:r>
        <w:t xml:space="preserve">Importations déjà mises en place sans possibilité d’augmentation depuis 2021 : Mise à disposition exceptionnelle et transitoire de la spécialité similaire INTRATECT 50mg/ml et 100mg/ml, solution pour perfusion IV initialement destinée au marché allemand. Lettre d’information du laboratoire </w:t>
      </w:r>
      <w:proofErr w:type="spellStart"/>
      <w:r>
        <w:t>Biotest</w:t>
      </w:r>
      <w:proofErr w:type="spellEnd"/>
      <w:r>
        <w:t xml:space="preserve"> concernant la spécialité </w:t>
      </w:r>
      <w:proofErr w:type="spellStart"/>
      <w:r>
        <w:t>Intratect</w:t>
      </w:r>
      <w:proofErr w:type="spellEnd"/>
      <w:r>
        <w:t xml:space="preserve"> 50mg/ml solution pour perfusion IV en date du 01/04/2021 à l’attention des professionnels de santé. Lettre d’information du laboratoire </w:t>
      </w:r>
      <w:proofErr w:type="spellStart"/>
      <w:r>
        <w:t>Biotest</w:t>
      </w:r>
      <w:proofErr w:type="spellEnd"/>
      <w:r>
        <w:t xml:space="preserve"> concernant la spécialité </w:t>
      </w:r>
      <w:proofErr w:type="spellStart"/>
      <w:r>
        <w:t>Intratect</w:t>
      </w:r>
      <w:proofErr w:type="spellEnd"/>
      <w:r>
        <w:t xml:space="preserve"> 100mg/ml, solution pour perfusion IV en date du 01/04/2021 à l’attention des professionnels de santé</w:t>
      </w:r>
    </w:p>
    <w:p w:rsidR="006F0E65" w:rsidRDefault="00173380" w:rsidP="006F0E65">
      <w:pPr>
        <w:pStyle w:val="Textebrut"/>
      </w:pPr>
      <w:hyperlink r:id="rId183" w:history="1">
        <w:r w:rsidR="006F0E65" w:rsidRPr="00A96D35">
          <w:rPr>
            <w:rStyle w:val="Lienhypertexte"/>
          </w:rPr>
          <w:t>https://ansm.sante.fr/disponibilites-des-produits-de-sante/medicaments/immunoglobuline-humaine-normale-iv-et-sc-a-base-de-immunoglobuline-humaine-normale-igg</w:t>
        </w:r>
      </w:hyperlink>
    </w:p>
    <w:p w:rsidR="006F0E65" w:rsidRDefault="006F0E65" w:rsidP="006F0E65">
      <w:pPr>
        <w:pStyle w:val="Textebrut"/>
      </w:pPr>
    </w:p>
    <w:p w:rsidR="00B63715" w:rsidRDefault="00B63715" w:rsidP="00B63715">
      <w:pPr>
        <w:pStyle w:val="Textebrut"/>
      </w:pPr>
      <w:proofErr w:type="spellStart"/>
      <w:r>
        <w:t>Dalacine</w:t>
      </w:r>
      <w:proofErr w:type="spellEnd"/>
      <w:r>
        <w:t xml:space="preserve"> 75 mg, gélule – [clindamycine (chlorhydrate de) hydraté] – Remise à disposition à partir du 08/03/2024 (ANSM, 14/03/2024)</w:t>
      </w:r>
    </w:p>
    <w:p w:rsidR="00B63715" w:rsidRDefault="00173380" w:rsidP="00B63715">
      <w:pPr>
        <w:pStyle w:val="Textebrut"/>
      </w:pPr>
      <w:hyperlink r:id="rId184" w:history="1">
        <w:r w:rsidR="00B63715" w:rsidRPr="00276859">
          <w:rPr>
            <w:rStyle w:val="Lienhypertexte"/>
          </w:rPr>
          <w:t>https://ansm.sante.fr/disponibilites-des-produits-de-sante/medicaments/dalacine-75-mg-gelule-clindamycine-chlorhydrate-de-hydrate</w:t>
        </w:r>
      </w:hyperlink>
    </w:p>
    <w:p w:rsidR="00B63715" w:rsidRDefault="00B63715" w:rsidP="00B63715">
      <w:pPr>
        <w:pStyle w:val="Textebrut"/>
      </w:pPr>
    </w:p>
    <w:p w:rsidR="0043532C" w:rsidRDefault="0043532C" w:rsidP="0043532C">
      <w:pPr>
        <w:pStyle w:val="Textebrut"/>
      </w:pPr>
      <w:proofErr w:type="spellStart"/>
      <w:r>
        <w:t>Fluorouracile</w:t>
      </w:r>
      <w:proofErr w:type="spellEnd"/>
      <w:r>
        <w:t xml:space="preserve"> Accord 50 mg/ml, solution à diluer pour perfusion, flacon de 5 ml, de 20 ml et 100 ml – [</w:t>
      </w:r>
      <w:proofErr w:type="spellStart"/>
      <w:r>
        <w:t>fluorouracil</w:t>
      </w:r>
      <w:proofErr w:type="spellEnd"/>
      <w:r>
        <w:t>] – Tension d’approvisionnement depuis le 07/04/2023 (ANSM, actualisation du 15/03/2024).</w:t>
      </w:r>
    </w:p>
    <w:p w:rsidR="0043532C" w:rsidRDefault="0043532C" w:rsidP="0043532C">
      <w:pPr>
        <w:pStyle w:val="Textebrut"/>
      </w:pPr>
      <w:r>
        <w:lastRenderedPageBreak/>
        <w:t>Rupture de stock du flacon de 5 ml : Remise à disposition indéterminée. Remise à disposition normale du flacon 20 ml. Rupture de stock du flacon 100 ml : Remise à disposition normale en juin 2024</w:t>
      </w:r>
    </w:p>
    <w:p w:rsidR="0043532C" w:rsidRDefault="00173380" w:rsidP="0043532C">
      <w:pPr>
        <w:pStyle w:val="Textebrut"/>
      </w:pPr>
      <w:hyperlink r:id="rId185" w:history="1">
        <w:r w:rsidR="0043532C" w:rsidRPr="00FA55BC">
          <w:rPr>
            <w:rStyle w:val="Lienhypertexte"/>
          </w:rPr>
          <w:t>https://ansm.sante.fr/disponibilites-des-produits-de-sante/medicaments/fluorouracile-accord-50-mg-ml-solution-a-diluer-pour-perfusion-flacon-de-5-ml-de-20-ml-et-100-ml-fluorouracil</w:t>
        </w:r>
      </w:hyperlink>
    </w:p>
    <w:p w:rsidR="0043532C" w:rsidRDefault="0043532C" w:rsidP="0043532C">
      <w:pPr>
        <w:pStyle w:val="Textebrut"/>
      </w:pPr>
    </w:p>
    <w:p w:rsidR="0043532C" w:rsidRDefault="0043532C" w:rsidP="0043532C">
      <w:pPr>
        <w:pStyle w:val="Textebrut"/>
      </w:pPr>
      <w:proofErr w:type="spellStart"/>
      <w:r>
        <w:t>NovoRapid</w:t>
      </w:r>
      <w:proofErr w:type="spellEnd"/>
      <w:r>
        <w:t xml:space="preserve"> </w:t>
      </w:r>
      <w:proofErr w:type="spellStart"/>
      <w:r>
        <w:t>FlexPen</w:t>
      </w:r>
      <w:proofErr w:type="spellEnd"/>
      <w:r>
        <w:t xml:space="preserve"> 100 unités/ml, solution injectable en stylo </w:t>
      </w:r>
      <w:proofErr w:type="spellStart"/>
      <w:r>
        <w:t>prérempli</w:t>
      </w:r>
      <w:proofErr w:type="spellEnd"/>
      <w:r>
        <w:t xml:space="preserve"> – [insuline </w:t>
      </w:r>
      <w:proofErr w:type="spellStart"/>
      <w:r>
        <w:t>asparte</w:t>
      </w:r>
      <w:proofErr w:type="spellEnd"/>
      <w:r>
        <w:t>] – Remise à disposition à partir du 14/03/2024 (ANSM, 15/03/2024)</w:t>
      </w:r>
    </w:p>
    <w:p w:rsidR="0043532C" w:rsidRDefault="00173380" w:rsidP="0043532C">
      <w:pPr>
        <w:pStyle w:val="Textebrut"/>
      </w:pPr>
      <w:hyperlink r:id="rId186" w:history="1">
        <w:r w:rsidR="0043532C" w:rsidRPr="00FA55BC">
          <w:rPr>
            <w:rStyle w:val="Lienhypertexte"/>
          </w:rPr>
          <w:t>https://ansm.sante.fr/disponibilites-des-produits-de-sante/medicaments/novorapid-flexpen-100-unites-ml-solution-injectable-en-stylo-prerempli-insuline-asparte</w:t>
        </w:r>
      </w:hyperlink>
    </w:p>
    <w:p w:rsidR="0043532C" w:rsidRDefault="0043532C" w:rsidP="0043532C">
      <w:pPr>
        <w:pStyle w:val="Textebrut"/>
      </w:pPr>
    </w:p>
    <w:p w:rsidR="0043532C" w:rsidRDefault="0043532C" w:rsidP="0043532C">
      <w:pPr>
        <w:pStyle w:val="Textebrut"/>
      </w:pPr>
      <w:r>
        <w:t>Xylocaïne 20 mg/ml Adrénaline 0,005 mg/ml, solution injectable – [</w:t>
      </w:r>
      <w:proofErr w:type="spellStart"/>
      <w:r>
        <w:t>lidocaine</w:t>
      </w:r>
      <w:proofErr w:type="spellEnd"/>
      <w:r>
        <w:t xml:space="preserve"> - adrénaline] – Tension d’approvisionnement depuis le 27/09/2022 (ANSM, actualisation du 15/03/2024).</w:t>
      </w:r>
    </w:p>
    <w:p w:rsidR="0043532C" w:rsidRDefault="0043532C" w:rsidP="0043532C">
      <w:pPr>
        <w:pStyle w:val="Textebrut"/>
      </w:pPr>
      <w:r>
        <w:t xml:space="preserve">Tension d'approvisionnement de la spécialité Xylocaïne 20 mg/ml Adrénaline 0,005 mg/ml, solution injectable (1 flacon de 20 ml). Distribution contingentée. A titre exceptionnel et transitoire, la présentation en boite de 10 ampoules de 10 ml de Lidocaïne 20 mg/ml Adrénaline 0,005 mg/ml </w:t>
      </w:r>
      <w:proofErr w:type="spellStart"/>
      <w:r>
        <w:t>Aguettant</w:t>
      </w:r>
      <w:proofErr w:type="spellEnd"/>
      <w:r>
        <w:t xml:space="preserve">, solution injectable peut être rétrocédée par les pharmacies hospitalières aux patients ambulatoires en application des dispositions de l'article L.5121-30 du code de la santé publique. Mise à disposition des spécialités Lidocaïne Adrénaline </w:t>
      </w:r>
      <w:proofErr w:type="spellStart"/>
      <w:r>
        <w:t>Aguettant</w:t>
      </w:r>
      <w:proofErr w:type="spellEnd"/>
      <w:r>
        <w:t xml:space="preserve"> en officines de ville : Lettre d’information du laboratoire </w:t>
      </w:r>
      <w:proofErr w:type="spellStart"/>
      <w:r>
        <w:t>Aguettant</w:t>
      </w:r>
      <w:proofErr w:type="spellEnd"/>
      <w:r>
        <w:t xml:space="preserve"> en date du 15/09/2023 à destination des prescripteurs (19/09/2023) ; Lettre d’information du laboratoire </w:t>
      </w:r>
      <w:proofErr w:type="spellStart"/>
      <w:r>
        <w:t>Aguettant</w:t>
      </w:r>
      <w:proofErr w:type="spellEnd"/>
      <w:r>
        <w:t xml:space="preserve"> en date du 15/09/2023 à destination des pharmaciens d’officine (19/09/2023) ; Lettre d’information du laboratoire </w:t>
      </w:r>
      <w:proofErr w:type="spellStart"/>
      <w:r>
        <w:t>Aguettant</w:t>
      </w:r>
      <w:proofErr w:type="spellEnd"/>
      <w:r>
        <w:t xml:space="preserve"> en date du 15/09/2023 à destination des grossistes répartiteurs (19/09/2023). Remise à disposition normale indéterminée</w:t>
      </w:r>
    </w:p>
    <w:p w:rsidR="0043532C" w:rsidRDefault="00173380" w:rsidP="0043532C">
      <w:pPr>
        <w:pStyle w:val="Textebrut"/>
      </w:pPr>
      <w:hyperlink r:id="rId187" w:history="1">
        <w:r w:rsidR="0043532C" w:rsidRPr="00FA55BC">
          <w:rPr>
            <w:rStyle w:val="Lienhypertexte"/>
          </w:rPr>
          <w:t>https://ansm.sante.fr/disponibilites-des-produits-de-sante/medicaments/xylocaine-20-mg-ml-adrenaline-0-005-mg-ml-solution-injectable-lidocaine-adrenaline</w:t>
        </w:r>
      </w:hyperlink>
    </w:p>
    <w:p w:rsidR="0043532C" w:rsidRDefault="0043532C" w:rsidP="0043532C">
      <w:pPr>
        <w:pStyle w:val="Textebrut"/>
      </w:pPr>
    </w:p>
    <w:p w:rsidR="0043532C" w:rsidRDefault="0043532C" w:rsidP="0043532C">
      <w:pPr>
        <w:pStyle w:val="Textebrut"/>
      </w:pPr>
      <w:proofErr w:type="spellStart"/>
      <w:r>
        <w:t>HBVaxPro</w:t>
      </w:r>
      <w:proofErr w:type="spellEnd"/>
      <w:r>
        <w:t xml:space="preserve"> 10 microgrammes, suspension injectable en seringue </w:t>
      </w:r>
      <w:proofErr w:type="spellStart"/>
      <w:r>
        <w:t>préremplie</w:t>
      </w:r>
      <w:proofErr w:type="spellEnd"/>
      <w:r>
        <w:t>. Vaccin de l'hépatite B (</w:t>
      </w:r>
      <w:proofErr w:type="spellStart"/>
      <w:r>
        <w:t>ADNr</w:t>
      </w:r>
      <w:proofErr w:type="spellEnd"/>
      <w:r>
        <w:t>) – [antigène de surface de l'hépatite B recombinant] – Remise à disposition à partir du 15/03/2024 (ANSM, 15/03/2024)</w:t>
      </w:r>
    </w:p>
    <w:p w:rsidR="0043532C" w:rsidRDefault="00173380" w:rsidP="0043532C">
      <w:pPr>
        <w:pStyle w:val="Textebrut"/>
      </w:pPr>
      <w:hyperlink r:id="rId188" w:history="1">
        <w:r w:rsidR="0043532C" w:rsidRPr="00FA55BC">
          <w:rPr>
            <w:rStyle w:val="Lienhypertexte"/>
          </w:rPr>
          <w:t>https://ansm.sante.fr/disponibilites-des-produits-de-sante/vaccins/hbvaxpro-10-microgrammes-suspension-injectable-en-seringue-preremplie-vaccin-de-lhepatite-b-adnr-antigene-de-surface-de-lhepatite-b-recombinant</w:t>
        </w:r>
      </w:hyperlink>
    </w:p>
    <w:p w:rsidR="0043532C" w:rsidRDefault="0043532C" w:rsidP="0043532C">
      <w:pPr>
        <w:pStyle w:val="Textebrut"/>
      </w:pPr>
    </w:p>
    <w:p w:rsidR="0043532C" w:rsidRDefault="0043532C" w:rsidP="0043532C">
      <w:pPr>
        <w:pStyle w:val="Textebrut"/>
      </w:pPr>
      <w:proofErr w:type="spellStart"/>
      <w:r>
        <w:t>Oracilline</w:t>
      </w:r>
      <w:proofErr w:type="spellEnd"/>
      <w:r>
        <w:t xml:space="preserve"> 250 000 UI/5 ml, suspension buvable – [</w:t>
      </w:r>
      <w:proofErr w:type="spellStart"/>
      <w:r>
        <w:t>phénoxyméthylpénicilline</w:t>
      </w:r>
      <w:proofErr w:type="spellEnd"/>
      <w:r>
        <w:t>] – Remise à disposition à partir du 15/03/2024 (ANSM, 15/03/2024)</w:t>
      </w:r>
    </w:p>
    <w:p w:rsidR="0043532C" w:rsidRDefault="00173380" w:rsidP="0043532C">
      <w:pPr>
        <w:pStyle w:val="Textebrut"/>
      </w:pPr>
      <w:hyperlink r:id="rId189" w:history="1">
        <w:r w:rsidR="0043532C" w:rsidRPr="00FA55BC">
          <w:rPr>
            <w:rStyle w:val="Lienhypertexte"/>
          </w:rPr>
          <w:t>https://ansm.sante.fr/disponibilites-des-produits-de-sante/medicaments/oracilline-250-000-ui-5-ml-suspension-buvable-phenoxymethylpenicilline</w:t>
        </w:r>
      </w:hyperlink>
    </w:p>
    <w:p w:rsidR="0043532C" w:rsidRDefault="0043532C" w:rsidP="0043532C">
      <w:pPr>
        <w:pStyle w:val="Textebrut"/>
      </w:pPr>
    </w:p>
    <w:p w:rsidR="009316F2" w:rsidRDefault="009316F2" w:rsidP="009316F2">
      <w:pPr>
        <w:pStyle w:val="Textebrut"/>
      </w:pPr>
      <w:proofErr w:type="spellStart"/>
      <w:r>
        <w:t>Desféral</w:t>
      </w:r>
      <w:proofErr w:type="spellEnd"/>
      <w:r>
        <w:t xml:space="preserve"> 500 mg, poudre et solvant pour solution injectable – [</w:t>
      </w:r>
      <w:proofErr w:type="spellStart"/>
      <w:r>
        <w:t>déféroxamine</w:t>
      </w:r>
      <w:proofErr w:type="spellEnd"/>
      <w:r>
        <w:t xml:space="preserve"> (</w:t>
      </w:r>
      <w:proofErr w:type="spellStart"/>
      <w:r>
        <w:t>mésilate</w:t>
      </w:r>
      <w:proofErr w:type="spellEnd"/>
      <w:r>
        <w:t xml:space="preserve"> de)] – Remise à disposition à partir du 18/03/2024 (ANSM, 18/03/2024)</w:t>
      </w:r>
    </w:p>
    <w:p w:rsidR="009316F2" w:rsidRDefault="00173380" w:rsidP="009316F2">
      <w:pPr>
        <w:pStyle w:val="Textebrut"/>
      </w:pPr>
      <w:hyperlink r:id="rId190" w:history="1">
        <w:r w:rsidR="009316F2" w:rsidRPr="00FA55BC">
          <w:rPr>
            <w:rStyle w:val="Lienhypertexte"/>
          </w:rPr>
          <w:t>https://ansm.sante.fr/disponibilites-des-produits-de-sante/medicaments/desferal-500-mg-poudre-et-solvant-pour-solution-injectable-deferoxamine-mesilate-de</w:t>
        </w:r>
      </w:hyperlink>
    </w:p>
    <w:p w:rsidR="009316F2" w:rsidRDefault="009316F2" w:rsidP="009316F2">
      <w:pPr>
        <w:pStyle w:val="Textebrut"/>
      </w:pPr>
    </w:p>
    <w:p w:rsidR="00223F62" w:rsidRDefault="00223F62" w:rsidP="00223F62">
      <w:pPr>
        <w:pStyle w:val="Textebrut"/>
      </w:pPr>
      <w:proofErr w:type="spellStart"/>
      <w:r>
        <w:t>Tofranil</w:t>
      </w:r>
      <w:proofErr w:type="spellEnd"/>
      <w:r>
        <w:t xml:space="preserve"> 10 mg, comprimé enrobé – [Imipramine] – Tension d’approvisionnement depuis le 31/07/2022 (ANSM, 20/03/2024).</w:t>
      </w:r>
    </w:p>
    <w:p w:rsidR="00223F62" w:rsidRDefault="00223F62" w:rsidP="00223F62">
      <w:pPr>
        <w:pStyle w:val="Textebrut"/>
      </w:pPr>
      <w:r>
        <w:t>Situation en ville : Tension. Situation à l'hôpital : Tension. Lettre d’information du laboratoire Centre Spécialités Pharmaceutiques en date du 7 novembre 2023 à l’attention des professionnels de santé et des patients (08/11/2023). Remise à disposition prévue fin mars 2024</w:t>
      </w:r>
    </w:p>
    <w:p w:rsidR="00223F62" w:rsidRDefault="00173380" w:rsidP="00223F62">
      <w:pPr>
        <w:pStyle w:val="Textebrut"/>
      </w:pPr>
      <w:hyperlink r:id="rId191" w:history="1">
        <w:r w:rsidR="00223F62" w:rsidRPr="004744AB">
          <w:rPr>
            <w:rStyle w:val="Lienhypertexte"/>
          </w:rPr>
          <w:t>https://ansm.sante.fr/disponibilites-des-produits-de-sante/medicaments/tofranil-10-mg-comprime-enrobe-imipramine</w:t>
        </w:r>
      </w:hyperlink>
    </w:p>
    <w:p w:rsidR="00223F62" w:rsidRDefault="00223F62" w:rsidP="00223F62">
      <w:pPr>
        <w:pStyle w:val="Textebrut"/>
      </w:pPr>
    </w:p>
    <w:p w:rsidR="00223F62" w:rsidRDefault="00223F62" w:rsidP="00223F62">
      <w:pPr>
        <w:pStyle w:val="Textebrut"/>
      </w:pPr>
      <w:proofErr w:type="spellStart"/>
      <w:r>
        <w:t>Creon</w:t>
      </w:r>
      <w:proofErr w:type="spellEnd"/>
      <w:r>
        <w:t xml:space="preserve"> 35 000 U, gélule </w:t>
      </w:r>
      <w:proofErr w:type="spellStart"/>
      <w:r>
        <w:t>gastrorésistante</w:t>
      </w:r>
      <w:proofErr w:type="spellEnd"/>
      <w:r>
        <w:t xml:space="preserve"> – [pancréatine] – Tension d’approvisionnement depuis le 13/03/2024 (ANSM, 20/03/2024).</w:t>
      </w:r>
    </w:p>
    <w:p w:rsidR="00223F62" w:rsidRDefault="00223F62" w:rsidP="00223F62">
      <w:pPr>
        <w:pStyle w:val="Textebrut"/>
      </w:pPr>
      <w:r>
        <w:t xml:space="preserve">Tension d'approvisionnement de la spécialité </w:t>
      </w:r>
      <w:proofErr w:type="spellStart"/>
      <w:r>
        <w:t>Creon</w:t>
      </w:r>
      <w:proofErr w:type="spellEnd"/>
      <w:r>
        <w:t xml:space="preserve"> 35 000 U, gélule gastro-résistante. Distribution contingentée en ville. Distribution normale à l'hôpital. </w:t>
      </w:r>
    </w:p>
    <w:p w:rsidR="00223F62" w:rsidRDefault="00223F62" w:rsidP="00223F62">
      <w:pPr>
        <w:pStyle w:val="Textebrut"/>
      </w:pPr>
      <w:r>
        <w:lastRenderedPageBreak/>
        <w:t>Remise à disposition normale indéterminée</w:t>
      </w:r>
    </w:p>
    <w:p w:rsidR="00223F62" w:rsidRDefault="00173380" w:rsidP="00223F62">
      <w:pPr>
        <w:pStyle w:val="Textebrut"/>
      </w:pPr>
      <w:hyperlink r:id="rId192" w:history="1">
        <w:r w:rsidR="00223F62" w:rsidRPr="004744AB">
          <w:rPr>
            <w:rStyle w:val="Lienhypertexte"/>
          </w:rPr>
          <w:t>https://ansm.sante.fr/disponibilites-des-produits-de-sante/medicaments/creon-35-000-u-gelule-gastroresistante-pancreatine</w:t>
        </w:r>
      </w:hyperlink>
    </w:p>
    <w:p w:rsidR="00223F62" w:rsidRDefault="00223F62" w:rsidP="00223F62">
      <w:pPr>
        <w:pStyle w:val="Textebrut"/>
      </w:pPr>
    </w:p>
    <w:p w:rsidR="00223F62" w:rsidRDefault="00223F62" w:rsidP="00223F62">
      <w:pPr>
        <w:pStyle w:val="Textebrut"/>
      </w:pPr>
      <w:proofErr w:type="spellStart"/>
      <w:r>
        <w:t>Humalog</w:t>
      </w:r>
      <w:proofErr w:type="spellEnd"/>
      <w:r>
        <w:t xml:space="preserve"> 100 UI/ml, solution injectable en flacon – [insuline </w:t>
      </w:r>
      <w:proofErr w:type="spellStart"/>
      <w:r>
        <w:t>lispro</w:t>
      </w:r>
      <w:proofErr w:type="spellEnd"/>
      <w:r>
        <w:t>] – Tension d’approvisionnement depuis le 19/03/2024 (ANSM, 20/03/2024).</w:t>
      </w:r>
    </w:p>
    <w:p w:rsidR="00223F62" w:rsidRDefault="00223F62" w:rsidP="00223F62">
      <w:pPr>
        <w:pStyle w:val="Textebrut"/>
      </w:pPr>
      <w:r>
        <w:t>Situation en ville : Tension. Situation à l'hôpital : non impactée. Contingentement quantitatif en ville. Lettre d’information du laboratoire Lilly France en date du 20/03/2024 à l'</w:t>
      </w:r>
      <w:proofErr w:type="spellStart"/>
      <w:r>
        <w:t>atttention</w:t>
      </w:r>
      <w:proofErr w:type="spellEnd"/>
      <w:r>
        <w:t xml:space="preserve"> des professionnels de santé (20/03/2024). Lettre d'information du laboratoire Lilly France en date du 20/03/2024 à l'attention des prescripteurs (20/03/2024). Date de remise à disposition prévue : </w:t>
      </w:r>
      <w:proofErr w:type="spellStart"/>
      <w:r>
        <w:t>mi avril</w:t>
      </w:r>
      <w:proofErr w:type="spellEnd"/>
      <w:r>
        <w:t xml:space="preserve"> 2024</w:t>
      </w:r>
    </w:p>
    <w:p w:rsidR="00223F62" w:rsidRDefault="00173380" w:rsidP="00223F62">
      <w:pPr>
        <w:pStyle w:val="Textebrut"/>
      </w:pPr>
      <w:hyperlink r:id="rId193" w:history="1">
        <w:r w:rsidR="00223F62" w:rsidRPr="004744AB">
          <w:rPr>
            <w:rStyle w:val="Lienhypertexte"/>
          </w:rPr>
          <w:t>https://ansm.sante.fr/disponibilites-des-produits-de-sante/medicaments/humalog-100-ui-ml-solution-injectable-en-flacon-insuline-lispro</w:t>
        </w:r>
      </w:hyperlink>
    </w:p>
    <w:p w:rsidR="00223F62" w:rsidRDefault="00223F62" w:rsidP="00223F62">
      <w:pPr>
        <w:pStyle w:val="Textebrut"/>
      </w:pPr>
    </w:p>
    <w:p w:rsidR="00223F62" w:rsidRDefault="00223F62" w:rsidP="00223F62">
      <w:pPr>
        <w:pStyle w:val="Textebrut"/>
      </w:pPr>
      <w:proofErr w:type="spellStart"/>
      <w:r>
        <w:t>Gastrografine</w:t>
      </w:r>
      <w:proofErr w:type="spellEnd"/>
      <w:r>
        <w:t xml:space="preserve"> 370 mg d'iode/</w:t>
      </w:r>
      <w:proofErr w:type="spellStart"/>
      <w:r>
        <w:t>mL</w:t>
      </w:r>
      <w:proofErr w:type="spellEnd"/>
      <w:r>
        <w:t>, solution buvable ou rectale – [</w:t>
      </w:r>
      <w:proofErr w:type="spellStart"/>
      <w:r>
        <w:t>amidotrizoate</w:t>
      </w:r>
      <w:proofErr w:type="spellEnd"/>
      <w:r>
        <w:t xml:space="preserve"> de sodium, </w:t>
      </w:r>
      <w:proofErr w:type="spellStart"/>
      <w:r>
        <w:t>méglumine</w:t>
      </w:r>
      <w:proofErr w:type="spellEnd"/>
      <w:r>
        <w:t xml:space="preserve"> (</w:t>
      </w:r>
      <w:proofErr w:type="spellStart"/>
      <w:r>
        <w:t>amidotrizoate</w:t>
      </w:r>
      <w:proofErr w:type="spellEnd"/>
      <w:r>
        <w:t xml:space="preserve"> de)] – Tension d’approvisionnement depuis le 01/06/2023 (ANSM, 20/03/2024).</w:t>
      </w:r>
    </w:p>
    <w:p w:rsidR="00223F62" w:rsidRDefault="00223F62" w:rsidP="00223F62">
      <w:pPr>
        <w:pStyle w:val="Textebrut"/>
      </w:pPr>
      <w:r>
        <w:t>Situation en ville : Tension. Situation à l'hôpital : Tension. Contingentement quantitatif en ville et à l'hôpital. Date de remise à disposition prévue : fin mai 2024</w:t>
      </w:r>
    </w:p>
    <w:p w:rsidR="00223F62" w:rsidRDefault="00173380" w:rsidP="00223F62">
      <w:pPr>
        <w:pStyle w:val="Textebrut"/>
      </w:pPr>
      <w:hyperlink r:id="rId194" w:history="1">
        <w:r w:rsidR="00223F62" w:rsidRPr="004744AB">
          <w:rPr>
            <w:rStyle w:val="Lienhypertexte"/>
          </w:rPr>
          <w:t>https://ansm.sante.fr/disponibilites-des-produits-de-sante/medicaments/gastrografine-370-mg-diode-ml-solution-buvable-ou-rectale-amidotrizoate-de-sodium-meglumine-amidotrizoate-de</w:t>
        </w:r>
      </w:hyperlink>
    </w:p>
    <w:p w:rsidR="00223F62" w:rsidRDefault="00223F62" w:rsidP="00223F62">
      <w:pPr>
        <w:pStyle w:val="Textebrut"/>
      </w:pPr>
    </w:p>
    <w:p w:rsidR="00223F62" w:rsidRDefault="00223F62" w:rsidP="00223F62">
      <w:pPr>
        <w:pStyle w:val="Textebrut"/>
      </w:pPr>
      <w:r>
        <w:t xml:space="preserve">Glucose 30 % Lavoisier, solution pour perfusion en flacon – [glucose </w:t>
      </w:r>
      <w:proofErr w:type="spellStart"/>
      <w:r>
        <w:t>monohydraté</w:t>
      </w:r>
      <w:proofErr w:type="spellEnd"/>
      <w:r>
        <w:t>] – Rupture de stock depuis le 08/03/2024 (ANSM, 20/03/2024).</w:t>
      </w:r>
    </w:p>
    <w:p w:rsidR="00223F62" w:rsidRDefault="00223F62" w:rsidP="00223F62">
      <w:pPr>
        <w:pStyle w:val="Textebrut"/>
      </w:pPr>
      <w:r>
        <w:t>Situation en ville : Rupture. Situation à l'hôpital : Rupture. Date de remise à disposition prévue : 22/04/2024</w:t>
      </w:r>
    </w:p>
    <w:p w:rsidR="00223F62" w:rsidRDefault="00173380" w:rsidP="00223F62">
      <w:pPr>
        <w:pStyle w:val="Textebrut"/>
      </w:pPr>
      <w:hyperlink r:id="rId195" w:history="1">
        <w:r w:rsidR="00223F62" w:rsidRPr="004744AB">
          <w:rPr>
            <w:rStyle w:val="Lienhypertexte"/>
          </w:rPr>
          <w:t>https://ansm.sante.fr/disponibilites-des-produits-de-sante/medicaments/glucose-30-lavoisier-solution-pour-perfusion-en-flacon-glucose-monohydrate</w:t>
        </w:r>
      </w:hyperlink>
    </w:p>
    <w:p w:rsidR="00223F62" w:rsidRDefault="00223F62" w:rsidP="00223F62">
      <w:pPr>
        <w:pStyle w:val="Textebrut"/>
      </w:pPr>
    </w:p>
    <w:p w:rsidR="00FF4757" w:rsidRDefault="00FF4757" w:rsidP="00FF4757">
      <w:pPr>
        <w:pStyle w:val="Textebrut"/>
      </w:pPr>
      <w:proofErr w:type="spellStart"/>
      <w:r>
        <w:t>Spiramycine</w:t>
      </w:r>
      <w:proofErr w:type="spellEnd"/>
      <w:r>
        <w:t xml:space="preserve"> 1,5 M.UI / 750 000 UI + </w:t>
      </w:r>
      <w:proofErr w:type="spellStart"/>
      <w:r>
        <w:t>Metronidazole</w:t>
      </w:r>
      <w:proofErr w:type="spellEnd"/>
      <w:r>
        <w:t xml:space="preserve"> 250 / 125 mg, comprimé pelliculé – [</w:t>
      </w:r>
      <w:proofErr w:type="spellStart"/>
      <w:r>
        <w:t>spiramycine</w:t>
      </w:r>
      <w:proofErr w:type="spellEnd"/>
      <w:r>
        <w:t>/métronidazole] – Tension d’approvisionnement depuis le 01/12/2022 (ANSM, actualisation du 21/03/2024).</w:t>
      </w:r>
    </w:p>
    <w:p w:rsidR="00FF4757" w:rsidRDefault="00FF4757" w:rsidP="00FF4757">
      <w:pPr>
        <w:pStyle w:val="Textebrut"/>
      </w:pPr>
      <w:r>
        <w:t>Tension d'approvisionnement. Remise à disposition normale indéterminée</w:t>
      </w:r>
    </w:p>
    <w:p w:rsidR="00FF4757" w:rsidRDefault="00173380" w:rsidP="00FF4757">
      <w:pPr>
        <w:pStyle w:val="Textebrut"/>
      </w:pPr>
      <w:hyperlink r:id="rId196" w:history="1">
        <w:r w:rsidR="00FF4757" w:rsidRPr="009E1CF0">
          <w:rPr>
            <w:rStyle w:val="Lienhypertexte"/>
          </w:rPr>
          <w:t>https://ansm.sante.fr/disponibilites-des-produits-de-sante/medicaments/spiramycine-1-5-m-ui-750-000-ui-metronidazole-250-125-mg-comprime-pellicule-spiramycine-metronidazole</w:t>
        </w:r>
      </w:hyperlink>
    </w:p>
    <w:p w:rsidR="00FF4757" w:rsidRDefault="00FF4757" w:rsidP="00FF4757">
      <w:pPr>
        <w:pStyle w:val="Textebrut"/>
      </w:pPr>
    </w:p>
    <w:p w:rsidR="008C2943" w:rsidRDefault="008C2943" w:rsidP="008C2943">
      <w:pPr>
        <w:pStyle w:val="Textebrut"/>
      </w:pPr>
      <w:proofErr w:type="spellStart"/>
      <w:r>
        <w:t>Furadantine</w:t>
      </w:r>
      <w:proofErr w:type="spellEnd"/>
      <w:r>
        <w:t xml:space="preserve"> 50 mg, gélule – [</w:t>
      </w:r>
      <w:proofErr w:type="spellStart"/>
      <w:r>
        <w:t>nitrofurantoïne</w:t>
      </w:r>
      <w:proofErr w:type="spellEnd"/>
      <w:r>
        <w:t>] – Remise à disposition à partir du 22/03/2024 (ANSM, 22/03/2024)</w:t>
      </w:r>
    </w:p>
    <w:p w:rsidR="008C2943" w:rsidRDefault="00173380" w:rsidP="008C2943">
      <w:pPr>
        <w:pStyle w:val="Textebrut"/>
      </w:pPr>
      <w:hyperlink r:id="rId197" w:history="1">
        <w:r w:rsidR="008C2943" w:rsidRPr="00B57D7B">
          <w:rPr>
            <w:rStyle w:val="Lienhypertexte"/>
          </w:rPr>
          <w:t>https://ansm.sante.fr/disponibilites-des-produits-de-sante/medicaments/furadantine-50-mg-gelule-nitrofurantoine</w:t>
        </w:r>
      </w:hyperlink>
    </w:p>
    <w:p w:rsidR="008C2943" w:rsidRDefault="008C2943" w:rsidP="008C2943">
      <w:pPr>
        <w:pStyle w:val="Textebrut"/>
      </w:pPr>
    </w:p>
    <w:p w:rsidR="00D10420" w:rsidRDefault="00D10420" w:rsidP="00D10420">
      <w:pPr>
        <w:pStyle w:val="Textebrut"/>
      </w:pPr>
      <w:proofErr w:type="spellStart"/>
      <w:r>
        <w:t>Rifadine</w:t>
      </w:r>
      <w:proofErr w:type="spellEnd"/>
      <w:r>
        <w:t xml:space="preserve"> 2 %, suspension buvable – [rifampicine] – Tension d’approvisionnement depuis le 29/01/2024 (ANSM, actualisation du 22/03/2024).</w:t>
      </w:r>
    </w:p>
    <w:p w:rsidR="00D10420" w:rsidRDefault="00D10420" w:rsidP="00D10420">
      <w:pPr>
        <w:pStyle w:val="Textebrut"/>
      </w:pPr>
      <w:r>
        <w:t>Forte tension d’approvisionnement. Mise en place d’un contingentement qualitatif en ville et à l’hôpital. Courrier du laboratoire aux professionnels de santé en date du 22/03/2024 décrivant les démarches à entreprendre afin d’obtenir le médicament (22/03/2024).  Remise à disposition indéterminée</w:t>
      </w:r>
    </w:p>
    <w:p w:rsidR="00D10420" w:rsidRDefault="00173380" w:rsidP="00D10420">
      <w:pPr>
        <w:pStyle w:val="Textebrut"/>
      </w:pPr>
      <w:hyperlink r:id="rId198" w:history="1">
        <w:r w:rsidR="00D10420" w:rsidRPr="00B57D7B">
          <w:rPr>
            <w:rStyle w:val="Lienhypertexte"/>
          </w:rPr>
          <w:t>https://ansm.sante.fr/disponibilites-des-produits-de-sante/medicaments/rifadine-2-suspension-buvable-rifampicine</w:t>
        </w:r>
      </w:hyperlink>
    </w:p>
    <w:p w:rsidR="00D10420" w:rsidRDefault="00D10420" w:rsidP="00D10420">
      <w:pPr>
        <w:pStyle w:val="Textebrut"/>
      </w:pPr>
    </w:p>
    <w:p w:rsidR="00D10420" w:rsidRDefault="00D10420" w:rsidP="00D10420">
      <w:pPr>
        <w:pStyle w:val="Textebrut"/>
      </w:pPr>
      <w:proofErr w:type="spellStart"/>
      <w:r>
        <w:t>Rifadine</w:t>
      </w:r>
      <w:proofErr w:type="spellEnd"/>
      <w:r>
        <w:t xml:space="preserve"> 300 mg, gélule, </w:t>
      </w:r>
      <w:proofErr w:type="spellStart"/>
      <w:r>
        <w:t>Rifadine</w:t>
      </w:r>
      <w:proofErr w:type="spellEnd"/>
      <w:r>
        <w:t xml:space="preserve"> IV 600 mg, poudre et solvant pour solution pour perfusion – [rifampicine] – Tension d’approvisionnement depuis le 21/03/2024 (ANSM, 21/03/2024).</w:t>
      </w:r>
    </w:p>
    <w:p w:rsidR="00D10420" w:rsidRDefault="00D10420" w:rsidP="00D10420">
      <w:pPr>
        <w:pStyle w:val="Textebrut"/>
      </w:pPr>
      <w:r>
        <w:t>Tension d’approvisionnement. Mise en place d’un contingentement quantitatif. Remise à disposition indéterminée</w:t>
      </w:r>
    </w:p>
    <w:p w:rsidR="008C2943" w:rsidRDefault="00173380" w:rsidP="00D10420">
      <w:pPr>
        <w:pStyle w:val="Textebrut"/>
      </w:pPr>
      <w:hyperlink r:id="rId199" w:history="1">
        <w:r w:rsidR="00D10420" w:rsidRPr="00B57D7B">
          <w:rPr>
            <w:rStyle w:val="Lienhypertexte"/>
          </w:rPr>
          <w:t>https://ansm.sante.fr/disponibilites-des-produits-de-sante/medicaments/rifadine-300-mg-gelule-rifadine-iv-600-mg-poudre-et-solvant-pour-solution-pour-perfusion-rifampicine</w:t>
        </w:r>
      </w:hyperlink>
    </w:p>
    <w:p w:rsidR="00D10420" w:rsidRDefault="00D10420" w:rsidP="00D10420">
      <w:pPr>
        <w:pStyle w:val="Textebrut"/>
      </w:pPr>
    </w:p>
    <w:p w:rsidR="00D10420" w:rsidRDefault="00D10420" w:rsidP="00D10420">
      <w:pPr>
        <w:pStyle w:val="Textebrut"/>
      </w:pPr>
      <w:proofErr w:type="spellStart"/>
      <w:r>
        <w:lastRenderedPageBreak/>
        <w:t>Rifinah</w:t>
      </w:r>
      <w:proofErr w:type="spellEnd"/>
      <w:r>
        <w:t xml:space="preserve"> 300 mg/150 mg, comprimé enrobé – [</w:t>
      </w:r>
      <w:proofErr w:type="spellStart"/>
      <w:r>
        <w:t>isoniazid</w:t>
      </w:r>
      <w:proofErr w:type="spellEnd"/>
      <w:r>
        <w:t>, rifampicine] – Tension d’approvisionnement depuis le 15/02/2024 (ANSM, 22/03/2024).</w:t>
      </w:r>
    </w:p>
    <w:p w:rsidR="00D10420" w:rsidRDefault="00D10420" w:rsidP="00D10420">
      <w:pPr>
        <w:pStyle w:val="Textebrut"/>
      </w:pPr>
      <w:r>
        <w:t>Tension d’approvisionnement. Mise en place d’un contingentement quantitatif. Remise à disposition indéterminée</w:t>
      </w:r>
    </w:p>
    <w:p w:rsidR="00D10420" w:rsidRDefault="00173380" w:rsidP="00D10420">
      <w:pPr>
        <w:pStyle w:val="Textebrut"/>
      </w:pPr>
      <w:hyperlink r:id="rId200" w:history="1">
        <w:r w:rsidR="00D10420" w:rsidRPr="00B57D7B">
          <w:rPr>
            <w:rStyle w:val="Lienhypertexte"/>
          </w:rPr>
          <w:t>https://ansm.sante.fr/disponibilites-des-produits-de-sante/medicaments/rifinah-300-mg-150-mg-comprime-enrobe-isoniazid-rifampicine</w:t>
        </w:r>
      </w:hyperlink>
    </w:p>
    <w:p w:rsidR="00D10420" w:rsidRDefault="00D10420" w:rsidP="00D10420">
      <w:pPr>
        <w:pStyle w:val="Textebrut"/>
      </w:pPr>
    </w:p>
    <w:p w:rsidR="00D10420" w:rsidRDefault="00D10420" w:rsidP="00D10420">
      <w:pPr>
        <w:pStyle w:val="Textebrut"/>
      </w:pPr>
      <w:proofErr w:type="spellStart"/>
      <w:r>
        <w:t>Rifater</w:t>
      </w:r>
      <w:proofErr w:type="spellEnd"/>
      <w:r>
        <w:t xml:space="preserve">, comprimé enrobé – [isoniazide, </w:t>
      </w:r>
      <w:proofErr w:type="spellStart"/>
      <w:r>
        <w:t>pyrazinamid</w:t>
      </w:r>
      <w:proofErr w:type="spellEnd"/>
      <w:r>
        <w:t>, rifampicine] – Tension d’approvisionnement depuis le 21/03/2024 (ANSM, 22/03/2024).</w:t>
      </w:r>
    </w:p>
    <w:p w:rsidR="00D10420" w:rsidRDefault="00D10420" w:rsidP="00D10420">
      <w:pPr>
        <w:pStyle w:val="Textebrut"/>
      </w:pPr>
      <w:r>
        <w:t>Tension d’approvisionnement. Mise en place d’un contingentement quantitatif. Remise à disposition indéterminée</w:t>
      </w:r>
    </w:p>
    <w:p w:rsidR="00D10420" w:rsidRDefault="00173380" w:rsidP="00D10420">
      <w:pPr>
        <w:pStyle w:val="Textebrut"/>
      </w:pPr>
      <w:hyperlink r:id="rId201" w:history="1">
        <w:r w:rsidR="00D10420" w:rsidRPr="00B57D7B">
          <w:rPr>
            <w:rStyle w:val="Lienhypertexte"/>
          </w:rPr>
          <w:t>https://ansm.sante.fr/disponibilites-des-produits-de-sante/medicaments/rifater-comprime-enrobe-isoniazide-pyrazinamid-rifampicine</w:t>
        </w:r>
      </w:hyperlink>
    </w:p>
    <w:p w:rsidR="00D10420" w:rsidRDefault="00D10420" w:rsidP="00D10420">
      <w:pPr>
        <w:pStyle w:val="Textebrut"/>
      </w:pPr>
    </w:p>
    <w:p w:rsidR="008C1D2C" w:rsidRDefault="008C1D2C" w:rsidP="008C1D2C">
      <w:pPr>
        <w:pStyle w:val="Textebrut"/>
      </w:pPr>
      <w:r>
        <w:t>Quand la rifampicine vient à manquer… (Le Quotidien du pharmacien, 25/03/2024).</w:t>
      </w:r>
    </w:p>
    <w:p w:rsidR="008C1D2C" w:rsidRDefault="008C1D2C" w:rsidP="008C1D2C">
      <w:pPr>
        <w:pStyle w:val="Textebrut"/>
      </w:pPr>
      <w:r>
        <w:t xml:space="preserve">Les spécialités à base de rifampicine du Laboratoire Sanofi Winthrop sont toutes en tension d’approvisionnement. Concernant </w:t>
      </w:r>
      <w:proofErr w:type="spellStart"/>
      <w:r>
        <w:t>Rifadine</w:t>
      </w:r>
      <w:proofErr w:type="spellEnd"/>
      <w:r>
        <w:t xml:space="preserve"> 2 % suspension buvable, seule spécialité de rifampicine sous forme buvable, la distribution contingentée se durcit. Pour s’en procurer, les pharmaciens devront adresser un formulaire de demande et l’ordonnance au laboratoire Sanofi</w:t>
      </w:r>
    </w:p>
    <w:p w:rsidR="008C1D2C" w:rsidRDefault="00173380" w:rsidP="008C1D2C">
      <w:pPr>
        <w:pStyle w:val="Textebrut"/>
      </w:pPr>
      <w:hyperlink r:id="rId202" w:history="1">
        <w:r w:rsidR="008C1D2C" w:rsidRPr="00B57D7B">
          <w:rPr>
            <w:rStyle w:val="Lienhypertexte"/>
          </w:rPr>
          <w:t>https://www.lequotidiendupharmacien.fr/medicament-parapharmacie/medicament/quand-la-rifampicine-vient-manquer</w:t>
        </w:r>
      </w:hyperlink>
    </w:p>
    <w:p w:rsidR="008C1D2C" w:rsidRDefault="008C1D2C" w:rsidP="008C1D2C">
      <w:pPr>
        <w:pStyle w:val="Textebrut"/>
      </w:pPr>
    </w:p>
    <w:p w:rsidR="00B6728D" w:rsidRDefault="00B6728D" w:rsidP="00B6728D">
      <w:pPr>
        <w:pStyle w:val="Textebrut"/>
      </w:pPr>
      <w:proofErr w:type="spellStart"/>
      <w:r>
        <w:t>Largactil</w:t>
      </w:r>
      <w:proofErr w:type="spellEnd"/>
      <w:r>
        <w:t xml:space="preserve"> 25 mg, comprimé pelliculé – [Chlorpromazine] – Tension d’approvisionnement depuis le 22/12/2023 (ANSM, actualisation du 26/03/2024).</w:t>
      </w:r>
    </w:p>
    <w:p w:rsidR="00B6728D" w:rsidRDefault="00B6728D" w:rsidP="00B6728D">
      <w:pPr>
        <w:pStyle w:val="Textebrut"/>
      </w:pPr>
      <w:r>
        <w:t>Situation en ville : Tension. Situation à l'hôpital : non impactée. Contingentement quantitatif en ville. Disponibilité d'un stock limité de dépannage d'urgence en ville. Remise à disposition normale prévue début mai 2024</w:t>
      </w:r>
    </w:p>
    <w:p w:rsidR="008C1D2C" w:rsidRDefault="00173380" w:rsidP="00B6728D">
      <w:pPr>
        <w:pStyle w:val="Textebrut"/>
      </w:pPr>
      <w:hyperlink r:id="rId203" w:history="1">
        <w:r w:rsidR="00B6728D" w:rsidRPr="001A4431">
          <w:rPr>
            <w:rStyle w:val="Lienhypertexte"/>
          </w:rPr>
          <w:t>https://ansm.sante.fr/disponibilites-des-produits-de-sante/medicaments/largactil-25-mg-comprime-pellicule-chlorpromazine</w:t>
        </w:r>
      </w:hyperlink>
    </w:p>
    <w:p w:rsidR="00B6728D" w:rsidRDefault="00B6728D" w:rsidP="00B6728D">
      <w:pPr>
        <w:pStyle w:val="Textebrut"/>
      </w:pPr>
    </w:p>
    <w:p w:rsidR="00B6728D" w:rsidRDefault="00B6728D" w:rsidP="00B6728D">
      <w:pPr>
        <w:pStyle w:val="Textebrut"/>
      </w:pPr>
      <w:proofErr w:type="spellStart"/>
      <w:r>
        <w:t>Largactil</w:t>
      </w:r>
      <w:proofErr w:type="spellEnd"/>
      <w:r>
        <w:t xml:space="preserve"> 100 mg, comprimé pelliculé sécable – [Chlorpromazine] - Tension d’approvisionnement depuis le 22/12/2023 (ANSM, actualisation du 26/03/2024).</w:t>
      </w:r>
    </w:p>
    <w:p w:rsidR="00B6728D" w:rsidRDefault="00B6728D" w:rsidP="00B6728D">
      <w:pPr>
        <w:pStyle w:val="Textebrut"/>
      </w:pPr>
      <w:r>
        <w:t>Situation en ville : Tension. Situation à l'hôpital : non impactée. Contingentement quantitatif en ville. Disponibilité d'un stock limité de dépannage d'urgence en ville. Remise à disposition normale prévue début mai 2024</w:t>
      </w:r>
    </w:p>
    <w:p w:rsidR="00B6728D" w:rsidRDefault="00173380" w:rsidP="00B6728D">
      <w:pPr>
        <w:pStyle w:val="Textebrut"/>
      </w:pPr>
      <w:hyperlink r:id="rId204" w:history="1">
        <w:r w:rsidR="00B6728D" w:rsidRPr="001A4431">
          <w:rPr>
            <w:rStyle w:val="Lienhypertexte"/>
          </w:rPr>
          <w:t>https://ansm.sante.fr/disponibilites-des-produits-de-sante/medicaments/largactil-100-mg-comprime-pellicule-secable-chlorpromazine</w:t>
        </w:r>
      </w:hyperlink>
    </w:p>
    <w:p w:rsidR="00B6728D" w:rsidRDefault="00B6728D" w:rsidP="00B6728D">
      <w:pPr>
        <w:pStyle w:val="Textebrut"/>
      </w:pPr>
    </w:p>
    <w:sectPr w:rsidR="00B6728D" w:rsidSect="004568FE">
      <w:headerReference w:type="even" r:id="rId205"/>
      <w:headerReference w:type="default" r:id="rId206"/>
      <w:footerReference w:type="even" r:id="rId207"/>
      <w:footerReference w:type="default" r:id="rId208"/>
      <w:headerReference w:type="first" r:id="rId209"/>
      <w:footerReference w:type="first" r:id="rId210"/>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3380" w:rsidRDefault="00173380">
      <w:r>
        <w:separator/>
      </w:r>
    </w:p>
  </w:endnote>
  <w:endnote w:type="continuationSeparator" w:id="0">
    <w:p w:rsidR="00173380" w:rsidRDefault="00173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380" w:rsidRDefault="0017338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380" w:rsidRDefault="00173380">
    <w:pPr>
      <w:pStyle w:val="Pieddepage"/>
    </w:pPr>
  </w:p>
  <w:p w:rsidR="00173380" w:rsidRDefault="00173380">
    <w:pPr>
      <w:pStyle w:val="Pieddepage"/>
    </w:pPr>
    <w:r>
      <w:t xml:space="preserve">Contact : </w:t>
    </w:r>
    <w:hyperlink r:id="rId1" w:history="1">
      <w:r w:rsidRPr="009D2627">
        <w:rPr>
          <w:rStyle w:val="Lienhypertexte"/>
        </w:rPr>
        <w:t>ars-bfc-peps@ars.sante.fr</w:t>
      </w:r>
    </w:hyperlink>
  </w:p>
  <w:p w:rsidR="00173380" w:rsidRDefault="00173380">
    <w:pPr>
      <w:pStyle w:val="Pieddepage"/>
    </w:pPr>
  </w:p>
  <w:p w:rsidR="00173380" w:rsidRPr="000A2FC6" w:rsidRDefault="00173380"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380" w:rsidRDefault="0017338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3380" w:rsidRDefault="00173380">
      <w:r>
        <w:separator/>
      </w:r>
    </w:p>
  </w:footnote>
  <w:footnote w:type="continuationSeparator" w:id="0">
    <w:p w:rsidR="00173380" w:rsidRDefault="001733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380" w:rsidRDefault="0017338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380" w:rsidRDefault="00173380">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380" w:rsidRDefault="0017338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1B50E3B"/>
    <w:multiLevelType w:val="multilevel"/>
    <w:tmpl w:val="35A21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8"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39D449D"/>
    <w:multiLevelType w:val="hybridMultilevel"/>
    <w:tmpl w:val="ABBCF006"/>
    <w:lvl w:ilvl="0" w:tplc="99FA9EB2">
      <w:start w:val="2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05D6C32"/>
    <w:multiLevelType w:val="hybridMultilevel"/>
    <w:tmpl w:val="10DE7C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8"/>
  </w:num>
  <w:num w:numId="2">
    <w:abstractNumId w:val="7"/>
  </w:num>
  <w:num w:numId="3">
    <w:abstractNumId w:val="0"/>
  </w:num>
  <w:num w:numId="4">
    <w:abstractNumId w:val="1"/>
  </w:num>
  <w:num w:numId="5">
    <w:abstractNumId w:val="15"/>
  </w:num>
  <w:num w:numId="6">
    <w:abstractNumId w:val="17"/>
  </w:num>
  <w:num w:numId="7">
    <w:abstractNumId w:val="3"/>
  </w:num>
  <w:num w:numId="8">
    <w:abstractNumId w:val="14"/>
  </w:num>
  <w:num w:numId="9">
    <w:abstractNumId w:val="2"/>
  </w:num>
  <w:num w:numId="10">
    <w:abstractNumId w:val="20"/>
  </w:num>
  <w:num w:numId="11">
    <w:abstractNumId w:val="8"/>
  </w:num>
  <w:num w:numId="12">
    <w:abstractNumId w:val="5"/>
  </w:num>
  <w:num w:numId="13">
    <w:abstractNumId w:val="23"/>
  </w:num>
  <w:num w:numId="14">
    <w:abstractNumId w:val="19"/>
  </w:num>
  <w:num w:numId="15">
    <w:abstractNumId w:val="24"/>
  </w:num>
  <w:num w:numId="16">
    <w:abstractNumId w:val="22"/>
  </w:num>
  <w:num w:numId="17">
    <w:abstractNumId w:val="21"/>
  </w:num>
  <w:num w:numId="18">
    <w:abstractNumId w:val="6"/>
  </w:num>
  <w:num w:numId="19">
    <w:abstractNumId w:val="13"/>
  </w:num>
  <w:num w:numId="20">
    <w:abstractNumId w:val="10"/>
  </w:num>
  <w:num w:numId="21">
    <w:abstractNumId w:val="12"/>
  </w:num>
  <w:num w:numId="22">
    <w:abstractNumId w:val="16"/>
  </w:num>
  <w:num w:numId="23">
    <w:abstractNumId w:val="25"/>
  </w:num>
  <w:num w:numId="24">
    <w:abstractNumId w:val="11"/>
  </w:num>
  <w:num w:numId="25">
    <w:abstractNumId w:val="9"/>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35C"/>
    <w:rsid w:val="0000124D"/>
    <w:rsid w:val="00003243"/>
    <w:rsid w:val="000038B4"/>
    <w:rsid w:val="000041FF"/>
    <w:rsid w:val="000074A3"/>
    <w:rsid w:val="000100AD"/>
    <w:rsid w:val="000109A8"/>
    <w:rsid w:val="000109BE"/>
    <w:rsid w:val="00010FF1"/>
    <w:rsid w:val="0001329F"/>
    <w:rsid w:val="00016D9E"/>
    <w:rsid w:val="00021831"/>
    <w:rsid w:val="00021E7F"/>
    <w:rsid w:val="0002236E"/>
    <w:rsid w:val="000229A5"/>
    <w:rsid w:val="000229F1"/>
    <w:rsid w:val="000249BA"/>
    <w:rsid w:val="00025904"/>
    <w:rsid w:val="00025E10"/>
    <w:rsid w:val="00026AE2"/>
    <w:rsid w:val="00026E7D"/>
    <w:rsid w:val="00027897"/>
    <w:rsid w:val="00030833"/>
    <w:rsid w:val="000320E3"/>
    <w:rsid w:val="0003299A"/>
    <w:rsid w:val="00032E56"/>
    <w:rsid w:val="00033D82"/>
    <w:rsid w:val="00033F3D"/>
    <w:rsid w:val="00034346"/>
    <w:rsid w:val="000349FF"/>
    <w:rsid w:val="000354FF"/>
    <w:rsid w:val="00035A9A"/>
    <w:rsid w:val="00036C93"/>
    <w:rsid w:val="00043D35"/>
    <w:rsid w:val="00044905"/>
    <w:rsid w:val="00045122"/>
    <w:rsid w:val="000458FF"/>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0E11"/>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9110B"/>
    <w:rsid w:val="00091989"/>
    <w:rsid w:val="00091AAB"/>
    <w:rsid w:val="00093E65"/>
    <w:rsid w:val="0009442E"/>
    <w:rsid w:val="00094FB9"/>
    <w:rsid w:val="00095B4D"/>
    <w:rsid w:val="00095DE4"/>
    <w:rsid w:val="00096208"/>
    <w:rsid w:val="000966C5"/>
    <w:rsid w:val="000967B5"/>
    <w:rsid w:val="00096BE7"/>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0A8D"/>
    <w:rsid w:val="000B139A"/>
    <w:rsid w:val="000B19AA"/>
    <w:rsid w:val="000B19CF"/>
    <w:rsid w:val="000B39A2"/>
    <w:rsid w:val="000B4A08"/>
    <w:rsid w:val="000B6D06"/>
    <w:rsid w:val="000C1264"/>
    <w:rsid w:val="000C1633"/>
    <w:rsid w:val="000C26FB"/>
    <w:rsid w:val="000C2A3C"/>
    <w:rsid w:val="000C3971"/>
    <w:rsid w:val="000C4685"/>
    <w:rsid w:val="000C5402"/>
    <w:rsid w:val="000D1283"/>
    <w:rsid w:val="000D1AAE"/>
    <w:rsid w:val="000D1B53"/>
    <w:rsid w:val="000D1C93"/>
    <w:rsid w:val="000D2843"/>
    <w:rsid w:val="000D77FC"/>
    <w:rsid w:val="000E003E"/>
    <w:rsid w:val="000E072D"/>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7D1"/>
    <w:rsid w:val="000F23A5"/>
    <w:rsid w:val="000F2634"/>
    <w:rsid w:val="000F3BF7"/>
    <w:rsid w:val="000F421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2C2D"/>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13D8"/>
    <w:rsid w:val="00131476"/>
    <w:rsid w:val="0013232E"/>
    <w:rsid w:val="00133883"/>
    <w:rsid w:val="001355D7"/>
    <w:rsid w:val="00136108"/>
    <w:rsid w:val="00137E96"/>
    <w:rsid w:val="00140E13"/>
    <w:rsid w:val="00147846"/>
    <w:rsid w:val="00150170"/>
    <w:rsid w:val="00151590"/>
    <w:rsid w:val="00151EB5"/>
    <w:rsid w:val="00152588"/>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3380"/>
    <w:rsid w:val="0017429E"/>
    <w:rsid w:val="0017619F"/>
    <w:rsid w:val="00176C88"/>
    <w:rsid w:val="00176DB8"/>
    <w:rsid w:val="00177468"/>
    <w:rsid w:val="001775CF"/>
    <w:rsid w:val="00177678"/>
    <w:rsid w:val="00180C7C"/>
    <w:rsid w:val="00180D0B"/>
    <w:rsid w:val="00180EC2"/>
    <w:rsid w:val="001828BF"/>
    <w:rsid w:val="00183C3B"/>
    <w:rsid w:val="00184223"/>
    <w:rsid w:val="00184852"/>
    <w:rsid w:val="00191201"/>
    <w:rsid w:val="00193286"/>
    <w:rsid w:val="00193A66"/>
    <w:rsid w:val="00193C1F"/>
    <w:rsid w:val="001940DE"/>
    <w:rsid w:val="00194404"/>
    <w:rsid w:val="001956CE"/>
    <w:rsid w:val="00195AA6"/>
    <w:rsid w:val="001969EA"/>
    <w:rsid w:val="00197CFC"/>
    <w:rsid w:val="001A2213"/>
    <w:rsid w:val="001A5670"/>
    <w:rsid w:val="001A6DE6"/>
    <w:rsid w:val="001B039C"/>
    <w:rsid w:val="001B2FBB"/>
    <w:rsid w:val="001B39CB"/>
    <w:rsid w:val="001B3F35"/>
    <w:rsid w:val="001B5625"/>
    <w:rsid w:val="001B5903"/>
    <w:rsid w:val="001B5CF6"/>
    <w:rsid w:val="001B5FAB"/>
    <w:rsid w:val="001B69E3"/>
    <w:rsid w:val="001C022D"/>
    <w:rsid w:val="001C024A"/>
    <w:rsid w:val="001C09BA"/>
    <w:rsid w:val="001C0BC0"/>
    <w:rsid w:val="001C1B2F"/>
    <w:rsid w:val="001C1D20"/>
    <w:rsid w:val="001C39FF"/>
    <w:rsid w:val="001C4563"/>
    <w:rsid w:val="001C4D95"/>
    <w:rsid w:val="001C4EB8"/>
    <w:rsid w:val="001C52CB"/>
    <w:rsid w:val="001C7742"/>
    <w:rsid w:val="001D10BF"/>
    <w:rsid w:val="001D17B3"/>
    <w:rsid w:val="001D17BC"/>
    <w:rsid w:val="001D69E7"/>
    <w:rsid w:val="001D7996"/>
    <w:rsid w:val="001E123F"/>
    <w:rsid w:val="001E2346"/>
    <w:rsid w:val="001E25E0"/>
    <w:rsid w:val="001E45D7"/>
    <w:rsid w:val="001E68AC"/>
    <w:rsid w:val="001E75EF"/>
    <w:rsid w:val="001E7D1B"/>
    <w:rsid w:val="001F0206"/>
    <w:rsid w:val="001F12B1"/>
    <w:rsid w:val="001F18E1"/>
    <w:rsid w:val="001F2484"/>
    <w:rsid w:val="001F2DFC"/>
    <w:rsid w:val="001F535A"/>
    <w:rsid w:val="001F564F"/>
    <w:rsid w:val="001F5B9B"/>
    <w:rsid w:val="001F6248"/>
    <w:rsid w:val="001F66B2"/>
    <w:rsid w:val="001F7694"/>
    <w:rsid w:val="0020050C"/>
    <w:rsid w:val="0020070B"/>
    <w:rsid w:val="00200A3C"/>
    <w:rsid w:val="00200D08"/>
    <w:rsid w:val="00201104"/>
    <w:rsid w:val="002053C0"/>
    <w:rsid w:val="00206BA0"/>
    <w:rsid w:val="00207094"/>
    <w:rsid w:val="00207D4F"/>
    <w:rsid w:val="00210253"/>
    <w:rsid w:val="002116B6"/>
    <w:rsid w:val="00213F84"/>
    <w:rsid w:val="00214BA9"/>
    <w:rsid w:val="00217095"/>
    <w:rsid w:val="00217B22"/>
    <w:rsid w:val="00222D50"/>
    <w:rsid w:val="00223320"/>
    <w:rsid w:val="00223F62"/>
    <w:rsid w:val="002264AB"/>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0707"/>
    <w:rsid w:val="002712B6"/>
    <w:rsid w:val="0027230B"/>
    <w:rsid w:val="00272C95"/>
    <w:rsid w:val="00272E14"/>
    <w:rsid w:val="00274B89"/>
    <w:rsid w:val="002750B9"/>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3075"/>
    <w:rsid w:val="002E4021"/>
    <w:rsid w:val="002E5370"/>
    <w:rsid w:val="002E7065"/>
    <w:rsid w:val="002F0ECB"/>
    <w:rsid w:val="002F1EED"/>
    <w:rsid w:val="002F3D2D"/>
    <w:rsid w:val="002F5FA4"/>
    <w:rsid w:val="002F68E7"/>
    <w:rsid w:val="00301108"/>
    <w:rsid w:val="00301448"/>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AF1"/>
    <w:rsid w:val="003B2C47"/>
    <w:rsid w:val="003B367E"/>
    <w:rsid w:val="003B378B"/>
    <w:rsid w:val="003B48F4"/>
    <w:rsid w:val="003B65C7"/>
    <w:rsid w:val="003B7766"/>
    <w:rsid w:val="003B7E31"/>
    <w:rsid w:val="003C0C89"/>
    <w:rsid w:val="003C11F6"/>
    <w:rsid w:val="003C24C0"/>
    <w:rsid w:val="003C3C5D"/>
    <w:rsid w:val="003C5679"/>
    <w:rsid w:val="003C7D38"/>
    <w:rsid w:val="003D0611"/>
    <w:rsid w:val="003D0624"/>
    <w:rsid w:val="003D0E62"/>
    <w:rsid w:val="003D225D"/>
    <w:rsid w:val="003D3E5C"/>
    <w:rsid w:val="003D70D5"/>
    <w:rsid w:val="003D7119"/>
    <w:rsid w:val="003E28FC"/>
    <w:rsid w:val="003E3826"/>
    <w:rsid w:val="003E3A44"/>
    <w:rsid w:val="003E3EB0"/>
    <w:rsid w:val="003E69CF"/>
    <w:rsid w:val="003E7F72"/>
    <w:rsid w:val="003F024E"/>
    <w:rsid w:val="003F1C56"/>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240DA"/>
    <w:rsid w:val="00425066"/>
    <w:rsid w:val="00425504"/>
    <w:rsid w:val="004269A0"/>
    <w:rsid w:val="004269B5"/>
    <w:rsid w:val="00430E44"/>
    <w:rsid w:val="0043211F"/>
    <w:rsid w:val="004324F8"/>
    <w:rsid w:val="0043261C"/>
    <w:rsid w:val="004335ED"/>
    <w:rsid w:val="00433ED5"/>
    <w:rsid w:val="00434C2E"/>
    <w:rsid w:val="0043532C"/>
    <w:rsid w:val="0043575F"/>
    <w:rsid w:val="0043747D"/>
    <w:rsid w:val="00437B63"/>
    <w:rsid w:val="00437FFA"/>
    <w:rsid w:val="00440074"/>
    <w:rsid w:val="00441375"/>
    <w:rsid w:val="004436AF"/>
    <w:rsid w:val="0044388F"/>
    <w:rsid w:val="00443CB7"/>
    <w:rsid w:val="00444416"/>
    <w:rsid w:val="00444F50"/>
    <w:rsid w:val="00445041"/>
    <w:rsid w:val="0044514A"/>
    <w:rsid w:val="00445254"/>
    <w:rsid w:val="00445A81"/>
    <w:rsid w:val="00446898"/>
    <w:rsid w:val="0044723D"/>
    <w:rsid w:val="004473F7"/>
    <w:rsid w:val="00447864"/>
    <w:rsid w:val="00451DD0"/>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7D4C"/>
    <w:rsid w:val="00472AC1"/>
    <w:rsid w:val="004730C8"/>
    <w:rsid w:val="00474007"/>
    <w:rsid w:val="004747DA"/>
    <w:rsid w:val="00475175"/>
    <w:rsid w:val="00476D29"/>
    <w:rsid w:val="004776D0"/>
    <w:rsid w:val="00480920"/>
    <w:rsid w:val="00481907"/>
    <w:rsid w:val="004830BB"/>
    <w:rsid w:val="004837F1"/>
    <w:rsid w:val="004837FD"/>
    <w:rsid w:val="00484403"/>
    <w:rsid w:val="004849F8"/>
    <w:rsid w:val="00487537"/>
    <w:rsid w:val="00491744"/>
    <w:rsid w:val="004923C1"/>
    <w:rsid w:val="00492660"/>
    <w:rsid w:val="00494AF4"/>
    <w:rsid w:val="00494F55"/>
    <w:rsid w:val="0049571E"/>
    <w:rsid w:val="00495B81"/>
    <w:rsid w:val="004961AB"/>
    <w:rsid w:val="004970EB"/>
    <w:rsid w:val="004A026F"/>
    <w:rsid w:val="004A043C"/>
    <w:rsid w:val="004A24C6"/>
    <w:rsid w:val="004A253F"/>
    <w:rsid w:val="004A2A43"/>
    <w:rsid w:val="004A2E72"/>
    <w:rsid w:val="004A30CF"/>
    <w:rsid w:val="004A3203"/>
    <w:rsid w:val="004A33A0"/>
    <w:rsid w:val="004A3DB8"/>
    <w:rsid w:val="004A584A"/>
    <w:rsid w:val="004B0AAA"/>
    <w:rsid w:val="004B1C7D"/>
    <w:rsid w:val="004B25BB"/>
    <w:rsid w:val="004B2836"/>
    <w:rsid w:val="004B2F69"/>
    <w:rsid w:val="004B37A7"/>
    <w:rsid w:val="004B42DD"/>
    <w:rsid w:val="004B706F"/>
    <w:rsid w:val="004B759A"/>
    <w:rsid w:val="004C1F7B"/>
    <w:rsid w:val="004C215D"/>
    <w:rsid w:val="004C304E"/>
    <w:rsid w:val="004C3B33"/>
    <w:rsid w:val="004C4482"/>
    <w:rsid w:val="004C4F28"/>
    <w:rsid w:val="004C5695"/>
    <w:rsid w:val="004C5E58"/>
    <w:rsid w:val="004C5FE3"/>
    <w:rsid w:val="004C7AF7"/>
    <w:rsid w:val="004D046B"/>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482D"/>
    <w:rsid w:val="00504A66"/>
    <w:rsid w:val="00504FE9"/>
    <w:rsid w:val="00505B5C"/>
    <w:rsid w:val="005066F5"/>
    <w:rsid w:val="0050702A"/>
    <w:rsid w:val="00507105"/>
    <w:rsid w:val="00507686"/>
    <w:rsid w:val="005102F6"/>
    <w:rsid w:val="005111DF"/>
    <w:rsid w:val="00511612"/>
    <w:rsid w:val="0051247C"/>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37F6F"/>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3B11"/>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647A"/>
    <w:rsid w:val="005C65DF"/>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AA5"/>
    <w:rsid w:val="005E7E8F"/>
    <w:rsid w:val="005F0DA9"/>
    <w:rsid w:val="005F3682"/>
    <w:rsid w:val="005F41D7"/>
    <w:rsid w:val="005F4A21"/>
    <w:rsid w:val="005F647F"/>
    <w:rsid w:val="005F6AC3"/>
    <w:rsid w:val="005F6D77"/>
    <w:rsid w:val="005F6FBF"/>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26F0F"/>
    <w:rsid w:val="00630987"/>
    <w:rsid w:val="00631A01"/>
    <w:rsid w:val="00631E3D"/>
    <w:rsid w:val="00631E7B"/>
    <w:rsid w:val="0063226C"/>
    <w:rsid w:val="00632498"/>
    <w:rsid w:val="00633C2F"/>
    <w:rsid w:val="00634129"/>
    <w:rsid w:val="00634A2E"/>
    <w:rsid w:val="006352B5"/>
    <w:rsid w:val="00636F1C"/>
    <w:rsid w:val="0063746A"/>
    <w:rsid w:val="00642845"/>
    <w:rsid w:val="00642C3A"/>
    <w:rsid w:val="00644051"/>
    <w:rsid w:val="0064443B"/>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672AF"/>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5819"/>
    <w:rsid w:val="00686A2B"/>
    <w:rsid w:val="00686DF7"/>
    <w:rsid w:val="00692C67"/>
    <w:rsid w:val="006948F9"/>
    <w:rsid w:val="006962F9"/>
    <w:rsid w:val="006A1397"/>
    <w:rsid w:val="006A1FF1"/>
    <w:rsid w:val="006A37A4"/>
    <w:rsid w:val="006A4469"/>
    <w:rsid w:val="006A4827"/>
    <w:rsid w:val="006A4D06"/>
    <w:rsid w:val="006A54B0"/>
    <w:rsid w:val="006A589C"/>
    <w:rsid w:val="006A5D05"/>
    <w:rsid w:val="006A6D4B"/>
    <w:rsid w:val="006A7005"/>
    <w:rsid w:val="006A7622"/>
    <w:rsid w:val="006B0463"/>
    <w:rsid w:val="006B1963"/>
    <w:rsid w:val="006B49A5"/>
    <w:rsid w:val="006B61FF"/>
    <w:rsid w:val="006B65F1"/>
    <w:rsid w:val="006B68F3"/>
    <w:rsid w:val="006B6EFA"/>
    <w:rsid w:val="006B7B81"/>
    <w:rsid w:val="006C1A2A"/>
    <w:rsid w:val="006C26C2"/>
    <w:rsid w:val="006C4B48"/>
    <w:rsid w:val="006C5101"/>
    <w:rsid w:val="006C6266"/>
    <w:rsid w:val="006C6F13"/>
    <w:rsid w:val="006D21A4"/>
    <w:rsid w:val="006D22CC"/>
    <w:rsid w:val="006D2F28"/>
    <w:rsid w:val="006D351B"/>
    <w:rsid w:val="006D37B1"/>
    <w:rsid w:val="006D5FC1"/>
    <w:rsid w:val="006E0B5D"/>
    <w:rsid w:val="006E0C07"/>
    <w:rsid w:val="006E1A5E"/>
    <w:rsid w:val="006E2346"/>
    <w:rsid w:val="006E2512"/>
    <w:rsid w:val="006E3449"/>
    <w:rsid w:val="006E3DDB"/>
    <w:rsid w:val="006E4A7B"/>
    <w:rsid w:val="006E53A5"/>
    <w:rsid w:val="006E5B3E"/>
    <w:rsid w:val="006E76E5"/>
    <w:rsid w:val="006F0E6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2B3"/>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A61"/>
    <w:rsid w:val="008056AF"/>
    <w:rsid w:val="00805A85"/>
    <w:rsid w:val="0080692F"/>
    <w:rsid w:val="00810907"/>
    <w:rsid w:val="00810CBE"/>
    <w:rsid w:val="00811FCA"/>
    <w:rsid w:val="008121B9"/>
    <w:rsid w:val="008126B0"/>
    <w:rsid w:val="00812724"/>
    <w:rsid w:val="00812AEA"/>
    <w:rsid w:val="00812B7F"/>
    <w:rsid w:val="00813150"/>
    <w:rsid w:val="008132E9"/>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DE"/>
    <w:rsid w:val="008332EC"/>
    <w:rsid w:val="0083465E"/>
    <w:rsid w:val="008346F7"/>
    <w:rsid w:val="008348BE"/>
    <w:rsid w:val="008364D6"/>
    <w:rsid w:val="00837D1D"/>
    <w:rsid w:val="0084019F"/>
    <w:rsid w:val="0084036B"/>
    <w:rsid w:val="008425DB"/>
    <w:rsid w:val="0084347F"/>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E5F"/>
    <w:rsid w:val="0086054A"/>
    <w:rsid w:val="00861801"/>
    <w:rsid w:val="0086428D"/>
    <w:rsid w:val="008649A7"/>
    <w:rsid w:val="0086580B"/>
    <w:rsid w:val="00871D7B"/>
    <w:rsid w:val="00871E3F"/>
    <w:rsid w:val="00872E02"/>
    <w:rsid w:val="00872F82"/>
    <w:rsid w:val="008756F4"/>
    <w:rsid w:val="008768E0"/>
    <w:rsid w:val="00877301"/>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6EDD"/>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2A8"/>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1D2C"/>
    <w:rsid w:val="008C27BC"/>
    <w:rsid w:val="008C2943"/>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4FA7"/>
    <w:rsid w:val="00907078"/>
    <w:rsid w:val="0090794B"/>
    <w:rsid w:val="0091156E"/>
    <w:rsid w:val="00911771"/>
    <w:rsid w:val="00911F95"/>
    <w:rsid w:val="00912953"/>
    <w:rsid w:val="00912ED0"/>
    <w:rsid w:val="00914BF5"/>
    <w:rsid w:val="0091527F"/>
    <w:rsid w:val="00916AC7"/>
    <w:rsid w:val="00917A85"/>
    <w:rsid w:val="0092053D"/>
    <w:rsid w:val="00920836"/>
    <w:rsid w:val="0092232C"/>
    <w:rsid w:val="00922B08"/>
    <w:rsid w:val="00923CEB"/>
    <w:rsid w:val="0092617E"/>
    <w:rsid w:val="0092664C"/>
    <w:rsid w:val="009278FB"/>
    <w:rsid w:val="009307F0"/>
    <w:rsid w:val="00930CE0"/>
    <w:rsid w:val="00931104"/>
    <w:rsid w:val="0093127C"/>
    <w:rsid w:val="0093156A"/>
    <w:rsid w:val="009316F2"/>
    <w:rsid w:val="00933D61"/>
    <w:rsid w:val="00933DF7"/>
    <w:rsid w:val="0093468C"/>
    <w:rsid w:val="0093487C"/>
    <w:rsid w:val="009359AB"/>
    <w:rsid w:val="00936182"/>
    <w:rsid w:val="00936555"/>
    <w:rsid w:val="009412D2"/>
    <w:rsid w:val="00942EFC"/>
    <w:rsid w:val="00942F03"/>
    <w:rsid w:val="00944599"/>
    <w:rsid w:val="0094662C"/>
    <w:rsid w:val="00947196"/>
    <w:rsid w:val="0095035C"/>
    <w:rsid w:val="009513AC"/>
    <w:rsid w:val="00951B64"/>
    <w:rsid w:val="009528A6"/>
    <w:rsid w:val="00952ABF"/>
    <w:rsid w:val="009543A5"/>
    <w:rsid w:val="00954C6E"/>
    <w:rsid w:val="009550F2"/>
    <w:rsid w:val="009551E4"/>
    <w:rsid w:val="009558DB"/>
    <w:rsid w:val="00955F3C"/>
    <w:rsid w:val="0095735D"/>
    <w:rsid w:val="00961C94"/>
    <w:rsid w:val="009624E1"/>
    <w:rsid w:val="009628CD"/>
    <w:rsid w:val="00962929"/>
    <w:rsid w:val="00962DFA"/>
    <w:rsid w:val="0096399E"/>
    <w:rsid w:val="00964EB4"/>
    <w:rsid w:val="00965BD6"/>
    <w:rsid w:val="0096602A"/>
    <w:rsid w:val="00966A49"/>
    <w:rsid w:val="00970C87"/>
    <w:rsid w:val="00971594"/>
    <w:rsid w:val="0097159B"/>
    <w:rsid w:val="00971DD0"/>
    <w:rsid w:val="00972A18"/>
    <w:rsid w:val="00972BBA"/>
    <w:rsid w:val="00972C10"/>
    <w:rsid w:val="0097303A"/>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44D"/>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61E9"/>
    <w:rsid w:val="009B64B4"/>
    <w:rsid w:val="009B6B60"/>
    <w:rsid w:val="009B6BD5"/>
    <w:rsid w:val="009C04AD"/>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4199"/>
    <w:rsid w:val="009E4376"/>
    <w:rsid w:val="009E4AB0"/>
    <w:rsid w:val="009E581B"/>
    <w:rsid w:val="009E5B58"/>
    <w:rsid w:val="009E61CF"/>
    <w:rsid w:val="009F03F0"/>
    <w:rsid w:val="009F1579"/>
    <w:rsid w:val="009F223C"/>
    <w:rsid w:val="009F25BB"/>
    <w:rsid w:val="009F281F"/>
    <w:rsid w:val="009F3A12"/>
    <w:rsid w:val="009F5106"/>
    <w:rsid w:val="009F510E"/>
    <w:rsid w:val="009F68C4"/>
    <w:rsid w:val="009F7D89"/>
    <w:rsid w:val="009F7DB6"/>
    <w:rsid w:val="00A00611"/>
    <w:rsid w:val="00A00764"/>
    <w:rsid w:val="00A03103"/>
    <w:rsid w:val="00A03510"/>
    <w:rsid w:val="00A03CEB"/>
    <w:rsid w:val="00A043C8"/>
    <w:rsid w:val="00A04C3F"/>
    <w:rsid w:val="00A07A40"/>
    <w:rsid w:val="00A07BE5"/>
    <w:rsid w:val="00A07C45"/>
    <w:rsid w:val="00A1069E"/>
    <w:rsid w:val="00A1128B"/>
    <w:rsid w:val="00A123AA"/>
    <w:rsid w:val="00A14418"/>
    <w:rsid w:val="00A14E32"/>
    <w:rsid w:val="00A15DB2"/>
    <w:rsid w:val="00A1694B"/>
    <w:rsid w:val="00A1696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4D6"/>
    <w:rsid w:val="00A43AC4"/>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77132"/>
    <w:rsid w:val="00A801B7"/>
    <w:rsid w:val="00A80ACE"/>
    <w:rsid w:val="00A814A7"/>
    <w:rsid w:val="00A819B4"/>
    <w:rsid w:val="00A81A92"/>
    <w:rsid w:val="00A826FB"/>
    <w:rsid w:val="00A82F66"/>
    <w:rsid w:val="00A83B92"/>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E0268"/>
    <w:rsid w:val="00AE3C8F"/>
    <w:rsid w:val="00AE5D23"/>
    <w:rsid w:val="00AE614B"/>
    <w:rsid w:val="00AE6FB0"/>
    <w:rsid w:val="00AF17BE"/>
    <w:rsid w:val="00AF21A9"/>
    <w:rsid w:val="00AF3791"/>
    <w:rsid w:val="00AF413D"/>
    <w:rsid w:val="00AF486D"/>
    <w:rsid w:val="00AF6380"/>
    <w:rsid w:val="00AF6DFA"/>
    <w:rsid w:val="00AF7190"/>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2343"/>
    <w:rsid w:val="00B224BB"/>
    <w:rsid w:val="00B22D51"/>
    <w:rsid w:val="00B23498"/>
    <w:rsid w:val="00B24257"/>
    <w:rsid w:val="00B244C8"/>
    <w:rsid w:val="00B259BB"/>
    <w:rsid w:val="00B25DF5"/>
    <w:rsid w:val="00B25E23"/>
    <w:rsid w:val="00B260D8"/>
    <w:rsid w:val="00B2628F"/>
    <w:rsid w:val="00B264F2"/>
    <w:rsid w:val="00B2655E"/>
    <w:rsid w:val="00B307DF"/>
    <w:rsid w:val="00B316BC"/>
    <w:rsid w:val="00B32BE5"/>
    <w:rsid w:val="00B33132"/>
    <w:rsid w:val="00B33C37"/>
    <w:rsid w:val="00B356C7"/>
    <w:rsid w:val="00B42830"/>
    <w:rsid w:val="00B45521"/>
    <w:rsid w:val="00B46026"/>
    <w:rsid w:val="00B4640B"/>
    <w:rsid w:val="00B46A46"/>
    <w:rsid w:val="00B50029"/>
    <w:rsid w:val="00B521B0"/>
    <w:rsid w:val="00B523B4"/>
    <w:rsid w:val="00B52666"/>
    <w:rsid w:val="00B5323D"/>
    <w:rsid w:val="00B5395A"/>
    <w:rsid w:val="00B55E19"/>
    <w:rsid w:val="00B55F07"/>
    <w:rsid w:val="00B608E5"/>
    <w:rsid w:val="00B6091C"/>
    <w:rsid w:val="00B619FE"/>
    <w:rsid w:val="00B61A92"/>
    <w:rsid w:val="00B6258C"/>
    <w:rsid w:val="00B6283B"/>
    <w:rsid w:val="00B62C6A"/>
    <w:rsid w:val="00B63715"/>
    <w:rsid w:val="00B63FDB"/>
    <w:rsid w:val="00B64137"/>
    <w:rsid w:val="00B64240"/>
    <w:rsid w:val="00B647F8"/>
    <w:rsid w:val="00B66A34"/>
    <w:rsid w:val="00B6728D"/>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E5CE8"/>
    <w:rsid w:val="00BF02A0"/>
    <w:rsid w:val="00BF0DD5"/>
    <w:rsid w:val="00BF142B"/>
    <w:rsid w:val="00BF2172"/>
    <w:rsid w:val="00BF3637"/>
    <w:rsid w:val="00BF3BD4"/>
    <w:rsid w:val="00BF4B03"/>
    <w:rsid w:val="00BF5106"/>
    <w:rsid w:val="00BF5261"/>
    <w:rsid w:val="00BF6CD2"/>
    <w:rsid w:val="00BF79F2"/>
    <w:rsid w:val="00BF7E57"/>
    <w:rsid w:val="00C004DA"/>
    <w:rsid w:val="00C019D6"/>
    <w:rsid w:val="00C027D5"/>
    <w:rsid w:val="00C03EF2"/>
    <w:rsid w:val="00C0589F"/>
    <w:rsid w:val="00C11B39"/>
    <w:rsid w:val="00C126C9"/>
    <w:rsid w:val="00C1433D"/>
    <w:rsid w:val="00C163EF"/>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A5A"/>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22A"/>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2C4E"/>
    <w:rsid w:val="00CD37D6"/>
    <w:rsid w:val="00CD3FD6"/>
    <w:rsid w:val="00CD514D"/>
    <w:rsid w:val="00CD51E8"/>
    <w:rsid w:val="00CD63C0"/>
    <w:rsid w:val="00CD7408"/>
    <w:rsid w:val="00CD7D54"/>
    <w:rsid w:val="00CE0918"/>
    <w:rsid w:val="00CE1203"/>
    <w:rsid w:val="00CE17C0"/>
    <w:rsid w:val="00CE1A7D"/>
    <w:rsid w:val="00CE2925"/>
    <w:rsid w:val="00CE3595"/>
    <w:rsid w:val="00CE4F27"/>
    <w:rsid w:val="00CF1CF1"/>
    <w:rsid w:val="00CF2429"/>
    <w:rsid w:val="00CF2C06"/>
    <w:rsid w:val="00CF4AEE"/>
    <w:rsid w:val="00CF5BE7"/>
    <w:rsid w:val="00CF6195"/>
    <w:rsid w:val="00CF689F"/>
    <w:rsid w:val="00CF6D34"/>
    <w:rsid w:val="00CF79FA"/>
    <w:rsid w:val="00D0089B"/>
    <w:rsid w:val="00D01B6E"/>
    <w:rsid w:val="00D026E7"/>
    <w:rsid w:val="00D027B2"/>
    <w:rsid w:val="00D0377C"/>
    <w:rsid w:val="00D03980"/>
    <w:rsid w:val="00D07083"/>
    <w:rsid w:val="00D10080"/>
    <w:rsid w:val="00D10420"/>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2271"/>
    <w:rsid w:val="00D42AE0"/>
    <w:rsid w:val="00D44634"/>
    <w:rsid w:val="00D4527C"/>
    <w:rsid w:val="00D45A02"/>
    <w:rsid w:val="00D45E21"/>
    <w:rsid w:val="00D46127"/>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422"/>
    <w:rsid w:val="00D70ECA"/>
    <w:rsid w:val="00D718C0"/>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0B0"/>
    <w:rsid w:val="00DB0BCF"/>
    <w:rsid w:val="00DB3DD4"/>
    <w:rsid w:val="00DB46E1"/>
    <w:rsid w:val="00DB4A21"/>
    <w:rsid w:val="00DB54D9"/>
    <w:rsid w:val="00DB70A2"/>
    <w:rsid w:val="00DB717A"/>
    <w:rsid w:val="00DB7463"/>
    <w:rsid w:val="00DC008D"/>
    <w:rsid w:val="00DC09AC"/>
    <w:rsid w:val="00DC242C"/>
    <w:rsid w:val="00DC2773"/>
    <w:rsid w:val="00DC27FD"/>
    <w:rsid w:val="00DC296F"/>
    <w:rsid w:val="00DC2EEE"/>
    <w:rsid w:val="00DC50F5"/>
    <w:rsid w:val="00DC5183"/>
    <w:rsid w:val="00DC6BE5"/>
    <w:rsid w:val="00DC6DE6"/>
    <w:rsid w:val="00DC6F86"/>
    <w:rsid w:val="00DC7753"/>
    <w:rsid w:val="00DD077A"/>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602B"/>
    <w:rsid w:val="00DF02B5"/>
    <w:rsid w:val="00DF4192"/>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498C"/>
    <w:rsid w:val="00E15B72"/>
    <w:rsid w:val="00E163AC"/>
    <w:rsid w:val="00E164C1"/>
    <w:rsid w:val="00E16B87"/>
    <w:rsid w:val="00E20CE5"/>
    <w:rsid w:val="00E20F91"/>
    <w:rsid w:val="00E235B3"/>
    <w:rsid w:val="00E2557D"/>
    <w:rsid w:val="00E257A4"/>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668B"/>
    <w:rsid w:val="00E60275"/>
    <w:rsid w:val="00E60F6E"/>
    <w:rsid w:val="00E620B5"/>
    <w:rsid w:val="00E631BB"/>
    <w:rsid w:val="00E63307"/>
    <w:rsid w:val="00E65B57"/>
    <w:rsid w:val="00E65B7A"/>
    <w:rsid w:val="00E6620B"/>
    <w:rsid w:val="00E6713E"/>
    <w:rsid w:val="00E67905"/>
    <w:rsid w:val="00E705F6"/>
    <w:rsid w:val="00E71A1A"/>
    <w:rsid w:val="00E71D85"/>
    <w:rsid w:val="00E72D64"/>
    <w:rsid w:val="00E74AAE"/>
    <w:rsid w:val="00E77816"/>
    <w:rsid w:val="00E80EF2"/>
    <w:rsid w:val="00E8145A"/>
    <w:rsid w:val="00E82857"/>
    <w:rsid w:val="00E83111"/>
    <w:rsid w:val="00E83D86"/>
    <w:rsid w:val="00E842F0"/>
    <w:rsid w:val="00E8524D"/>
    <w:rsid w:val="00E8595A"/>
    <w:rsid w:val="00E8671A"/>
    <w:rsid w:val="00E8744E"/>
    <w:rsid w:val="00E87617"/>
    <w:rsid w:val="00E87CB7"/>
    <w:rsid w:val="00E9036A"/>
    <w:rsid w:val="00E919BE"/>
    <w:rsid w:val="00E91D21"/>
    <w:rsid w:val="00E923D8"/>
    <w:rsid w:val="00E93D9D"/>
    <w:rsid w:val="00E94578"/>
    <w:rsid w:val="00E95BD4"/>
    <w:rsid w:val="00E95EB0"/>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3D1"/>
    <w:rsid w:val="00EB55EB"/>
    <w:rsid w:val="00EB6D9A"/>
    <w:rsid w:val="00EB75EA"/>
    <w:rsid w:val="00EB7779"/>
    <w:rsid w:val="00EC6FE8"/>
    <w:rsid w:val="00EC7BB1"/>
    <w:rsid w:val="00EC7CB4"/>
    <w:rsid w:val="00ED0184"/>
    <w:rsid w:val="00ED0E70"/>
    <w:rsid w:val="00ED271B"/>
    <w:rsid w:val="00ED28B3"/>
    <w:rsid w:val="00ED2E7C"/>
    <w:rsid w:val="00ED33D3"/>
    <w:rsid w:val="00ED3F32"/>
    <w:rsid w:val="00ED4EE8"/>
    <w:rsid w:val="00EE039A"/>
    <w:rsid w:val="00EE185C"/>
    <w:rsid w:val="00EE24C1"/>
    <w:rsid w:val="00EE475F"/>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577"/>
    <w:rsid w:val="00EF797E"/>
    <w:rsid w:val="00F00362"/>
    <w:rsid w:val="00F00463"/>
    <w:rsid w:val="00F00F83"/>
    <w:rsid w:val="00F0183D"/>
    <w:rsid w:val="00F025BE"/>
    <w:rsid w:val="00F0414A"/>
    <w:rsid w:val="00F049BC"/>
    <w:rsid w:val="00F06B81"/>
    <w:rsid w:val="00F07C59"/>
    <w:rsid w:val="00F10594"/>
    <w:rsid w:val="00F10D9B"/>
    <w:rsid w:val="00F10E95"/>
    <w:rsid w:val="00F11A82"/>
    <w:rsid w:val="00F12051"/>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2F2"/>
    <w:rsid w:val="00F4056F"/>
    <w:rsid w:val="00F40959"/>
    <w:rsid w:val="00F43A4D"/>
    <w:rsid w:val="00F43B8E"/>
    <w:rsid w:val="00F45803"/>
    <w:rsid w:val="00F45EAE"/>
    <w:rsid w:val="00F464E7"/>
    <w:rsid w:val="00F47527"/>
    <w:rsid w:val="00F47DC9"/>
    <w:rsid w:val="00F47E6C"/>
    <w:rsid w:val="00F50F5D"/>
    <w:rsid w:val="00F516A8"/>
    <w:rsid w:val="00F537F3"/>
    <w:rsid w:val="00F539DB"/>
    <w:rsid w:val="00F556E5"/>
    <w:rsid w:val="00F55EC0"/>
    <w:rsid w:val="00F57B62"/>
    <w:rsid w:val="00F57E53"/>
    <w:rsid w:val="00F60D9E"/>
    <w:rsid w:val="00F614BF"/>
    <w:rsid w:val="00F61A12"/>
    <w:rsid w:val="00F62122"/>
    <w:rsid w:val="00F622C2"/>
    <w:rsid w:val="00F62559"/>
    <w:rsid w:val="00F62B34"/>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4E5B"/>
    <w:rsid w:val="00F950C6"/>
    <w:rsid w:val="00F97771"/>
    <w:rsid w:val="00FA43AC"/>
    <w:rsid w:val="00FA4972"/>
    <w:rsid w:val="00FA5457"/>
    <w:rsid w:val="00FA6869"/>
    <w:rsid w:val="00FA6C60"/>
    <w:rsid w:val="00FA6F4B"/>
    <w:rsid w:val="00FB03A2"/>
    <w:rsid w:val="00FB0EA6"/>
    <w:rsid w:val="00FB17DE"/>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09FC"/>
    <w:rsid w:val="00FE15DE"/>
    <w:rsid w:val="00FE349E"/>
    <w:rsid w:val="00FE37E7"/>
    <w:rsid w:val="00FE4EE7"/>
    <w:rsid w:val="00FE600D"/>
    <w:rsid w:val="00FE6479"/>
    <w:rsid w:val="00FE77AA"/>
    <w:rsid w:val="00FF00F4"/>
    <w:rsid w:val="00FF0FE0"/>
    <w:rsid w:val="00FF12F9"/>
    <w:rsid w:val="00FF2B34"/>
    <w:rsid w:val="00FF3BC0"/>
    <w:rsid w:val="00FF4141"/>
    <w:rsid w:val="00FF4591"/>
    <w:rsid w:val="00FF4757"/>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4:docId w14:val="6B0C1E9C"/>
  <w15:chartTrackingRefBased/>
  <w15:docId w15:val="{288D4572-80B5-4A90-BF05-08D1270EE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77499864">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65762822">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1123309">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88875770">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3130797">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083939">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6173820">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36937643">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0827201">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6694714">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35478334">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5966816">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cnil.fr/fr/tests-genetiques-sur-internet-la-cnil-appelle-la-vigilance"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portail.tessadoc.social.gouv.fr/recherche/viewnotice/id/966055" TargetMode="External"/><Relationship Id="rId63" Type="http://schemas.openxmlformats.org/officeDocument/2006/relationships/hyperlink" Target="https://www.legifrance.gouv.fr/jorf/id/JORFTEXT000049328126" TargetMode="External"/><Relationship Id="rId84" Type="http://schemas.openxmlformats.org/officeDocument/2006/relationships/hyperlink" Target="https://peps.sante.gouv.fr/actu/actualites.html" TargetMode="External"/><Relationship Id="rId138" Type="http://schemas.openxmlformats.org/officeDocument/2006/relationships/hyperlink" Target="https://solidarites-sante.gouv.fr/soins-et-maladies/maladies/maladies-infectieuses/monkeypox/article/monkeypox-ressources-et-supports-de-communication" TargetMode="External"/><Relationship Id="rId159" Type="http://schemas.openxmlformats.org/officeDocument/2006/relationships/hyperlink" Target="https://peps.sante.gouv.fr/actu/2024/24_minsante-ccs_2024-03.pdf" TargetMode="External"/><Relationship Id="rId170" Type="http://schemas.openxmlformats.org/officeDocument/2006/relationships/hyperlink" Target="https://ansm.sante.fr/disponibilites-des-produits-de-sante/medicaments/tercian-50-mg-5-ml-solution-injectable-en-ampoule-cyamemazine" TargetMode="External"/><Relationship Id="rId191" Type="http://schemas.openxmlformats.org/officeDocument/2006/relationships/hyperlink" Target="https://ansm.sante.fr/disponibilites-des-produits-de-sante/medicaments/tofranil-10-mg-comprime-enrobe-imipramine" TargetMode="External"/><Relationship Id="rId205" Type="http://schemas.openxmlformats.org/officeDocument/2006/relationships/header" Target="header1.xml"/><Relationship Id="rId107" Type="http://schemas.openxmlformats.org/officeDocument/2006/relationships/hyperlink" Target="https://www.has-sante.fr/jcms/p_3499761/fr/la-has-actualise-la-strategie-de-vaccination-contre-le-zona"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ordre.pharmacien.fr/les-communications/focus-sur/les-actualites/ppl-acces-aux-pharmacies-dans-les-communes-rurales-et-mission-d-information-financiarisation-l-ordre-auditionne" TargetMode="External"/><Relationship Id="rId37" Type="http://schemas.openxmlformats.org/officeDocument/2006/relationships/hyperlink" Target="https://curia.europa.eu/juris/document/document.jsf;jsessionid=6E68B76629F34008529862B083A3CDB7?text=&amp;docid=283281&amp;pageIndex=0&amp;doclang=FR&amp;mode=req&amp;dir=&amp;occ=first&amp;part=1&amp;cid=5460871" TargetMode="External"/><Relationship Id="rId53" Type="http://schemas.openxmlformats.org/officeDocument/2006/relationships/hyperlink" Target="https://portail.tessadoc.social.gouv.fr/recherche/viewnotice/id/966001" TargetMode="External"/><Relationship Id="rId58" Type="http://schemas.openxmlformats.org/officeDocument/2006/relationships/hyperlink" Target="https://www.legifrance.gouv.fr/jorf/id/JORFTEXT000049285388" TargetMode="External"/><Relationship Id="rId74" Type="http://schemas.openxmlformats.org/officeDocument/2006/relationships/hyperlink" Target="https://solidarites-sante.gouv.fr/grands-dossiers/vaccin-covid-19/je-suis-un-particulier/" TargetMode="External"/><Relationship Id="rId79" Type="http://schemas.openxmlformats.org/officeDocument/2006/relationships/hyperlink" Target="https://ansm.sante.fr/informations-de-securite/paxlovid-nirmatrelvir-ritonavir-rappel-des-interactions-medicamenteuses-avec-certains-immunosuppresseurs-notamment-le-tacrolimus-pouvant-etre-fatales" TargetMode="External"/><Relationship Id="rId102" Type="http://schemas.openxmlformats.org/officeDocument/2006/relationships/hyperlink" Target="https://peps.sante.gouv.fr/actu/2024/24_prescrire_double-controle-ordo_mars2024.pdf" TargetMode="External"/><Relationship Id="rId123" Type="http://schemas.openxmlformats.org/officeDocument/2006/relationships/hyperlink" Target="https://www.has-sante.fr/jcms/p_3500091/fr/accelerer-les-cooperations-et-les-partages-de-taches-entre-professionnels-de-sante" TargetMode="External"/><Relationship Id="rId128" Type="http://schemas.openxmlformats.org/officeDocument/2006/relationships/hyperlink" Target="https://www.infectiologie.com/fr/actualites/gazette-de-l-infectiologie-journee-mondiale-de-lutte-contre-la-tuberculose_-n.html" TargetMode="External"/><Relationship Id="rId144" Type="http://schemas.openxmlformats.org/officeDocument/2006/relationships/hyperlink" Target="https://esante.gouv.fr/espace-presse/renforcer-la-cybersecurite-de-nos-etablissements-de-sante" TargetMode="External"/><Relationship Id="rId149" Type="http://schemas.openxmlformats.org/officeDocument/2006/relationships/hyperlink" Target="https://www.santepubliquefrance.fr/maladies-et-traumatismes/maladies-a-prevention-vaccinale/infections-invasives-a-meningocoque/documents/bulletin-national2/infections-invasives-a-meningocoque-en-france-en-2023" TargetMode="External"/><Relationship Id="rId5" Type="http://schemas.openxmlformats.org/officeDocument/2006/relationships/footnotes" Target="footnotes.xml"/><Relationship Id="rId90" Type="http://schemas.openxmlformats.org/officeDocument/2006/relationships/hyperlink" Target="https://www.lequotidiendupharmacien.fr/exercice-pro/etudes-formation-continue/les-federations-etudiantes-lancent-une-grande-consultation" TargetMode="External"/><Relationship Id="rId95" Type="http://schemas.openxmlformats.org/officeDocument/2006/relationships/hyperlink" Target="http://beh.santepubliquefrance.fr/beh/2024/5/index.html" TargetMode="External"/><Relationship Id="rId160" Type="http://schemas.openxmlformats.org/officeDocument/2006/relationships/hyperlink" Target="https://peps.sante.gouv.fr/actu/2024/24_ansm_presentation-comite-suivi-hiver_21032024.pdf" TargetMode="External"/><Relationship Id="rId165" Type="http://schemas.openxmlformats.org/officeDocument/2006/relationships/hyperlink" Target="https://ansm.sante.fr/disponibilites-des-produits-de-sante/medicaments/methotrexate-accord-solution-injectable-methotrexate" TargetMode="External"/><Relationship Id="rId181" Type="http://schemas.openxmlformats.org/officeDocument/2006/relationships/hyperlink" Target="https://ansm.sante.fr/disponibilites-des-produits-de-sante/medicaments/lidocaine-20-mg-ml-adrenaline-0-005-mg-ml-aguettant-solution-injectable-lidocaine-adrenaline" TargetMode="External"/><Relationship Id="rId186" Type="http://schemas.openxmlformats.org/officeDocument/2006/relationships/hyperlink" Target="https://ansm.sante.fr/disponibilites-des-produits-de-sante/medicaments/novorapid-flexpen-100-unites-ml-solution-injectable-en-stylo-prerempli-insuline-asparte" TargetMode="External"/><Relationship Id="rId211" Type="http://schemas.openxmlformats.org/officeDocument/2006/relationships/fontTable" Target="fontTable.xml"/><Relationship Id="rId22" Type="http://schemas.openxmlformats.org/officeDocument/2006/relationships/hyperlink" Target="https://peps.sante.gouv.fr/themes/subst_ven/subst.html" TargetMode="External"/><Relationship Id="rId27" Type="http://schemas.openxmlformats.org/officeDocument/2006/relationships/hyperlink" Target="https://peps.sante.gouv.fr/outils/guide_proced/guide.html" TargetMode="External"/><Relationship Id="rId43" Type="http://schemas.openxmlformats.org/officeDocument/2006/relationships/hyperlink" Target="https://www.legifrance.gouv.fr/jorf/id/JORFTEXT000049232356" TargetMode="External"/><Relationship Id="rId48" Type="http://schemas.openxmlformats.org/officeDocument/2006/relationships/hyperlink" Target="https://www.legifrance.gouv.fr/jorf/id/JORFTEXT000049339324" TargetMode="External"/><Relationship Id="rId64" Type="http://schemas.openxmlformats.org/officeDocument/2006/relationships/hyperlink" Target="https://www.legifrance.gouv.fr/jorf/id/JORFTEXT000049328238" TargetMode="External"/><Relationship Id="rId69" Type="http://schemas.openxmlformats.org/officeDocument/2006/relationships/hyperlink" Target="https://www.lemonde.fr/blog/realitesbiomedicales/2024/03/06/il-se-fait-vacciner-217-fois-contre-la-covid-19-et-ne-developpe-pas-deffets-secondaires/" TargetMode="External"/><Relationship Id="rId113" Type="http://schemas.openxmlformats.org/officeDocument/2006/relationships/hyperlink" Target="https://www.ordre.pharmacien.fr/les-communications/focus-sur/les-actualites/pharmaciens-devenez-les-ambassadeurs-de-vos-metiers" TargetMode="External"/><Relationship Id="rId118" Type="http://schemas.openxmlformats.org/officeDocument/2006/relationships/hyperlink" Target="https://www.economie.gouv.fr/dgccrf/les-autotests-de-fertilite-au-banc-dessai" TargetMode="External"/><Relationship Id="rId134" Type="http://schemas.openxmlformats.org/officeDocument/2006/relationships/hyperlink" Target="https://www.epi-phare.fr/rapports-detudes-et-publications/wegovy-acces-precoce/" TargetMode="External"/><Relationship Id="rId139" Type="http://schemas.openxmlformats.org/officeDocument/2006/relationships/hyperlink" Target="https://sante.gouv.fr/soins-et-maladies/maladies/infections-sexuellement-transmissibles/article/virus-mpox-informations-pour-les-professionnels-de-sante" TargetMode="External"/><Relationship Id="rId80" Type="http://schemas.openxmlformats.org/officeDocument/2006/relationships/hyperlink" Target="https://www.has-sante.fr/jcms/p_3502106/fr/fiche-troubles-cognitifs" TargetMode="External"/><Relationship Id="rId85" Type="http://schemas.openxmlformats.org/officeDocument/2006/relationships/hyperlink" Target="https://www.senat.fr/notice-rapport/2022/r22-936-notice.html" TargetMode="External"/><Relationship Id="rId150" Type="http://schemas.openxmlformats.org/officeDocument/2006/relationships/hyperlink" Target="https://www.academie-medecine.fr/risques-zoonotiques-et-traumatiques-lies-aux-contacts-des-enfants-avec-les-animaux-de-compagnie-non-traditionnels-acnt/" TargetMode="External"/><Relationship Id="rId155" Type="http://schemas.openxmlformats.org/officeDocument/2006/relationships/hyperlink" Target="https://www.assurance-maladie.ameli.fr/sites/default/files/2024-03-28-DP-LCF.pdf" TargetMode="External"/><Relationship Id="rId171" Type="http://schemas.openxmlformats.org/officeDocument/2006/relationships/hyperlink" Target="https://ansm.sante.fr/disponibilites-des-produits-de-sante/medicaments/requip-5-mg-comprime-pellicule-ropinirole-chlorhydrate-de" TargetMode="External"/><Relationship Id="rId176" Type="http://schemas.openxmlformats.org/officeDocument/2006/relationships/hyperlink" Target="https://ansm.sante.fr/disponibilites-des-produits-de-sante/medicaments/creon-5-000-u-granules-gastro-resistants-pancreatine" TargetMode="External"/><Relationship Id="rId192" Type="http://schemas.openxmlformats.org/officeDocument/2006/relationships/hyperlink" Target="https://ansm.sante.fr/disponibilites-des-produits-de-sante/medicaments/creon-35-000-u-gelule-gastroresistante-pancreatine" TargetMode="External"/><Relationship Id="rId197" Type="http://schemas.openxmlformats.org/officeDocument/2006/relationships/hyperlink" Target="https://ansm.sante.fr/disponibilites-des-produits-de-sante/medicaments/furadantine-50-mg-gelule-nitrofurantoine" TargetMode="External"/><Relationship Id="rId206" Type="http://schemas.openxmlformats.org/officeDocument/2006/relationships/header" Target="header2.xml"/><Relationship Id="rId201" Type="http://schemas.openxmlformats.org/officeDocument/2006/relationships/hyperlink" Target="https://ansm.sante.fr/disponibilites-des-produits-de-sante/medicaments/rifater-comprime-enrobe-isoniazide-pyrazinamid-rifampicine" TargetMode="External"/><Relationship Id="rId12" Type="http://schemas.openxmlformats.org/officeDocument/2006/relationships/hyperlink" Target="https://peps.sante.gouv.fr/themes/subst_ven/subst.html" TargetMode="External"/><Relationship Id="rId17" Type="http://schemas.openxmlformats.org/officeDocument/2006/relationships/hyperlink" Target="https://peps.sante.gouv.fr/themes/subst_ven/subst.html" TargetMode="External"/><Relationship Id="rId33" Type="http://schemas.openxmlformats.org/officeDocument/2006/relationships/hyperlink" Target="https://www.lequotidiendupharmacien.fr/exercice-pro/installation-en-zones-rurales-la-loi-qui-risque-de-destabiliser-le-reseau" TargetMode="External"/><Relationship Id="rId38" Type="http://schemas.openxmlformats.org/officeDocument/2006/relationships/hyperlink" Target="https://curia.europa.eu/jcms/jcms/p1_4317907/fr/" TargetMode="External"/><Relationship Id="rId59" Type="http://schemas.openxmlformats.org/officeDocument/2006/relationships/hyperlink" Target="https://www.legifrance.gouv.fr/jorf/id/JORFTEXT000049285757" TargetMode="External"/><Relationship Id="rId103" Type="http://schemas.openxmlformats.org/officeDocument/2006/relationships/hyperlink" Target="https://www.lequotidiendupharmacien.fr/exercice-pro/risques-lies-la-pseudoephedrine-les-pharmaciens-informent-ils-suffisamment-bien-leurs-patients" TargetMode="External"/><Relationship Id="rId108" Type="http://schemas.openxmlformats.org/officeDocument/2006/relationships/hyperlink" Target="https://www.has-sante.fr/jcms/p_3498915/fr/recommandations-vaccinales-contre-le-zona-place-du-vaccin-shingrix" TargetMode="External"/><Relationship Id="rId124" Type="http://schemas.openxmlformats.org/officeDocument/2006/relationships/hyperlink" Target="https://www.gouvernement.fr/actualite/25-recommandations-pour-lia-en-france" TargetMode="External"/><Relationship Id="rId129" Type="http://schemas.openxmlformats.org/officeDocument/2006/relationships/hyperlink" Target="https://www.ordre.pharmacien.fr/les-communications/focus-sur/les-actualites/espaces-de-teleconsultation-ou-de-telesoin-les-recommandations-de-la-has" TargetMode="External"/><Relationship Id="rId54" Type="http://schemas.openxmlformats.org/officeDocument/2006/relationships/hyperlink" Target="https://www.legifrance.gouv.fr/jorf/id/JORFTEXT000049268085" TargetMode="External"/><Relationship Id="rId70" Type="http://schemas.openxmlformats.org/officeDocument/2006/relationships/hyperlink" Target="https://drees.solidarites-sante.gouv.fr/publications-communique-de-presse/etudes-et-resultats/nombre-de-lits-en-reanimation-leffort" TargetMode="External"/><Relationship Id="rId75" Type="http://schemas.openxmlformats.org/officeDocument/2006/relationships/hyperlink" Target="https://www.santepubliquefrance.fr/media/files/01-maladies-et-traumatismes/maladies-et-infections-respiratoires/infection-a-coronavirus/analyse-de-risque-liee-aux-variants-emergents-de-sars-cov-2-11-03-24" TargetMode="External"/><Relationship Id="rId91" Type="http://schemas.openxmlformats.org/officeDocument/2006/relationships/hyperlink" Target="https://www.ordre.pharmacien.fr/les-communications/focus-sur/les-actualites/prescription-electronique-ou-en-est-l-ordonnance-numerique" TargetMode="External"/><Relationship Id="rId96" Type="http://schemas.openxmlformats.org/officeDocument/2006/relationships/hyperlink" Target="https://www.lemoniteurdespharmacies.fr/actu/actualites/actus-medicaments/papillomavirus-moins-de-15-percent-d-eleves-vaccines.html" TargetMode="External"/><Relationship Id="rId140" Type="http://schemas.openxmlformats.org/officeDocument/2006/relationships/hyperlink" Target="https://solidarites-sante.gouv.fr/soins-et-maladies/maladies/maladies-infectieuses/monkeypox/article/monkeypox-variole-du-singe-questions-reponses" TargetMode="External"/><Relationship Id="rId145" Type="http://schemas.openxmlformats.org/officeDocument/2006/relationships/hyperlink" Target="https://www.assurance-maladie.ameli.fr/presse/2024-03-26-cp-depenses-fin-fevrier-2024" TargetMode="External"/><Relationship Id="rId161" Type="http://schemas.openxmlformats.org/officeDocument/2006/relationships/hyperlink" Target="https://ansm.sante.fr/dossiers-thematiques/plan-hivernal" TargetMode="External"/><Relationship Id="rId166" Type="http://schemas.openxmlformats.org/officeDocument/2006/relationships/hyperlink" Target="https://ansm.sante.fr/disponibilites-des-produits-de-sante/medicaments/lamotrigine-5-mg-25-mg-50-mg-100-mg-et-200-mg-comprime-dispersible-ou-a-croquer-lamotrigine" TargetMode="External"/><Relationship Id="rId182" Type="http://schemas.openxmlformats.org/officeDocument/2006/relationships/hyperlink" Target="https://ansm.sante.fr/disponibilites-des-produits-de-sante/medicaments/adrenaline-aguettant-1-mg-ml-sans-sulfite-solution-injectable-en-seringue-pre-remplie-adrenaline" TargetMode="External"/><Relationship Id="rId187" Type="http://schemas.openxmlformats.org/officeDocument/2006/relationships/hyperlink" Target="https://ansm.sante.fr/disponibilites-des-produits-de-sante/medicaments/xylocaine-20-mg-ml-adrenaline-0-005-mg-ml-solution-injectable-lidocaine-adrenaline" TargetMode="Externa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theme" Target="theme/theme1.xml"/><Relationship Id="rId23" Type="http://schemas.openxmlformats.org/officeDocument/2006/relationships/hyperlink" Target="https://peps.sante.gouv.fr/themes/tatouage/tatouage.html" TargetMode="External"/><Relationship Id="rId28" Type="http://schemas.openxmlformats.org/officeDocument/2006/relationships/hyperlink" Target="https://peps.sante.gouv.fr/textes_projets/projets.html" TargetMode="External"/><Relationship Id="rId49" Type="http://schemas.openxmlformats.org/officeDocument/2006/relationships/hyperlink" Target="https://www.legifrance.gouv.fr/jorf/id/JORFTEXT000049232339" TargetMode="External"/><Relationship Id="rId114" Type="http://schemas.openxmlformats.org/officeDocument/2006/relationships/hyperlink" Target="https://www.ordre.pharmacien.fr/les-communications/focus-sur/les-actualites/lutte-contre-les-derives-sectaires-lancement-d-une-campagne-nationale-de-prevention" TargetMode="External"/><Relationship Id="rId119" Type="http://schemas.openxmlformats.org/officeDocument/2006/relationships/hyperlink" Target="https://ansm.sante.fr/actualites/enceinte-les-medicaments-cest-toujours-pas-nimporte-comment" TargetMode="External"/><Relationship Id="rId44" Type="http://schemas.openxmlformats.org/officeDocument/2006/relationships/hyperlink" Target="https://www.legifrance.gouv.fr/jorf/id/JORFTEXT000049232368" TargetMode="External"/><Relationship Id="rId60" Type="http://schemas.openxmlformats.org/officeDocument/2006/relationships/hyperlink" Target="https://www.legifrance.gouv.fr/jorf/id/JORFTEXT000049304036" TargetMode="External"/><Relationship Id="rId65" Type="http://schemas.openxmlformats.org/officeDocument/2006/relationships/hyperlink" Target="https://www.legifrance.gouv.fr/jorf/id/JORFTEXT000049330830" TargetMode="External"/><Relationship Id="rId81" Type="http://schemas.openxmlformats.org/officeDocument/2006/relationships/hyperlink" Target="https://www.ameli.fr/assure/actualites/vaccin-covid-19-rappel-de-printemps-partir-du-15-avril" TargetMode="External"/><Relationship Id="rId86" Type="http://schemas.openxmlformats.org/officeDocument/2006/relationships/hyperlink" Target="https://sante.gouv.fr/soins-et-maladies/autres-produits-de-sante/article/questions-reponses-sur-la-reforme-des-produits-de-contraste" TargetMode="External"/><Relationship Id="rId130" Type="http://schemas.openxmlformats.org/officeDocument/2006/relationships/hyperlink" Target="https://www.autoritedelaconcurrence.fr/fr/communiques-de-presse/le-rapporteur-general-de-lautorite-de-la-concurrence-indique-quune-2" TargetMode="External"/><Relationship Id="rId135" Type="http://schemas.openxmlformats.org/officeDocument/2006/relationships/hyperlink" Target="https://www.lequotidiendupharmacien.fr/exercice-pro/politique-de-sante/les-syndicats-veulent-plus-de-moyens-pour-lutter-contre-la-fraude" TargetMode="External"/><Relationship Id="rId151" Type="http://schemas.openxmlformats.org/officeDocument/2006/relationships/hyperlink" Target="https://ansm.sante.fr/actualites/progestatifs-et-risque-de-meningiomes-intracraniens-le-bmj-publie-une-etude-epidemiologique-francaise" TargetMode="External"/><Relationship Id="rId156" Type="http://schemas.openxmlformats.org/officeDocument/2006/relationships/hyperlink" Target="https://www.ameli.fr/pharmacien/actualites/lutte-contre-les-fraudes-l-assurance-maladie-en-2023-des-resultats-records" TargetMode="External"/><Relationship Id="rId177" Type="http://schemas.openxmlformats.org/officeDocument/2006/relationships/hyperlink" Target="https://ansm.sante.fr/disponibilites-des-produits-de-sante/medicaments/ipratropium-teva-0-5-mg-2-ml-adultes-solution-pour-inhalation-par-nebuliseur-en-recipient-unidose-ipratropium-bromure-d" TargetMode="External"/><Relationship Id="rId198" Type="http://schemas.openxmlformats.org/officeDocument/2006/relationships/hyperlink" Target="https://ansm.sante.fr/disponibilites-des-produits-de-sante/medicaments/rifadine-2-suspension-buvable-rifampicine" TargetMode="External"/><Relationship Id="rId172" Type="http://schemas.openxmlformats.org/officeDocument/2006/relationships/hyperlink" Target="https://ansm.sante.fr/disponibilites-des-produits-de-sante/medicaments/zithromax-40-mg-ml-enfants-poudre-pour-suspension-buvable-azithromycine-dihydratee" TargetMode="External"/><Relationship Id="rId193" Type="http://schemas.openxmlformats.org/officeDocument/2006/relationships/hyperlink" Target="https://ansm.sante.fr/disponibilites-des-produits-de-sante/medicaments/humalog-100-ui-ml-solution-injectable-en-flacon-insuline-lispro" TargetMode="External"/><Relationship Id="rId202" Type="http://schemas.openxmlformats.org/officeDocument/2006/relationships/hyperlink" Target="https://www.lequotidiendupharmacien.fr/medicament-parapharmacie/medicament/quand-la-rifampicine-vient-manquer" TargetMode="External"/><Relationship Id="rId207" Type="http://schemas.openxmlformats.org/officeDocument/2006/relationships/footer" Target="footer1.xml"/><Relationship Id="rId13" Type="http://schemas.openxmlformats.org/officeDocument/2006/relationships/hyperlink" Target="https://peps.sante.gouv.fr/themes/subst_ven/subst.html" TargetMode="External"/><Relationship Id="rId18" Type="http://schemas.openxmlformats.org/officeDocument/2006/relationships/hyperlink" Target="https://peps.sante.gouv.fr/themes/subst_ven/subst.html" TargetMode="External"/><Relationship Id="rId39" Type="http://schemas.openxmlformats.org/officeDocument/2006/relationships/hyperlink" Target="https://www.lequotidiendupharmacien.fr/exercice-pro/la-france-peut-interdire-la-vente-dotc-par-des-plateformes" TargetMode="External"/><Relationship Id="rId109" Type="http://schemas.openxmlformats.org/officeDocument/2006/relationships/hyperlink" Target="https://www.epi-phare.fr/rapports-detudes-et-publications/persistance-securite-biosimilaire/" TargetMode="External"/><Relationship Id="rId34" Type="http://schemas.openxmlformats.org/officeDocument/2006/relationships/hyperlink" Target="https://peps.sante.gouv.fr/outils/docu/texto.xlsm" TargetMode="External"/><Relationship Id="rId50" Type="http://schemas.openxmlformats.org/officeDocument/2006/relationships/hyperlink" Target="https://www.legifrance.gouv.fr/jorf/id/JORFTEXT000049241899" TargetMode="External"/><Relationship Id="rId55" Type="http://schemas.openxmlformats.org/officeDocument/2006/relationships/hyperlink" Target="https://www.legifrance.gouv.fr/jorf/id/JORFTEXT000049268178" TargetMode="External"/><Relationship Id="rId76" Type="http://schemas.openxmlformats.org/officeDocument/2006/relationships/hyperlink" Target="https://www.ameli.fr/pharmacien/actualites/une-etude-inedite-sur-l-etat-de-sante-des-francais-avant-le-covid-19-et-son-evolution-depuis-1990" TargetMode="External"/><Relationship Id="rId97" Type="http://schemas.openxmlformats.org/officeDocument/2006/relationships/hyperlink" Target="https://www.has-sante.fr/jcms/p_3499399/fr/lieux-d-implantation-des-cabines-de-teleconsultation-et-de-telesoin-assurer-l-acces-a-des-soins-de-qualite" TargetMode="External"/><Relationship Id="rId104" Type="http://schemas.openxmlformats.org/officeDocument/2006/relationships/hyperlink" Target="https://www.lequotidiendupharmacien.fr/exercice-pro/assurance-maladie-20-000-euros-par-pour-les-pharmacies-en-territoires-fragiles" TargetMode="External"/><Relationship Id="rId120" Type="http://schemas.openxmlformats.org/officeDocument/2006/relationships/hyperlink" Target="https://ansm.sante.fr/page/enceinte-les-medicaments-cest-pas-nimporte-comment" TargetMode="External"/><Relationship Id="rId125" Type="http://schemas.openxmlformats.org/officeDocument/2006/relationships/hyperlink" Target="https://www.gouvernement.fr/upload/media/content/0001/09/4d3cc456dd2f5b9d79ee75feea63b47f10d75158.pdf" TargetMode="External"/><Relationship Id="rId141" Type="http://schemas.openxmlformats.org/officeDocument/2006/relationships/hyperlink" Target="https://www.ordre.pharmacien.fr/les-communications/focus-sur/les-actualites/consommation-d-antibiotiques-des-actions-pour-reduire-l-antibioresistance" TargetMode="External"/><Relationship Id="rId146" Type="http://schemas.openxmlformats.org/officeDocument/2006/relationships/hyperlink" Target="https://www.lequotidiendupharmacien.fr/exercice-pro/un-complement-alimentaire-lorigine-dun-deces-et-plusieurs-dizaines-dhospitalisations" TargetMode="External"/><Relationship Id="rId167" Type="http://schemas.openxmlformats.org/officeDocument/2006/relationships/hyperlink" Target="https://ansm.sante.fr/disponibilites-des-produits-de-sante/vaccins/ixiaro-suspension-injectable-vaccin-de-lencephalite-japonaise-inactive-adsorbe-virus-de-lencephalite-japonaise-inactive-souche-sa-14-14-2" TargetMode="External"/><Relationship Id="rId188" Type="http://schemas.openxmlformats.org/officeDocument/2006/relationships/hyperlink" Target="https://ansm.sante.fr/disponibilites-des-produits-de-sante/vaccins/hbvaxpro-10-microgrammes-suspension-injectable-en-seringue-preremplie-vaccin-de-lhepatite-b-adnr-antigene-de-surface-de-lhepatite-b-recombinant" TargetMode="External"/><Relationship Id="rId7" Type="http://schemas.openxmlformats.org/officeDocument/2006/relationships/image" Target="media/image1.jpeg"/><Relationship Id="rId71" Type="http://schemas.openxmlformats.org/officeDocument/2006/relationships/hyperlink" Target="https://ansm.sante.fr/actualites/retour-dinformation-sur-le-prac-de-mars-2024-4-7-mars" TargetMode="External"/><Relationship Id="rId92" Type="http://schemas.openxmlformats.org/officeDocument/2006/relationships/hyperlink" Target="https://www.meddispar.fr/Actualites/2024/Mise-en-oeuvre-de-la-prescription-electronique-Quel-impact-pour-les-medicaments-stupefiants-et-assimiles" TargetMode="External"/><Relationship Id="rId162" Type="http://schemas.openxmlformats.org/officeDocument/2006/relationships/hyperlink" Target="https://ansm.sante.fr/disponibilites-des-produits-de-sante/medicaments/menopur-75-ui-et-600-ui-ml-poudre-et-solvant-pour-solution-injectable-menotropine" TargetMode="External"/><Relationship Id="rId183" Type="http://schemas.openxmlformats.org/officeDocument/2006/relationships/hyperlink" Target="https://ansm.sante.fr/disponibilites-des-produits-de-sante/medicaments/immunoglobuline-humaine-normale-iv-et-sc-a-base-de-immunoglobuline-humaine-normale-igg" TargetMode="External"/><Relationship Id="rId2" Type="http://schemas.openxmlformats.org/officeDocument/2006/relationships/styles" Target="styles.xml"/><Relationship Id="rId29" Type="http://schemas.openxmlformats.org/officeDocument/2006/relationships/hyperlink" Target="https://www.legifrance.gouv.fr/dossierlegislatif/JORFDOLE000049284719/" TargetMode="External"/><Relationship Id="rId24" Type="http://schemas.openxmlformats.org/officeDocument/2006/relationships/hyperlink" Target="http://peps.intranet.sante.gouv.fr/themes/subst_ven/subst.html" TargetMode="External"/><Relationship Id="rId40" Type="http://schemas.openxmlformats.org/officeDocument/2006/relationships/hyperlink" Target="https://rese.intranet.sante.gouv.fr/santenv/exceptio/reg/cir16224.pdf" TargetMode="External"/><Relationship Id="rId45" Type="http://schemas.openxmlformats.org/officeDocument/2006/relationships/hyperlink" Target="https://www.legifrance.gouv.fr/jorf/id/JORFTEXT000049232402" TargetMode="External"/><Relationship Id="rId66" Type="http://schemas.openxmlformats.org/officeDocument/2006/relationships/hyperlink" Target="http://peps.intranet.sante.gouv.fr/actu/actualites.html" TargetMode="External"/><Relationship Id="rId87" Type="http://schemas.openxmlformats.org/officeDocument/2006/relationships/hyperlink" Target="https://www.has-sante.fr/jcms/p_3114053/fr/contribuer-a-l-evaluation-des-medicaments-en-vue-de-leur-remboursement-ou-d-une-autorisation-d-acces-precoce" TargetMode="External"/><Relationship Id="rId110" Type="http://schemas.openxmlformats.org/officeDocument/2006/relationships/hyperlink" Target="https://www.lemoniteurdespharmacies.fr/actu/actualites/actus-medicaments/biotherapies-la-levee-de-la-prescription-initiale-hospitaliere-est-elle-un-moyen-de-lutte-contre-la-desertification-medicale.html" TargetMode="External"/><Relationship Id="rId115" Type="http://schemas.openxmlformats.org/officeDocument/2006/relationships/hyperlink" Target="https://sante.gouv.fr/actualites/presse/communiques-de-presse/article/forfait-innovation-une-1ere-technologie-de-sante-inscrite-au-remboursement-par" TargetMode="External"/><Relationship Id="rId131" Type="http://schemas.openxmlformats.org/officeDocument/2006/relationships/hyperlink" Target="https://www.elysee.fr/emmanuel-macron/2024/03/12/rencontre-des-cadres-dirigeants-de-letat" TargetMode="External"/><Relationship Id="rId136" Type="http://schemas.openxmlformats.org/officeDocument/2006/relationships/hyperlink" Target="https://peps.sante.gouv.fr/actu/2024/24_cch_logigramme-fourniture-pdts-contraste_20240320.jpg" TargetMode="External"/><Relationship Id="rId157" Type="http://schemas.openxmlformats.org/officeDocument/2006/relationships/hyperlink" Target="https://6s406.r.sp1-brevo.net/mk/mr/sh/SMJz09SDriOHTBx9CCqsBNIIyAmh/EQAY_EHr3WcX" TargetMode="External"/><Relationship Id="rId178" Type="http://schemas.openxmlformats.org/officeDocument/2006/relationships/hyperlink" Target="https://ansm.sante.fr/disponibilites-des-produits-de-sante/medicaments/corvasal-2-mg-et-4-mg-comprime-molsidomine-2-mg-et-4-mg-comprime-molsidomine" TargetMode="External"/><Relationship Id="rId61" Type="http://schemas.openxmlformats.org/officeDocument/2006/relationships/hyperlink" Target="https://www.legifrance.gouv.fr/jorf/id/JORFTEXT000049314991" TargetMode="External"/><Relationship Id="rId82" Type="http://schemas.openxmlformats.org/officeDocument/2006/relationships/hyperlink" Target="https://www.santepubliquefrance.fr/maladies-et-traumatismes/maladies-et-infections-respiratoires/grippe/documents/bulletin-national/infections-respiratoires-aigues-grippe-bronchiolite-covid-19-.-bulletin-du-27-mars-2024" TargetMode="External"/><Relationship Id="rId152" Type="http://schemas.openxmlformats.org/officeDocument/2006/relationships/hyperlink" Target="https://www.santepubliquefrance.fr/maladies-et-traumatismes/maladies-et-infections-respiratoires/grippe/documents/bulletin-national/infections-respiratoires-aigues-grippe-bronchiolite-covid-19-.-bulletin-du-27-mars-2024" TargetMode="External"/><Relationship Id="rId173" Type="http://schemas.openxmlformats.org/officeDocument/2006/relationships/hyperlink" Target="https://ansm.sante.fr/disponibilites-des-produits-de-sante/medicaments/micropakine-l-p-granules-a-liberation-prolongee-en-sachet-dose-acide-valproique-sodium-valproate-de" TargetMode="External"/><Relationship Id="rId194" Type="http://schemas.openxmlformats.org/officeDocument/2006/relationships/hyperlink" Target="https://ansm.sante.fr/disponibilites-des-produits-de-sante/medicaments/gastrografine-370-mg-diode-ml-solution-buvable-ou-rectale-amidotrizoate-de-sodium-meglumine-amidotrizoate-de" TargetMode="External"/><Relationship Id="rId199" Type="http://schemas.openxmlformats.org/officeDocument/2006/relationships/hyperlink" Target="https://ansm.sante.fr/disponibilites-des-produits-de-sante/medicaments/rifadine-300-mg-gelule-rifadine-iv-600-mg-poudre-et-solvant-pour-solution-pour-perfusion-rifampicine" TargetMode="External"/><Relationship Id="rId203" Type="http://schemas.openxmlformats.org/officeDocument/2006/relationships/hyperlink" Target="https://ansm.sante.fr/disponibilites-des-produits-de-sante/medicaments/largactil-25-mg-comprime-pellicule-chlorpromazine" TargetMode="External"/><Relationship Id="rId208" Type="http://schemas.openxmlformats.org/officeDocument/2006/relationships/footer" Target="footer2.xml"/><Relationship Id="rId19" Type="http://schemas.openxmlformats.org/officeDocument/2006/relationships/hyperlink" Target="https://peps.sante.gouv.fr/themes/subst_ven/subst.html" TargetMode="External"/><Relationship Id="rId14" Type="http://schemas.openxmlformats.org/officeDocument/2006/relationships/hyperlink" Target="https://peps.sante.gouv.fr/themes/subst_ven/subst.html" TargetMode="External"/><Relationship Id="rId30" Type="http://schemas.openxmlformats.org/officeDocument/2006/relationships/hyperlink" Target="https://www.lequotidiendupharmacien.fr/exercice-pro/violences-contre-les-professionnels-de-sante-des-sanctions-renforcees" TargetMode="External"/><Relationship Id="rId35" Type="http://schemas.openxmlformats.org/officeDocument/2006/relationships/hyperlink" Target="https://www.service-public.fr/particuliers/actualites/A17179" TargetMode="External"/><Relationship Id="rId56" Type="http://schemas.openxmlformats.org/officeDocument/2006/relationships/hyperlink" Target="https://www.legifrance.gouv.fr/jorf/id/JORFTEXT000049273504" TargetMode="External"/><Relationship Id="rId77" Type="http://schemas.openxmlformats.org/officeDocument/2006/relationships/hyperlink" Target="https://presse.inserm.fr/une-etude-sur-letat-de-sante-des-francais-avant-la-pandemie-de-covid-19-pour-aider-les-decideurs-a-reduire-le-fardeau-des-maladies/68222/" TargetMode="External"/><Relationship Id="rId100" Type="http://schemas.openxmlformats.org/officeDocument/2006/relationships/hyperlink" Target="https://www.ordre.pharmacien.fr/les-communications/focus-sur/les-actualites/depistage-du-cancer-colorectal-a-partir-de-50-ans-c-est-tous-les-2-ans" TargetMode="External"/><Relationship Id="rId105" Type="http://schemas.openxmlformats.org/officeDocument/2006/relationships/hyperlink" Target="https://www.lequotidiendupharmacien.fr/medicament-parapharmacie/depistage-de-lendometriose-le-test-salivaire-devrait-etre-rembourse-en-2025" TargetMode="External"/><Relationship Id="rId126" Type="http://schemas.openxmlformats.org/officeDocument/2006/relationships/hyperlink" Target="https://www.santepubliquefrance.fr/maladies-et-traumatismes/infections-associees-aux-soins-et-resistance-aux-antibiotiques/resistance-aux-antibiotiques/documents/enquetes-etudes/surveillance-de-la-resistance-bacterienne-aux-antibiotiques-en-soins-de-ville-et-en-etablissements-d-hebergement-pour-personnes-agees-dependantes2" TargetMode="External"/><Relationship Id="rId147" Type="http://schemas.openxmlformats.org/officeDocument/2006/relationships/hyperlink" Target="https://www.has-sante.fr/jcms/p_3502914/fr/infections-invasives-a-meningocoques-des-recommandations-vaccinales-actualisees" TargetMode="External"/><Relationship Id="rId168" Type="http://schemas.openxmlformats.org/officeDocument/2006/relationships/hyperlink" Target="https://ansm.sante.fr/disponibilites-des-produits-de-sante/medicaments/zinnat-125-mg-5-ml-enfants-et-nourrissons-granules-pour-suspension-buvable-en-flacon-de-de-80-ml-cefuroxime-axetil" TargetMode="External"/><Relationship Id="rId8" Type="http://schemas.openxmlformats.org/officeDocument/2006/relationships/image" Target="media/image2.png"/><Relationship Id="rId51" Type="http://schemas.openxmlformats.org/officeDocument/2006/relationships/hyperlink" Target="https://www.legifrance.gouv.fr/jorf/id/JORFTEXT000049253259" TargetMode="External"/><Relationship Id="rId72" Type="http://schemas.openxmlformats.org/officeDocument/2006/relationships/hyperlink" Target="https://www.ordre.pharmacien.fr/les-communications/focus-sur/les-actualites/crise-sanitaire-sanction-disciplinaire-pour-l-expression-publique-reiteree-mettant-en-cause-la-vaccination-contre-la-covid-19-et-promouvant-des-t" TargetMode="External"/><Relationship Id="rId93" Type="http://schemas.openxmlformats.org/officeDocument/2006/relationships/hyperlink" Target="https://sante.gouv.fr/actualites/presse/communiques-de-presse/article/vers-un-4eme-plan-national-maladies-rares-pnmr4-catherine-vautrin-sylvie" TargetMode="External"/><Relationship Id="rId98" Type="http://schemas.openxmlformats.org/officeDocument/2006/relationships/hyperlink" Target="https://www.ameli.fr/assure/actualites/depistage-organise-du-cancer-colorectal-un-test-simple-et-rapide-qui-sauve-des-vies" TargetMode="External"/><Relationship Id="rId121" Type="http://schemas.openxmlformats.org/officeDocument/2006/relationships/hyperlink" Target="https://www.ameli.fr/laboratoire-danalyses-medicales/actualites/soins-ecoresponsables-un-questionnaire-pour-promouvoir-les-bonnes-pratiques" TargetMode="External"/><Relationship Id="rId142" Type="http://schemas.openxmlformats.org/officeDocument/2006/relationships/hyperlink" Target="https://www.ordre.pharmacien.fr/les-communications/focus-sur/les-actualites/intelligence-artificielle-le-projet-de-reglement-europeen-adopte" TargetMode="External"/><Relationship Id="rId163" Type="http://schemas.openxmlformats.org/officeDocument/2006/relationships/hyperlink" Target="https://ansm.sante.fr/disponibilites-des-produits-de-sante/medicaments/zyvoxid-100-mg-5-ml-granules-pour-suspension-buvable-linezolide" TargetMode="External"/><Relationship Id="rId184" Type="http://schemas.openxmlformats.org/officeDocument/2006/relationships/hyperlink" Target="https://ansm.sante.fr/disponibilites-des-produits-de-sante/medicaments/dalacine-75-mg-gelule-clindamycine-chlorhydrate-de-hydrate" TargetMode="External"/><Relationship Id="rId189" Type="http://schemas.openxmlformats.org/officeDocument/2006/relationships/hyperlink" Target="https://ansm.sante.fr/disponibilites-des-produits-de-sante/medicaments/oracilline-250-000-ui-5-ml-suspension-buvable-phenoxymethylpenicilline" TargetMode="External"/><Relationship Id="rId3" Type="http://schemas.openxmlformats.org/officeDocument/2006/relationships/settings" Target="settings.xml"/><Relationship Id="rId25" Type="http://schemas.openxmlformats.org/officeDocument/2006/relationships/hyperlink" Target="https://peps.sante.gouv.fr/themes/internet/internet.html" TargetMode="External"/><Relationship Id="rId46" Type="http://schemas.openxmlformats.org/officeDocument/2006/relationships/hyperlink" Target="https://www.legifrance.gouv.fr/jorf/id/JORFTEXT000049232432" TargetMode="External"/><Relationship Id="rId67" Type="http://schemas.openxmlformats.org/officeDocument/2006/relationships/hyperlink" Target="https://peps.sante.gouv.fr/actu/ncov/actus_2019-ncov.html" TargetMode="External"/><Relationship Id="rId116" Type="http://schemas.openxmlformats.org/officeDocument/2006/relationships/hyperlink" Target="https://www.legifrance.gouv.fr/jorf/id/JORFTEXT000049144839" TargetMode="External"/><Relationship Id="rId137" Type="http://schemas.openxmlformats.org/officeDocument/2006/relationships/hyperlink" Target="https://sante.gouv.fr/actualites/presse/communiques-de-presse/article/le-solde-des-comptes-de-la-securite-sociale-en-2023-s-etablit-a-10-8-milliards" TargetMode="External"/><Relationship Id="rId158" Type="http://schemas.openxmlformats.org/officeDocument/2006/relationships/hyperlink" Target="https://www.demarchequaliteofficine.fr/outils/m.23-mise-en-place-de-la-vaccination"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rese.intranet.sante.gouv.fr/santenv/exceptio/reg/anx16224.pdf" TargetMode="External"/><Relationship Id="rId62" Type="http://schemas.openxmlformats.org/officeDocument/2006/relationships/hyperlink" Target="https://www.lemoniteurdespharmacies.fr/actu/actualites/actus-medicaments/certification-un-decret-necessaire-mais-insuffisant.html" TargetMode="External"/><Relationship Id="rId83" Type="http://schemas.openxmlformats.org/officeDocument/2006/relationships/hyperlink" Target="http://peps.intranet.sante.gouv.fr/actu/actualites.html" TargetMode="External"/><Relationship Id="rId88" Type="http://schemas.openxmlformats.org/officeDocument/2006/relationships/hyperlink" Target="https://uspo.fr/deregulation-de-la-pharmacie-absence-de-reforme-economique-penuries-de-medicaments/" TargetMode="External"/><Relationship Id="rId111" Type="http://schemas.openxmlformats.org/officeDocument/2006/relationships/hyperlink" Target="https://www.lemoniteurdespharmacies.fr/actu/actualites/actus-socio-professionnelles/trod-angine-et-cystite-l-incomprehension-des-organismes-de-formation.html" TargetMode="External"/><Relationship Id="rId132" Type="http://schemas.openxmlformats.org/officeDocument/2006/relationships/hyperlink" Target="https://beh.santepubliquefrance.fr/beh/2024/6-7/index.html" TargetMode="External"/><Relationship Id="rId153" Type="http://schemas.openxmlformats.org/officeDocument/2006/relationships/hyperlink" Target="https://www.santepubliquefrance.fr/maladies-et-traumatismes/maladies-infectieuses-d-origine-alimentaire/gastro-enterites-aigues/documents/bulletin-national/gastro-enterites-aigues.-bulletin-du-26-mars-2024" TargetMode="External"/><Relationship Id="rId174" Type="http://schemas.openxmlformats.org/officeDocument/2006/relationships/hyperlink" Target="https://ansm.sante.fr/disponibilites-des-produits-de-sante/medicaments/ofloxacine-biogaran-1-5-mg-0-5-ml-solution-pour-instillation-auriculaire-en-recipient-unidose-ofloxacine" TargetMode="External"/><Relationship Id="rId179" Type="http://schemas.openxmlformats.org/officeDocument/2006/relationships/hyperlink" Target="https://ansm.sante.fr/disponibilites-des-produits-de-sante/medicaments/rifamycine-chibret-1000-000-ui-pour-cent-collyre-en-solution-rifamycine-sodique" TargetMode="External"/><Relationship Id="rId195" Type="http://schemas.openxmlformats.org/officeDocument/2006/relationships/hyperlink" Target="https://ansm.sante.fr/disponibilites-des-produits-de-sante/medicaments/glucose-30-lavoisier-solution-pour-perfusion-en-flacon-glucose-monohydrate" TargetMode="External"/><Relationship Id="rId209" Type="http://schemas.openxmlformats.org/officeDocument/2006/relationships/header" Target="header3.xml"/><Relationship Id="rId190" Type="http://schemas.openxmlformats.org/officeDocument/2006/relationships/hyperlink" Target="https://ansm.sante.fr/disponibilites-des-produits-de-sante/medicaments/desferal-500-mg-poudre-et-solvant-pour-solution-injectable-deferoxamine-mesilate-de" TargetMode="External"/><Relationship Id="rId204" Type="http://schemas.openxmlformats.org/officeDocument/2006/relationships/hyperlink" Target="https://ansm.sante.fr/disponibilites-des-produits-de-sante/medicaments/largactil-100-mg-comprime-pellicule-secable-chlorpromazine" TargetMode="External"/><Relationship Id="rId15" Type="http://schemas.openxmlformats.org/officeDocument/2006/relationships/hyperlink" Target="https://peps.sante.gouv.fr/themes/subst_ven/subst.html" TargetMode="External"/><Relationship Id="rId36" Type="http://schemas.openxmlformats.org/officeDocument/2006/relationships/hyperlink" Target="https://www.legifrance.gouv.fr/jorf/id/JORFTEXT000049219351" TargetMode="External"/><Relationship Id="rId57" Type="http://schemas.openxmlformats.org/officeDocument/2006/relationships/hyperlink" Target="https://www.legifrance.gouv.fr/jorf/id/JORFTEXT000049273523" TargetMode="External"/><Relationship Id="rId106" Type="http://schemas.openxmlformats.org/officeDocument/2006/relationships/hyperlink" Target="https://ansm.sante.fr/actualites/rappel-de-deux-lots-de-la-specialite-bcg-medac-en-raison-dun-possible-defaut-detancheite-du-flacon" TargetMode="External"/><Relationship Id="rId127" Type="http://schemas.openxmlformats.org/officeDocument/2006/relationships/hyperlink" Target="https://www.santepubliquefrance.fr/les-actualites/2024/programme-de-travail-2024-de-sante-publique-france-les-travaux-menes-autour-de-six-grands-enjeux"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ordre.pharmacien.fr/les-communications/focus-sur/les-actualites/securite-des-professionnels-de-sante-ou-en-est-la-proposition-de-loi" TargetMode="External"/><Relationship Id="rId52" Type="http://schemas.openxmlformats.org/officeDocument/2006/relationships/hyperlink" Target="https://www.legifrance.gouv.fr/jorf/id/JORFTEXT000049263767" TargetMode="External"/><Relationship Id="rId73" Type="http://schemas.openxmlformats.org/officeDocument/2006/relationships/hyperlink" Target="https://sante.gouv.fr/soins-et-maladies/maladies/maladies-infectieuses/coronavirus/vaccin-covid-19/article/renouvellement-vaccinal-contre-le-covid-19-proteger-les-plus-fragiles" TargetMode="External"/><Relationship Id="rId78" Type="http://schemas.openxmlformats.org/officeDocument/2006/relationships/hyperlink" Target="https://www.ema.europa.eu/en/documents/covid-19-vaccine-safety-update/covid-19-vaccines-safety-update-8-december-2022_en.pdf" TargetMode="External"/><Relationship Id="rId94" Type="http://schemas.openxmlformats.org/officeDocument/2006/relationships/hyperlink" Target="https://ansm.sante.fr/tableau-acces-derogatoire/antitoxine-diphterique" TargetMode="External"/><Relationship Id="rId99" Type="http://schemas.openxmlformats.org/officeDocument/2006/relationships/hyperlink" Target="https://www.lemoniteurdespharmacies.fr/actu/actualites/actus-socio-professionnelles/cancer-colorectal-les-efforts-des-pharmaciens-et-des-autres-pour-ameliorer-la-participation-au-depistage.html" TargetMode="External"/><Relationship Id="rId101" Type="http://schemas.openxmlformats.org/officeDocument/2006/relationships/hyperlink" Target="https://ansm.sante.fr/actualites/faux-negatifs-de-rai-de-depistage-i-mag-screen-diagast-des-recommandations-entrent-en-application" TargetMode="External"/><Relationship Id="rId122" Type="http://schemas.openxmlformats.org/officeDocument/2006/relationships/hyperlink" Target="https://www.assurance-maladie.ameli.fr/presse/2024-02-28-cp-depenses-fin-janvier-2024" TargetMode="External"/><Relationship Id="rId143" Type="http://schemas.openxmlformats.org/officeDocument/2006/relationships/hyperlink" Target="https://www.dastri.fr/wp-content/uploads/2024/03/CP-Recypen-DASTRI-LILLY-SANOFI-21-mars-2024.pdf" TargetMode="External"/><Relationship Id="rId148" Type="http://schemas.openxmlformats.org/officeDocument/2006/relationships/hyperlink" Target="https://www.has-sante.fr/jcms/p_3460601/fr/strategie-de-vaccination-contre-les-infections-invasives-a-meningocoques-revision-de-la-strategie-contre-les-serogroupes-acwy-et-b" TargetMode="External"/><Relationship Id="rId164" Type="http://schemas.openxmlformats.org/officeDocument/2006/relationships/hyperlink" Target="https://ansm.sante.fr/disponibilites-des-produits-de-sante/medicaments/glucagen-kit-1-mg-ml-poudre-et-solvant-pour-solution-injectable-glucagon-chlorhydrate-de" TargetMode="External"/><Relationship Id="rId169" Type="http://schemas.openxmlformats.org/officeDocument/2006/relationships/hyperlink" Target="https://ansm.sante.fr/disponibilites-des-produits-de-sante/medicaments/ritaline-l-p-10-mg-et-20-mg-gelule-a-liberation-prolongee-methylphenidate-chlorhydrate-de" TargetMode="External"/><Relationship Id="rId185" Type="http://schemas.openxmlformats.org/officeDocument/2006/relationships/hyperlink" Target="https://ansm.sante.fr/disponibilites-des-produits-de-sante/medicaments/fluorouracile-accord-50-mg-ml-solution-a-diluer-pour-perfusion-flacon-de-5-ml-de-20-ml-et-100-ml-fluorouracil"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lidocaine-10-mg-ml-adrenaline-0-005-mg-ml-aguettant-solution-injectable-lidocaine-adrenaline" TargetMode="External"/><Relationship Id="rId210" Type="http://schemas.openxmlformats.org/officeDocument/2006/relationships/footer" Target="footer3.xml"/><Relationship Id="rId26" Type="http://schemas.openxmlformats.org/officeDocument/2006/relationships/hyperlink" Target="https://peps.sante.gouv.fr/doc_insp/proc_nat_val/pnv_liste.html" TargetMode="External"/><Relationship Id="rId47" Type="http://schemas.openxmlformats.org/officeDocument/2006/relationships/hyperlink" Target="https://www.legifrance.gouv.fr/jorf/id/JORFTEXT000049232462" TargetMode="External"/><Relationship Id="rId68" Type="http://schemas.openxmlformats.org/officeDocument/2006/relationships/hyperlink" Target="https://www.lequotidiendupharmacien.fr/exercice-pro/paxlovid-issu-du-stock-etat-ne-renvoyez-pas-les-boites-aux-grossistes" TargetMode="External"/><Relationship Id="rId89" Type="http://schemas.openxmlformats.org/officeDocument/2006/relationships/hyperlink" Target="https://www.lequotidiendupharmacien.fr/exercice-pro/la-france-peut-interdire-la-vente-dotc-par-des-plateformes" TargetMode="External"/><Relationship Id="rId112" Type="http://schemas.openxmlformats.org/officeDocument/2006/relationships/hyperlink" Target="https://www.ordre.pharmacien.fr/les-communications/focus-sur/les-actualites/produits-de-contraste-fin-du-remboursement-en-ville-le-1er-avril" TargetMode="External"/><Relationship Id="rId133" Type="http://schemas.openxmlformats.org/officeDocument/2006/relationships/hyperlink" Target="https://ansm.sante.fr/actualites/obesite-quel-profil-dutilisation-de-wegovy-en-france-pendant-son-acces-precoce" TargetMode="External"/><Relationship Id="rId154" Type="http://schemas.openxmlformats.org/officeDocument/2006/relationships/hyperlink" Target="https://www.assurance-maladie.ameli.fr/presse/2024-03-28-dp-lcf" TargetMode="External"/><Relationship Id="rId175" Type="http://schemas.openxmlformats.org/officeDocument/2006/relationships/hyperlink" Target="https://ansm.sante.fr/disponibilites-des-produits-de-sante/medicaments/coli-genta-ap-hp-27-mg-50-mg-gelule-enfant-colistine-gentamicine" TargetMode="External"/><Relationship Id="rId196" Type="http://schemas.openxmlformats.org/officeDocument/2006/relationships/hyperlink" Target="https://ansm.sante.fr/disponibilites-des-produits-de-sante/medicaments/spiramycine-1-5-m-ui-750-000-ui-metronidazole-250-125-mg-comprime-pellicule-spiramycine-metronidazole" TargetMode="External"/><Relationship Id="rId200" Type="http://schemas.openxmlformats.org/officeDocument/2006/relationships/hyperlink" Target="https://ansm.sante.fr/disponibilites-des-produits-de-sante/medicaments/rifinah-300-mg-150-mg-comprime-enrobe-isoniazid-rifampicine" TargetMode="External"/><Relationship Id="rId16" Type="http://schemas.openxmlformats.org/officeDocument/2006/relationships/hyperlink" Target="https://peps.sante.gouv.fr/themes/subst_ven/subst.html"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mois-xx.dotx</Template>
  <TotalTime>6760</TotalTime>
  <Pages>26</Pages>
  <Words>11057</Words>
  <Characters>110697</Characters>
  <Application>Microsoft Office Word</Application>
  <DocSecurity>0</DocSecurity>
  <Lines>922</Lines>
  <Paragraphs>243</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121511</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(ARS-BFC/BFC/DSP)</cp:lastModifiedBy>
  <cp:revision>68</cp:revision>
  <cp:lastPrinted>2018-11-02T10:29:00Z</cp:lastPrinted>
  <dcterms:created xsi:type="dcterms:W3CDTF">2024-02-29T15:24:00Z</dcterms:created>
  <dcterms:modified xsi:type="dcterms:W3CDTF">2024-03-29T10:41:00Z</dcterms:modified>
</cp:coreProperties>
</file>