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54B3" w:rsidRDefault="00E854B3" w:rsidP="00E854B3">
      <w:r>
        <w:rPr>
          <w:b/>
          <w:bCs/>
          <w:u w:val="single"/>
        </w:rPr>
        <w:t>Quelles activités sont déprogrammées dans les hôpitaux ?</w:t>
      </w:r>
    </w:p>
    <w:p w:rsidR="00E854B3" w:rsidRDefault="00E854B3" w:rsidP="00E854B3">
      <w:r>
        <w:t> </w:t>
      </w:r>
    </w:p>
    <w:p w:rsidR="00E854B3" w:rsidRDefault="00E854B3" w:rsidP="00E854B3">
      <w:proofErr w:type="gramStart"/>
      <w:r>
        <w:t>il</w:t>
      </w:r>
      <w:proofErr w:type="gramEnd"/>
      <w:r>
        <w:t xml:space="preserve"> a été décidé de reporter les soins non essentiels et non urgents à l'hôpital (public et privé), c'est à dire les opérations, interventions et consultations qui ne sont pas urgentes et dont le report n’entraine pas de perte de chance pour les patients. Une note du Ministère des Solidarités et de la Santé est envoyée en ce sens aux établissements hospitaliers. </w:t>
      </w:r>
    </w:p>
    <w:p w:rsidR="00E854B3" w:rsidRDefault="00E854B3" w:rsidP="00E854B3">
      <w:r>
        <w:t> </w:t>
      </w:r>
    </w:p>
    <w:p w:rsidR="00E854B3" w:rsidRDefault="00E854B3" w:rsidP="00E854B3">
      <w:r>
        <w:rPr>
          <w:b/>
          <w:bCs/>
          <w:u w:val="single"/>
        </w:rPr>
        <w:t xml:space="preserve">Le plan blanc </w:t>
      </w:r>
      <w:proofErr w:type="spellStart"/>
      <w:r>
        <w:rPr>
          <w:b/>
          <w:bCs/>
          <w:u w:val="single"/>
        </w:rPr>
        <w:t>a-t-il</w:t>
      </w:r>
      <w:proofErr w:type="spellEnd"/>
      <w:r>
        <w:rPr>
          <w:b/>
          <w:bCs/>
          <w:u w:val="single"/>
        </w:rPr>
        <w:t xml:space="preserve"> été lancé ? </w:t>
      </w:r>
    </w:p>
    <w:p w:rsidR="00E854B3" w:rsidRDefault="00E854B3" w:rsidP="00E854B3">
      <w:r>
        <w:t> </w:t>
      </w:r>
    </w:p>
    <w:p w:rsidR="00E854B3" w:rsidRDefault="00E854B3" w:rsidP="00E854B3">
      <w:r>
        <w:t xml:space="preserve">Oui, il a été demandé ce soir aux hôpitaux d’activer le stade 2 de leur Plan blanc sur l’ensemble du territoire métropolitain (les Outremers ne sont pas </w:t>
      </w:r>
      <w:proofErr w:type="gramStart"/>
      <w:r>
        <w:t>concernées</w:t>
      </w:r>
      <w:proofErr w:type="gramEnd"/>
      <w:r>
        <w:t xml:space="preserve"> à ce stade). Le Plan bleu (EHPAD) a été lancé vendredi 6 mars. </w:t>
      </w:r>
    </w:p>
    <w:p w:rsidR="00E854B3" w:rsidRDefault="00E854B3" w:rsidP="00E854B3">
      <w:r>
        <w:t> </w:t>
      </w:r>
    </w:p>
    <w:p w:rsidR="00E854B3" w:rsidRDefault="00E854B3" w:rsidP="00E854B3">
      <w:r>
        <w:rPr>
          <w:b/>
          <w:bCs/>
          <w:u w:val="single"/>
        </w:rPr>
        <w:t xml:space="preserve">Qui sont les personnes fragiles ? </w:t>
      </w:r>
    </w:p>
    <w:p w:rsidR="00E854B3" w:rsidRDefault="00E854B3" w:rsidP="00E854B3">
      <w:r>
        <w:rPr>
          <w:b/>
          <w:bCs/>
        </w:rPr>
        <w:t> </w:t>
      </w:r>
    </w:p>
    <w:p w:rsidR="00E854B3" w:rsidRDefault="00E854B3" w:rsidP="00E854B3">
      <w:r>
        <w:t xml:space="preserve">Le Haut Comité de Santé Publique considère que les personnes à risque de développer une forme grave d’infection à SARS-CoV-2 sont les suivantes : </w:t>
      </w:r>
    </w:p>
    <w:p w:rsidR="00E854B3" w:rsidRDefault="00E854B3" w:rsidP="00E854B3">
      <w:pPr>
        <w:pStyle w:val="Paragraphedeliste"/>
        <w:spacing w:after="0" w:line="240" w:lineRule="auto"/>
        <w:ind w:hanging="360"/>
      </w:pPr>
      <w:r>
        <w:t>-</w:t>
      </w:r>
      <w:r>
        <w:rPr>
          <w:rFonts w:ascii="Times New Roman" w:hAnsi="Times New Roman" w:cs="Times New Roman"/>
          <w:sz w:val="14"/>
          <w:szCs w:val="14"/>
        </w:rPr>
        <w:t xml:space="preserve">          </w:t>
      </w:r>
      <w:r>
        <w:t>personnes âgées de 70 ans et plus (même si les patients entre 50 ans et 70 ans doivent être surveillés de façon plus rapprochée) ;</w:t>
      </w:r>
    </w:p>
    <w:p w:rsidR="00E854B3" w:rsidRDefault="00E854B3" w:rsidP="00E854B3">
      <w:pPr>
        <w:pStyle w:val="Paragraphedeliste"/>
        <w:spacing w:after="0" w:line="240" w:lineRule="auto"/>
        <w:ind w:hanging="360"/>
      </w:pPr>
      <w:r>
        <w:t>-</w:t>
      </w:r>
      <w:r>
        <w:rPr>
          <w:rFonts w:ascii="Times New Roman" w:hAnsi="Times New Roman" w:cs="Times New Roman"/>
          <w:sz w:val="14"/>
          <w:szCs w:val="14"/>
        </w:rPr>
        <w:t xml:space="preserve">          </w:t>
      </w:r>
      <w:r>
        <w:t>patients présentant une insuffisance rénale chronique dialysée, insuffisance cardiaque stade NYHA III ou IV</w:t>
      </w:r>
    </w:p>
    <w:p w:rsidR="00E854B3" w:rsidRDefault="00E854B3" w:rsidP="00E854B3">
      <w:pPr>
        <w:pStyle w:val="Paragraphedeliste"/>
        <w:spacing w:after="0" w:line="240" w:lineRule="auto"/>
        <w:ind w:hanging="360"/>
      </w:pPr>
      <w:r>
        <w:t>-</w:t>
      </w:r>
      <w:r>
        <w:rPr>
          <w:rFonts w:ascii="Times New Roman" w:hAnsi="Times New Roman" w:cs="Times New Roman"/>
          <w:sz w:val="14"/>
          <w:szCs w:val="14"/>
        </w:rPr>
        <w:t xml:space="preserve">          </w:t>
      </w:r>
      <w:r>
        <w:t>les malades atteints de cirrhose au stade B au moins</w:t>
      </w:r>
    </w:p>
    <w:p w:rsidR="00E854B3" w:rsidRDefault="00E854B3" w:rsidP="00E854B3">
      <w:pPr>
        <w:pStyle w:val="Paragraphedeliste"/>
        <w:spacing w:after="0" w:line="240" w:lineRule="auto"/>
        <w:ind w:hanging="360"/>
      </w:pPr>
      <w:r>
        <w:t>-</w:t>
      </w:r>
      <w:r>
        <w:rPr>
          <w:rFonts w:ascii="Times New Roman" w:hAnsi="Times New Roman" w:cs="Times New Roman"/>
          <w:sz w:val="14"/>
          <w:szCs w:val="14"/>
        </w:rPr>
        <w:t xml:space="preserve">          </w:t>
      </w:r>
      <w:r>
        <w:t>les patients aux antécédents (ATCD) cardiovasculaires : hypertension artérielle, ATCD d’accident vasculaire cérébral ou de coronaropathie, chirurgie cardiaque ;</w:t>
      </w:r>
    </w:p>
    <w:p w:rsidR="00E854B3" w:rsidRDefault="00E854B3" w:rsidP="00E854B3">
      <w:pPr>
        <w:pStyle w:val="Paragraphedeliste"/>
        <w:spacing w:after="0" w:line="240" w:lineRule="auto"/>
        <w:ind w:hanging="360"/>
      </w:pPr>
      <w:r>
        <w:t>-</w:t>
      </w:r>
      <w:r>
        <w:rPr>
          <w:rFonts w:ascii="Times New Roman" w:hAnsi="Times New Roman" w:cs="Times New Roman"/>
          <w:sz w:val="14"/>
          <w:szCs w:val="14"/>
        </w:rPr>
        <w:t xml:space="preserve">          </w:t>
      </w:r>
      <w:r>
        <w:t>Les diabétiques insulinodépendants ou présentant des complications secondaires à leur pathologie (micro ou macro angiopathie) ;</w:t>
      </w:r>
    </w:p>
    <w:p w:rsidR="00E854B3" w:rsidRDefault="00E854B3" w:rsidP="00E854B3">
      <w:pPr>
        <w:pStyle w:val="Paragraphedeliste"/>
        <w:spacing w:after="0" w:line="240" w:lineRule="auto"/>
        <w:ind w:hanging="360"/>
      </w:pPr>
      <w:r>
        <w:t>-</w:t>
      </w:r>
      <w:r>
        <w:rPr>
          <w:rFonts w:ascii="Times New Roman" w:hAnsi="Times New Roman" w:cs="Times New Roman"/>
          <w:sz w:val="14"/>
          <w:szCs w:val="14"/>
        </w:rPr>
        <w:t xml:space="preserve">          </w:t>
      </w:r>
      <w:r>
        <w:t xml:space="preserve">les insuffisants respiratoires chroniques sous oxygénothérapie ou asthme ou mucoviscidose ou toute pathologie chronique respiratoire susceptible de décompenser lors d’une infection virale ; </w:t>
      </w:r>
    </w:p>
    <w:p w:rsidR="00E854B3" w:rsidRDefault="00E854B3" w:rsidP="00E854B3">
      <w:pPr>
        <w:pStyle w:val="Paragraphedeliste"/>
        <w:spacing w:after="0" w:line="240" w:lineRule="auto"/>
        <w:ind w:hanging="360"/>
      </w:pPr>
      <w:r>
        <w:t>-</w:t>
      </w:r>
      <w:r>
        <w:rPr>
          <w:rFonts w:ascii="Times New Roman" w:hAnsi="Times New Roman" w:cs="Times New Roman"/>
          <w:sz w:val="14"/>
          <w:szCs w:val="14"/>
        </w:rPr>
        <w:t xml:space="preserve">          </w:t>
      </w:r>
      <w:r>
        <w:t>les personnes avec une immunodépression :</w:t>
      </w:r>
    </w:p>
    <w:p w:rsidR="00E854B3" w:rsidRDefault="00E854B3" w:rsidP="00E854B3">
      <w:pPr>
        <w:pStyle w:val="Paragraphedeliste"/>
        <w:spacing w:after="0" w:line="240" w:lineRule="auto"/>
        <w:ind w:left="1440" w:hanging="360"/>
      </w:pPr>
      <w:proofErr w:type="gramStart"/>
      <w:r>
        <w:rPr>
          <w:rFonts w:ascii="Courier New" w:hAnsi="Courier New" w:cs="Courier New"/>
        </w:rPr>
        <w:t>o</w:t>
      </w:r>
      <w:proofErr w:type="gramEnd"/>
      <w:r>
        <w:rPr>
          <w:rFonts w:ascii="Times New Roman" w:hAnsi="Times New Roman" w:cs="Times New Roman"/>
          <w:sz w:val="14"/>
          <w:szCs w:val="14"/>
        </w:rPr>
        <w:t xml:space="preserve">   </w:t>
      </w:r>
      <w:r>
        <w:t>médicamenteuses : chimiothérapie anti cancéreuse, immunosuppresseur, biothérapie et/ou une corticothérapie à dose immunosuppressive,</w:t>
      </w:r>
    </w:p>
    <w:p w:rsidR="00E854B3" w:rsidRDefault="00E854B3" w:rsidP="00E854B3">
      <w:pPr>
        <w:pStyle w:val="Paragraphedeliste"/>
        <w:spacing w:after="0" w:line="240" w:lineRule="auto"/>
        <w:ind w:left="1440" w:hanging="360"/>
      </w:pPr>
      <w:proofErr w:type="gramStart"/>
      <w:r>
        <w:rPr>
          <w:rFonts w:ascii="Courier New" w:hAnsi="Courier New" w:cs="Courier New"/>
        </w:rPr>
        <w:t>o</w:t>
      </w:r>
      <w:proofErr w:type="gramEnd"/>
      <w:r>
        <w:rPr>
          <w:rFonts w:ascii="Times New Roman" w:hAnsi="Times New Roman" w:cs="Times New Roman"/>
          <w:sz w:val="14"/>
          <w:szCs w:val="14"/>
        </w:rPr>
        <w:t xml:space="preserve">   </w:t>
      </w:r>
      <w:r>
        <w:t>infection à VIH non contrôlé avec des CD4 &lt;200/mn³</w:t>
      </w:r>
    </w:p>
    <w:p w:rsidR="00E854B3" w:rsidRDefault="00E854B3" w:rsidP="00E854B3">
      <w:pPr>
        <w:pStyle w:val="Paragraphedeliste"/>
        <w:spacing w:after="0" w:line="240" w:lineRule="auto"/>
        <w:ind w:left="1440" w:hanging="360"/>
      </w:pPr>
      <w:proofErr w:type="gramStart"/>
      <w:r>
        <w:rPr>
          <w:rFonts w:ascii="Courier New" w:hAnsi="Courier New" w:cs="Courier New"/>
        </w:rPr>
        <w:t>o</w:t>
      </w:r>
      <w:proofErr w:type="gramEnd"/>
      <w:r>
        <w:rPr>
          <w:rFonts w:ascii="Times New Roman" w:hAnsi="Times New Roman" w:cs="Times New Roman"/>
          <w:sz w:val="14"/>
          <w:szCs w:val="14"/>
        </w:rPr>
        <w:t xml:space="preserve">   </w:t>
      </w:r>
      <w:r>
        <w:t xml:space="preserve">Consécutive à une greffe d’organe solide ou de cellules souche hématopoïétiques, </w:t>
      </w:r>
    </w:p>
    <w:p w:rsidR="00E854B3" w:rsidRDefault="00E854B3" w:rsidP="00E854B3">
      <w:pPr>
        <w:pStyle w:val="Paragraphedeliste"/>
        <w:spacing w:after="0" w:line="240" w:lineRule="auto"/>
        <w:ind w:left="1440" w:hanging="360"/>
      </w:pPr>
      <w:proofErr w:type="gramStart"/>
      <w:r>
        <w:rPr>
          <w:rFonts w:ascii="Courier New" w:hAnsi="Courier New" w:cs="Courier New"/>
        </w:rPr>
        <w:t>o</w:t>
      </w:r>
      <w:proofErr w:type="gramEnd"/>
      <w:r>
        <w:rPr>
          <w:rFonts w:ascii="Times New Roman" w:hAnsi="Times New Roman" w:cs="Times New Roman"/>
          <w:sz w:val="14"/>
          <w:szCs w:val="14"/>
        </w:rPr>
        <w:t xml:space="preserve">   </w:t>
      </w:r>
      <w:r>
        <w:t>atteint d’hémopathie maligne en cours de traitement,</w:t>
      </w:r>
    </w:p>
    <w:p w:rsidR="00E854B3" w:rsidRDefault="00E854B3" w:rsidP="00E854B3">
      <w:pPr>
        <w:pStyle w:val="Paragraphedeliste"/>
        <w:spacing w:after="0" w:line="240" w:lineRule="auto"/>
        <w:ind w:left="1440" w:hanging="360"/>
      </w:pPr>
      <w:proofErr w:type="gramStart"/>
      <w:r>
        <w:rPr>
          <w:rFonts w:ascii="Courier New" w:hAnsi="Courier New" w:cs="Courier New"/>
        </w:rPr>
        <w:t>o</w:t>
      </w:r>
      <w:proofErr w:type="gramEnd"/>
      <w:r>
        <w:rPr>
          <w:rFonts w:ascii="Times New Roman" w:hAnsi="Times New Roman" w:cs="Times New Roman"/>
          <w:sz w:val="14"/>
          <w:szCs w:val="14"/>
        </w:rPr>
        <w:t xml:space="preserve">   </w:t>
      </w:r>
      <w:r>
        <w:t>présentant un cancer métastasé,</w:t>
      </w:r>
    </w:p>
    <w:p w:rsidR="00E854B3" w:rsidRDefault="00E854B3" w:rsidP="00E854B3">
      <w:pPr>
        <w:pStyle w:val="Paragraphedeliste"/>
        <w:spacing w:after="0" w:line="240" w:lineRule="auto"/>
        <w:ind w:hanging="360"/>
      </w:pPr>
      <w:r>
        <w:t>-</w:t>
      </w:r>
      <w:r>
        <w:rPr>
          <w:rFonts w:ascii="Times New Roman" w:hAnsi="Times New Roman" w:cs="Times New Roman"/>
          <w:sz w:val="14"/>
          <w:szCs w:val="14"/>
        </w:rPr>
        <w:t xml:space="preserve">          </w:t>
      </w:r>
      <w:r>
        <w:t>Les femmes enceintes par analogie avec les séries publiées sur le MERS-</w:t>
      </w:r>
      <w:proofErr w:type="spellStart"/>
      <w:r>
        <w:t>CoV</w:t>
      </w:r>
      <w:proofErr w:type="spellEnd"/>
      <w:r>
        <w:t xml:space="preserve"> et le SRAS en dépit d’une petite série de 18 cas d’infections à SARS-CoV-2 ne montrant pas de sur-risque ni pour la mère ni pour l’enfant ;</w:t>
      </w:r>
    </w:p>
    <w:p w:rsidR="00E854B3" w:rsidRDefault="00E854B3" w:rsidP="00E854B3">
      <w:pPr>
        <w:pStyle w:val="Paragraphedeliste"/>
        <w:spacing w:after="0" w:line="240" w:lineRule="auto"/>
        <w:ind w:hanging="360"/>
      </w:pPr>
      <w:r>
        <w:t>-</w:t>
      </w:r>
      <w:r>
        <w:rPr>
          <w:rFonts w:ascii="Times New Roman" w:hAnsi="Times New Roman" w:cs="Times New Roman"/>
          <w:sz w:val="14"/>
          <w:szCs w:val="14"/>
        </w:rPr>
        <w:t xml:space="preserve">          </w:t>
      </w:r>
      <w:r>
        <w:t>Les personnes présentant une obésité morbide (indice de masse corporelle &gt; 40kg/m² : par analogie avec la grippe A(H1N1)</w:t>
      </w:r>
    </w:p>
    <w:p w:rsidR="00E854B3" w:rsidRDefault="00E854B3" w:rsidP="00E854B3">
      <w:pPr>
        <w:ind w:left="360"/>
      </w:pPr>
      <w:r>
        <w:t> </w:t>
      </w:r>
    </w:p>
    <w:p w:rsidR="00E854B3" w:rsidRDefault="00E854B3" w:rsidP="00E854B3">
      <w:r>
        <w:rPr>
          <w:b/>
          <w:bCs/>
          <w:u w:val="single"/>
        </w:rPr>
        <w:t xml:space="preserve">Y </w:t>
      </w:r>
      <w:proofErr w:type="spellStart"/>
      <w:r>
        <w:rPr>
          <w:b/>
          <w:bCs/>
          <w:u w:val="single"/>
        </w:rPr>
        <w:t>aura-t-il</w:t>
      </w:r>
      <w:proofErr w:type="spellEnd"/>
      <w:r>
        <w:rPr>
          <w:b/>
          <w:bCs/>
          <w:u w:val="single"/>
        </w:rPr>
        <w:t xml:space="preserve"> une seconde vague de virus qui touchera les plus jeunes ?</w:t>
      </w:r>
      <w:r>
        <w:rPr>
          <w:b/>
          <w:bCs/>
          <w:i/>
          <w:iCs/>
          <w:u w:val="single"/>
        </w:rPr>
        <w:t xml:space="preserve">  </w:t>
      </w:r>
    </w:p>
    <w:p w:rsidR="00E854B3" w:rsidRDefault="00E854B3" w:rsidP="00E854B3">
      <w:r>
        <w:rPr>
          <w:color w:val="1F497D"/>
        </w:rPr>
        <w:t> </w:t>
      </w:r>
    </w:p>
    <w:p w:rsidR="00E854B3" w:rsidRDefault="00E854B3" w:rsidP="00E854B3">
      <w:r>
        <w:t xml:space="preserve">Les mesures annoncées par le Président de la République ont pour objectif freiner la progression de l’épidémie. Des lors, la vitesse de propagation du virus se ralentit et permet de limiter le nombre de personnes atteintes en </w:t>
      </w:r>
      <w:proofErr w:type="spellStart"/>
      <w:r>
        <w:t>meme</w:t>
      </w:r>
      <w:proofErr w:type="spellEnd"/>
      <w:r>
        <w:t xml:space="preserve"> temps par le virus. Dans cette stratégie, le type de personnes atteintes par le virus, et la répartition des cas simples, notamment en fonction de </w:t>
      </w:r>
      <w:proofErr w:type="spellStart"/>
      <w:r>
        <w:t>l’age</w:t>
      </w:r>
      <w:proofErr w:type="spellEnd"/>
      <w:r>
        <w:t xml:space="preserve"> ou de l’existence de plusieurs maladies n’est pas modifié. Les </w:t>
      </w:r>
      <w:proofErr w:type="spellStart"/>
      <w:r>
        <w:t>etudes</w:t>
      </w:r>
      <w:proofErr w:type="spellEnd"/>
      <w:r>
        <w:t xml:space="preserve"> internationales nous montrent que si les personnes fragiles (</w:t>
      </w:r>
      <w:proofErr w:type="spellStart"/>
      <w:r>
        <w:t>cf</w:t>
      </w:r>
      <w:proofErr w:type="spellEnd"/>
      <w:r>
        <w:t xml:space="preserve"> liste) sont les plus à risque de développer une forme grave d’infection au Coronavirus, l’ensemble de la population peut également être concernée. Quelques cas d’infection grave au </w:t>
      </w:r>
      <w:r>
        <w:lastRenderedPageBreak/>
        <w:t xml:space="preserve">Coronavirus chez des patients hors personnes </w:t>
      </w:r>
      <w:proofErr w:type="spellStart"/>
      <w:r>
        <w:t>agées</w:t>
      </w:r>
      <w:proofErr w:type="spellEnd"/>
      <w:r>
        <w:t xml:space="preserve"> ou fragiles ont effectivement été constatés dans d’autres pays. </w:t>
      </w:r>
    </w:p>
    <w:p w:rsidR="00E854B3" w:rsidRDefault="00E854B3" w:rsidP="00E854B3">
      <w:r>
        <w:t> </w:t>
      </w:r>
    </w:p>
    <w:p w:rsidR="00E854B3" w:rsidRDefault="00E854B3" w:rsidP="00E854B3">
      <w:r>
        <w:rPr>
          <w:b/>
          <w:bCs/>
          <w:u w:val="single"/>
        </w:rPr>
        <w:t>Quelle est la stratégie des autorités sanitaires pour les tests ?</w:t>
      </w:r>
    </w:p>
    <w:p w:rsidR="00E854B3" w:rsidRDefault="00E854B3" w:rsidP="00E854B3">
      <w:r>
        <w:t> </w:t>
      </w:r>
    </w:p>
    <w:p w:rsidR="00E854B3" w:rsidRDefault="00E854B3" w:rsidP="00E854B3">
      <w:pPr>
        <w:jc w:val="both"/>
      </w:pPr>
      <w:r>
        <w:t>En phase épidémique, le principe est de ne plus tester systématiquement. Il n’y pas de droit à être dépisté, et pas d’avantage particulier à le faire pour la population générale. Après consultation du Haut Conseil de Santé Publique</w:t>
      </w:r>
      <w:r>
        <w:rPr>
          <w:color w:val="000000"/>
        </w:rPr>
        <w:t xml:space="preserve"> (HCSP)</w:t>
      </w:r>
      <w:r>
        <w:t>, les tests ne seront plus réalisés de manière systématique et seront destinés en priorité à quatre types de populations :</w:t>
      </w:r>
    </w:p>
    <w:p w:rsidR="00E854B3" w:rsidRDefault="00E854B3" w:rsidP="00E854B3">
      <w:pPr>
        <w:pStyle w:val="Paragraphedeliste"/>
        <w:ind w:hanging="360"/>
      </w:pPr>
      <w:r>
        <w:rPr>
          <w:color w:val="000000"/>
        </w:rPr>
        <w:t>-</w:t>
      </w:r>
      <w:r>
        <w:rPr>
          <w:rFonts w:ascii="Times New Roman" w:hAnsi="Times New Roman" w:cs="Times New Roman"/>
          <w:color w:val="000000"/>
          <w:sz w:val="14"/>
          <w:szCs w:val="14"/>
        </w:rPr>
        <w:t xml:space="preserve">          </w:t>
      </w:r>
      <w:r>
        <w:t xml:space="preserve">les </w:t>
      </w:r>
      <w:r>
        <w:rPr>
          <w:b/>
          <w:bCs/>
        </w:rPr>
        <w:t>personnes fragiles</w:t>
      </w:r>
      <w:r>
        <w:rPr>
          <w:color w:val="000000"/>
        </w:rPr>
        <w:t xml:space="preserve"> (</w:t>
      </w:r>
      <w:proofErr w:type="spellStart"/>
      <w:r>
        <w:rPr>
          <w:color w:val="000000"/>
        </w:rPr>
        <w:t>cf</w:t>
      </w:r>
      <w:proofErr w:type="spellEnd"/>
      <w:r>
        <w:rPr>
          <w:color w:val="000000"/>
        </w:rPr>
        <w:t xml:space="preserve"> liste) présentant des symptômes évocateurs du COVID-19</w:t>
      </w:r>
      <w:r>
        <w:t>, à risque de développer des complications</w:t>
      </w:r>
      <w:r>
        <w:rPr>
          <w:color w:val="000000"/>
        </w:rPr>
        <w:t xml:space="preserve"> (insuffisants respiratoires, immunodéprimés).</w:t>
      </w:r>
    </w:p>
    <w:p w:rsidR="00E854B3" w:rsidRDefault="00E854B3" w:rsidP="00E854B3">
      <w:pPr>
        <w:pStyle w:val="Paragraphedeliste"/>
        <w:ind w:hanging="360"/>
      </w:pPr>
      <w:r>
        <w:rPr>
          <w:color w:val="000000"/>
        </w:rPr>
        <w:t>-</w:t>
      </w:r>
      <w:r>
        <w:rPr>
          <w:rFonts w:ascii="Times New Roman" w:hAnsi="Times New Roman" w:cs="Times New Roman"/>
          <w:color w:val="000000"/>
          <w:sz w:val="14"/>
          <w:szCs w:val="14"/>
        </w:rPr>
        <w:t xml:space="preserve">          </w:t>
      </w:r>
      <w:r>
        <w:rPr>
          <w:color w:val="000000"/>
        </w:rPr>
        <w:t xml:space="preserve">les </w:t>
      </w:r>
      <w:r>
        <w:rPr>
          <w:b/>
          <w:bCs/>
          <w:color w:val="000000"/>
        </w:rPr>
        <w:t>deux premières personnes</w:t>
      </w:r>
      <w:r>
        <w:rPr>
          <w:color w:val="000000"/>
        </w:rPr>
        <w:t xml:space="preserve"> présentant des symptômes évocateurs du COVID-19 dans les structures médico-sociales, notamment les maisons de retraites, </w:t>
      </w:r>
      <w:r>
        <w:t>et dans les structures collectives hébergeant des personnes vulnérables, pour prendre des mesures immédiates afin d’éviter une transmission entre les résidents</w:t>
      </w:r>
      <w:r>
        <w:rPr>
          <w:color w:val="000000"/>
        </w:rPr>
        <w:t xml:space="preserve">, </w:t>
      </w:r>
    </w:p>
    <w:p w:rsidR="00E854B3" w:rsidRDefault="00E854B3" w:rsidP="00E854B3">
      <w:pPr>
        <w:pStyle w:val="Paragraphedeliste"/>
        <w:ind w:hanging="360"/>
      </w:pPr>
      <w:r>
        <w:t>-</w:t>
      </w:r>
      <w:r>
        <w:rPr>
          <w:rFonts w:ascii="Times New Roman" w:hAnsi="Times New Roman" w:cs="Times New Roman"/>
          <w:sz w:val="14"/>
          <w:szCs w:val="14"/>
        </w:rPr>
        <w:t xml:space="preserve">          </w:t>
      </w:r>
      <w:r>
        <w:t xml:space="preserve">les </w:t>
      </w:r>
      <w:r>
        <w:rPr>
          <w:b/>
          <w:bCs/>
        </w:rPr>
        <w:t>personnes hospitalisées</w:t>
      </w:r>
      <w:r>
        <w:t xml:space="preserve"> présentant des symptômes évocateurs de Covid-19 car il faut pouvoir comprendre rapidement l’état du patient et éviter les transmissions,</w:t>
      </w:r>
    </w:p>
    <w:p w:rsidR="00E854B3" w:rsidRDefault="00E854B3" w:rsidP="00E854B3">
      <w:pPr>
        <w:pStyle w:val="Paragraphedeliste"/>
        <w:ind w:hanging="360"/>
      </w:pPr>
      <w:r>
        <w:t>-</w:t>
      </w:r>
      <w:r>
        <w:rPr>
          <w:rFonts w:ascii="Times New Roman" w:hAnsi="Times New Roman" w:cs="Times New Roman"/>
          <w:sz w:val="14"/>
          <w:szCs w:val="14"/>
        </w:rPr>
        <w:t xml:space="preserve">          </w:t>
      </w:r>
      <w:r>
        <w:t xml:space="preserve">les </w:t>
      </w:r>
      <w:r>
        <w:rPr>
          <w:b/>
          <w:bCs/>
        </w:rPr>
        <w:t>professionnels de santé</w:t>
      </w:r>
      <w:r>
        <w:t xml:space="preserve"> présentant des symptômes évocateurs de Covid-19.</w:t>
      </w:r>
    </w:p>
    <w:p w:rsidR="00E854B3" w:rsidRDefault="00E854B3" w:rsidP="00E854B3">
      <w:pPr>
        <w:jc w:val="both"/>
      </w:pPr>
      <w:r>
        <w:rPr>
          <w:b/>
          <w:bCs/>
          <w:u w:val="single"/>
        </w:rPr>
        <w:t>Pourquoi ne plus tester tous les patients avec symptômes ?</w:t>
      </w:r>
    </w:p>
    <w:p w:rsidR="00E854B3" w:rsidRDefault="00E854B3" w:rsidP="00E854B3">
      <w:r>
        <w:t> </w:t>
      </w:r>
    </w:p>
    <w:p w:rsidR="00E854B3" w:rsidRDefault="00E854B3" w:rsidP="00E854B3">
      <w:r>
        <w:t>Devant l’augmentation du nombre de cas, la recherche</w:t>
      </w:r>
      <w:r>
        <w:rPr>
          <w:color w:val="000000"/>
        </w:rPr>
        <w:t xml:space="preserve"> systématique</w:t>
      </w:r>
      <w:r>
        <w:t xml:space="preserve"> de contact</w:t>
      </w:r>
      <w:r>
        <w:rPr>
          <w:color w:val="000000"/>
        </w:rPr>
        <w:t>s</w:t>
      </w:r>
      <w:r>
        <w:t xml:space="preserve"> est devenue inutile. Tester tous les patients présentant des symptômes conduirait à saturer la filière de dépistage alors que pour les cas graves et les structures collectives de personnes fragiles, le dépistage permet</w:t>
      </w:r>
      <w:r>
        <w:rPr>
          <w:color w:val="000000"/>
        </w:rPr>
        <w:t xml:space="preserve"> toujours</w:t>
      </w:r>
      <w:r>
        <w:t xml:space="preserve"> de comprendre et prendre des mesures immédiates. Le décompte des cas ne se fonde plus uniquement sur les cas diagnostiqués biologiquement, mais sur des estimations épidémiologiques, comme cela se fait pour la grippe tous les ans (nombre de consultations, nombre de cas graves ou de décès…). Ces modifications reflètent donc une volonté d’adapter la réponse en fonction de l’évolution de la propagation du coronavirus dans les différents territoires.</w:t>
      </w:r>
    </w:p>
    <w:p w:rsidR="00E854B3" w:rsidRDefault="00E854B3" w:rsidP="00E854B3">
      <w:r>
        <w:t> </w:t>
      </w:r>
    </w:p>
    <w:p w:rsidR="00E854B3" w:rsidRDefault="00E854B3" w:rsidP="00E854B3">
      <w:r>
        <w:rPr>
          <w:b/>
          <w:bCs/>
          <w:u w:val="single"/>
        </w:rPr>
        <w:t xml:space="preserve">Comment se passent les tests ? </w:t>
      </w:r>
    </w:p>
    <w:p w:rsidR="00E854B3" w:rsidRDefault="00E854B3" w:rsidP="00E854B3">
      <w:r>
        <w:t> </w:t>
      </w:r>
    </w:p>
    <w:p w:rsidR="00E854B3" w:rsidRDefault="00E854B3" w:rsidP="00E854B3">
      <w:r>
        <w:t>Pour les populations concernées (</w:t>
      </w:r>
      <w:proofErr w:type="spellStart"/>
      <w:r>
        <w:t>cf</w:t>
      </w:r>
      <w:proofErr w:type="spellEnd"/>
      <w:r>
        <w:t xml:space="preserve"> question précédentes), il y a plusieurs possibilités de tests : </w:t>
      </w:r>
    </w:p>
    <w:p w:rsidR="00E854B3" w:rsidRDefault="00E854B3" w:rsidP="00E854B3">
      <w:pPr>
        <w:pStyle w:val="Paragraphedeliste"/>
        <w:ind w:hanging="360"/>
      </w:pPr>
      <w:r>
        <w:t>-</w:t>
      </w:r>
      <w:r>
        <w:rPr>
          <w:rFonts w:ascii="Times New Roman" w:hAnsi="Times New Roman" w:cs="Times New Roman"/>
          <w:sz w:val="14"/>
          <w:szCs w:val="14"/>
        </w:rPr>
        <w:t xml:space="preserve">          </w:t>
      </w:r>
      <w:r>
        <w:t xml:space="preserve">Pour les patients diagnostiqués à l’hôpital ou avec signes de gravité, ces tests seront réalisés dans les hôpitaux.  </w:t>
      </w:r>
    </w:p>
    <w:p w:rsidR="00E854B3" w:rsidRDefault="00E854B3" w:rsidP="00E854B3">
      <w:pPr>
        <w:pStyle w:val="Paragraphedeliste"/>
        <w:ind w:hanging="360"/>
      </w:pPr>
      <w:r>
        <w:t>-</w:t>
      </w:r>
      <w:r>
        <w:rPr>
          <w:rFonts w:ascii="Times New Roman" w:hAnsi="Times New Roman" w:cs="Times New Roman"/>
          <w:sz w:val="14"/>
          <w:szCs w:val="14"/>
        </w:rPr>
        <w:t xml:space="preserve">          </w:t>
      </w:r>
      <w:r>
        <w:t xml:space="preserve">Pour les autres patients répondeurs aux critères de dépistage, il est possible d’être testé dans les laboratoires en ville, après contact du médecin traitant et prescription médicale. Les prélèvements seront réalisés à domicile. Il ne faut en aucun cas se rendre directement dans les laboratoires de biologie, mais les appeler au préalable, et seulement si on a une prescription médicale, car il existe un grand risque de contaminer d’autres malades, notamment les plus fragiles. </w:t>
      </w:r>
    </w:p>
    <w:p w:rsidR="00E854B3" w:rsidRDefault="00E854B3" w:rsidP="00E854B3">
      <w:r>
        <w:t xml:space="preserve">Concernant les patients </w:t>
      </w:r>
      <w:r>
        <w:rPr>
          <w:color w:val="000000"/>
        </w:rPr>
        <w:t>non testés</w:t>
      </w:r>
      <w:r>
        <w:t>,</w:t>
      </w:r>
      <w:r>
        <w:rPr>
          <w:color w:val="000000"/>
        </w:rPr>
        <w:t xml:space="preserve"> </w:t>
      </w:r>
      <w:r>
        <w:t xml:space="preserve">ils seront diagnostiqués COVID-19 sur signes cliniques par un médecin. </w:t>
      </w:r>
      <w:r>
        <w:rPr>
          <w:color w:val="000000"/>
        </w:rPr>
        <w:t xml:space="preserve">Les modalités de prise en charge médicale entre patients testés ou non restent identiques. </w:t>
      </w:r>
    </w:p>
    <w:p w:rsidR="00D46A65" w:rsidRDefault="00D46A65">
      <w:bookmarkStart w:id="0" w:name="_GoBack"/>
      <w:bookmarkEnd w:id="0"/>
    </w:p>
    <w:sectPr w:rsidR="00D46A6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54B3"/>
    <w:rsid w:val="00D46A65"/>
    <w:rsid w:val="00E854B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CB0232-10C9-4F36-97A9-FE263C7F9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54B3"/>
    <w:pPr>
      <w:spacing w:after="0" w:line="240" w:lineRule="auto"/>
    </w:pPr>
    <w:rPr>
      <w:rFonts w:ascii="Calibri" w:hAnsi="Calibri" w:cs="Calibr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854B3"/>
    <w:pPr>
      <w:spacing w:after="160" w:line="252"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4398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978</Words>
  <Characters>5383</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6349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REGNAULT, Mathilde (DGS/MICOM)</dc:creator>
  <cp:keywords/>
  <dc:description/>
  <cp:lastModifiedBy>REGNAULT, Mathilde (DGS/MICOM)</cp:lastModifiedBy>
  <cp:revision>1</cp:revision>
  <dcterms:created xsi:type="dcterms:W3CDTF">2020-03-13T11:58:00Z</dcterms:created>
  <dcterms:modified xsi:type="dcterms:W3CDTF">2020-03-13T11:59:00Z</dcterms:modified>
</cp:coreProperties>
</file>