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31F0" w:rsidRDefault="005731F0" w:rsidP="005731F0">
      <w:pPr>
        <w:pStyle w:val="Titre3"/>
        <w:rPr>
          <w:rFonts w:ascii="Calibri" w:hAnsi="Calibri" w:cs="Calibri"/>
          <w:color w:val="000000"/>
          <w:sz w:val="32"/>
        </w:rPr>
      </w:pPr>
      <w:r>
        <w:rPr>
          <w:rFonts w:ascii="Calibri" w:hAnsi="Calibri" w:cs="Calibri"/>
          <w:noProof/>
          <w:color w:val="000000"/>
          <w:sz w:val="32"/>
          <w:lang w:eastAsia="fr-FR"/>
        </w:rPr>
        <w:drawing>
          <wp:inline distT="0" distB="0" distL="0" distR="0">
            <wp:extent cx="1466850" cy="1142177"/>
            <wp:effectExtent l="0" t="0" r="0" b="127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IN_Solidarites_Sante_RVB.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78200" cy="1151014"/>
                    </a:xfrm>
                    <a:prstGeom prst="rect">
                      <a:avLst/>
                    </a:prstGeom>
                  </pic:spPr>
                </pic:pic>
              </a:graphicData>
            </a:graphic>
          </wp:inline>
        </w:drawing>
      </w:r>
    </w:p>
    <w:p w:rsidR="000057DA" w:rsidRDefault="00DC4DF0">
      <w:pPr>
        <w:pStyle w:val="Titre3"/>
        <w:jc w:val="center"/>
        <w:rPr>
          <w:rFonts w:ascii="Calibri" w:hAnsi="Calibri" w:cs="Calibri"/>
          <w:color w:val="000000"/>
          <w:sz w:val="32"/>
        </w:rPr>
      </w:pPr>
      <w:r>
        <w:rPr>
          <w:rFonts w:ascii="Calibri" w:hAnsi="Calibri" w:cs="Calibri"/>
          <w:color w:val="000000"/>
          <w:sz w:val="32"/>
        </w:rPr>
        <w:t>FAQ CONFERENCE DE PRESSE DU 17 SEPTEMBRE</w:t>
      </w:r>
    </w:p>
    <w:p w:rsidR="000057DA" w:rsidRDefault="000057DA">
      <w:pPr>
        <w:rPr>
          <w:rFonts w:ascii="Calibri" w:hAnsi="Calibri" w:cs="Calibri"/>
          <w:sz w:val="24"/>
          <w:szCs w:val="24"/>
        </w:rPr>
      </w:pPr>
    </w:p>
    <w:p w:rsidR="000057DA" w:rsidRDefault="00DC4DF0">
      <w:pPr>
        <w:pStyle w:val="Paragraphedeliste"/>
        <w:numPr>
          <w:ilvl w:val="0"/>
          <w:numId w:val="1"/>
        </w:numPr>
        <w:rPr>
          <w:rFonts w:ascii="Calibri" w:hAnsi="Calibri" w:cs="Calibri"/>
          <w:b/>
          <w:sz w:val="24"/>
          <w:szCs w:val="24"/>
          <w:u w:val="single"/>
        </w:rPr>
      </w:pPr>
      <w:r>
        <w:rPr>
          <w:rFonts w:ascii="Calibri" w:hAnsi="Calibri" w:cs="Calibri"/>
          <w:b/>
          <w:sz w:val="24"/>
          <w:szCs w:val="24"/>
          <w:u w:val="single"/>
        </w:rPr>
        <w:t>INDICATEURS DE SUIVI DE L’EPIDEMIE</w:t>
      </w:r>
    </w:p>
    <w:p w:rsidR="000057DA" w:rsidRDefault="000057DA">
      <w:pPr>
        <w:rPr>
          <w:rFonts w:ascii="Calibri" w:hAnsi="Calibri" w:cs="Calibri"/>
          <w:sz w:val="24"/>
          <w:szCs w:val="24"/>
        </w:rPr>
      </w:pPr>
    </w:p>
    <w:p w:rsidR="000057DA" w:rsidRDefault="00DC4DF0">
      <w:pPr>
        <w:pStyle w:val="Textebrut"/>
        <w:rPr>
          <w:rFonts w:cs="Calibri"/>
          <w:b/>
          <w:sz w:val="24"/>
          <w:szCs w:val="24"/>
        </w:rPr>
      </w:pPr>
      <w:r>
        <w:rPr>
          <w:rFonts w:cs="Calibri"/>
          <w:b/>
          <w:sz w:val="24"/>
          <w:szCs w:val="24"/>
        </w:rPr>
        <w:t>Où en est le taux d’incidence ?</w:t>
      </w:r>
    </w:p>
    <w:p w:rsidR="000057DA" w:rsidRDefault="000057DA">
      <w:pPr>
        <w:pStyle w:val="Textebrut"/>
        <w:rPr>
          <w:rFonts w:cs="Calibri"/>
          <w:sz w:val="24"/>
          <w:szCs w:val="24"/>
        </w:rPr>
      </w:pPr>
    </w:p>
    <w:p w:rsidR="000057DA" w:rsidRDefault="00DC4DF0">
      <w:pPr>
        <w:jc w:val="both"/>
        <w:rPr>
          <w:rFonts w:ascii="Calibri" w:hAnsi="Calibri" w:cs="Calibri"/>
          <w:sz w:val="24"/>
          <w:szCs w:val="24"/>
        </w:rPr>
      </w:pPr>
      <w:r>
        <w:rPr>
          <w:rFonts w:ascii="Calibri" w:hAnsi="Calibri" w:cs="Calibri"/>
          <w:sz w:val="24"/>
          <w:szCs w:val="24"/>
        </w:rPr>
        <w:t xml:space="preserve">Le taux d’incidence, qui compte le nombre de nouvelles contaminations par semaine, est en hausse constante : il était à le 16 septembre au soir </w:t>
      </w:r>
      <w:r>
        <w:rPr>
          <w:rFonts w:ascii="Calibri" w:hAnsi="Calibri" w:cs="Calibri"/>
          <w:sz w:val="24"/>
          <w:szCs w:val="24"/>
        </w:rPr>
        <w:t>à 83 cas pour 100 000 habitants, alors qu’il était à 40 fin août, 25 mi-août et 10 fin juillet. Le taux d’incidence a dépassé pour de nombreux départements les différents seuils d’alerte.</w:t>
      </w:r>
    </w:p>
    <w:p w:rsidR="000057DA" w:rsidRDefault="00DC4DF0">
      <w:pPr>
        <w:jc w:val="both"/>
        <w:rPr>
          <w:rFonts w:ascii="Calibri" w:hAnsi="Calibri" w:cs="Calibri"/>
          <w:b/>
          <w:sz w:val="24"/>
          <w:szCs w:val="24"/>
        </w:rPr>
      </w:pPr>
      <w:r>
        <w:rPr>
          <w:rFonts w:ascii="Calibri" w:hAnsi="Calibri" w:cs="Calibri"/>
          <w:b/>
          <w:sz w:val="24"/>
          <w:szCs w:val="24"/>
        </w:rPr>
        <w:t xml:space="preserve">Où en est le taux de reproduction ? </w:t>
      </w:r>
    </w:p>
    <w:p w:rsidR="000057DA" w:rsidRDefault="00DC4DF0">
      <w:pPr>
        <w:jc w:val="both"/>
        <w:rPr>
          <w:rFonts w:ascii="Calibri" w:hAnsi="Calibri" w:cs="Calibri"/>
          <w:sz w:val="24"/>
          <w:szCs w:val="24"/>
        </w:rPr>
      </w:pPr>
      <w:r>
        <w:rPr>
          <w:rFonts w:ascii="Calibri" w:hAnsi="Calibri" w:cs="Calibri"/>
          <w:sz w:val="24"/>
          <w:szCs w:val="24"/>
        </w:rPr>
        <w:t>Le taux de reproduction, le « R</w:t>
      </w:r>
      <w:r>
        <w:rPr>
          <w:rFonts w:ascii="Calibri" w:hAnsi="Calibri" w:cs="Calibri"/>
          <w:sz w:val="24"/>
          <w:szCs w:val="24"/>
        </w:rPr>
        <w:t> », qui illustre la vitesse d’évolution de l’épidémie, reste au niveau national au-dessus de 1. Le port du masque, les gestes barrières, notre politique de test et de « tracing » font qu’aujourd’hui le R n’a cependant rien à voir avec celui que nous connai</w:t>
      </w:r>
      <w:r>
        <w:rPr>
          <w:rFonts w:ascii="Calibri" w:hAnsi="Calibri" w:cs="Calibri"/>
          <w:sz w:val="24"/>
          <w:szCs w:val="24"/>
        </w:rPr>
        <w:t>ssions en mars et avril : le R était alors supérieur à 3. Mais malgré tout, un R supérieur à 1 signifie que l’épidémie gagne du terrain et qu’elle génère, comme nous le voyons depuis plusieurs jours, de nouvelles contaminations, de nouveaux patients hospit</w:t>
      </w:r>
      <w:r>
        <w:rPr>
          <w:rFonts w:ascii="Calibri" w:hAnsi="Calibri" w:cs="Calibri"/>
          <w:sz w:val="24"/>
          <w:szCs w:val="24"/>
        </w:rPr>
        <w:t xml:space="preserve">alisés, et malheureusement, de nouvelles formes graves de la Covid-19. </w:t>
      </w:r>
    </w:p>
    <w:p w:rsidR="000057DA" w:rsidRDefault="00DC4DF0">
      <w:pPr>
        <w:jc w:val="both"/>
        <w:rPr>
          <w:rFonts w:ascii="Calibri" w:hAnsi="Calibri" w:cs="Calibri"/>
          <w:b/>
          <w:sz w:val="24"/>
          <w:szCs w:val="24"/>
          <w:u w:val="single"/>
        </w:rPr>
      </w:pPr>
      <w:r>
        <w:rPr>
          <w:rFonts w:ascii="Calibri" w:hAnsi="Calibri" w:cs="Calibri"/>
          <w:b/>
          <w:sz w:val="24"/>
          <w:szCs w:val="24"/>
        </w:rPr>
        <w:t>Où en est le taux de positivité ?</w:t>
      </w:r>
    </w:p>
    <w:p w:rsidR="000057DA" w:rsidRDefault="00DC4DF0">
      <w:pPr>
        <w:jc w:val="both"/>
        <w:rPr>
          <w:rFonts w:ascii="Calibri" w:hAnsi="Calibri" w:cs="Calibri"/>
          <w:sz w:val="24"/>
          <w:szCs w:val="24"/>
        </w:rPr>
      </w:pPr>
      <w:r>
        <w:rPr>
          <w:rFonts w:ascii="Calibri" w:hAnsi="Calibri" w:cs="Calibri"/>
          <w:sz w:val="24"/>
          <w:szCs w:val="24"/>
        </w:rPr>
        <w:t xml:space="preserve">En parallèle de l’augmentation de l’incidence, nous constatons également une augmentation du taux de positivité des tests. Cet indicateur nous montre </w:t>
      </w:r>
      <w:r>
        <w:rPr>
          <w:rFonts w:ascii="Calibri" w:hAnsi="Calibri" w:cs="Calibri"/>
          <w:sz w:val="24"/>
          <w:szCs w:val="24"/>
        </w:rPr>
        <w:t>la proportion de personnes contaminées parmi toutes les personnes testées. Plus cet indicateur est bas, moins le virus circule. Plus il est haut, plus le virus circule. Et aujourd’hui, cet indicateur augmente : sur 100 personnes testées, plus de 5 personne</w:t>
      </w:r>
      <w:r>
        <w:rPr>
          <w:rFonts w:ascii="Calibri" w:hAnsi="Calibri" w:cs="Calibri"/>
          <w:sz w:val="24"/>
          <w:szCs w:val="24"/>
        </w:rPr>
        <w:t>s sont aujourd’hui positives, contre un peu plus de 1 au début de l’été.</w:t>
      </w:r>
    </w:p>
    <w:p w:rsidR="000057DA" w:rsidRDefault="00DC4DF0">
      <w:pPr>
        <w:jc w:val="both"/>
        <w:rPr>
          <w:rFonts w:ascii="Calibri" w:hAnsi="Calibri" w:cs="Calibri"/>
          <w:b/>
          <w:sz w:val="24"/>
          <w:szCs w:val="24"/>
        </w:rPr>
      </w:pPr>
      <w:r>
        <w:rPr>
          <w:rFonts w:ascii="Calibri" w:hAnsi="Calibri" w:cs="Calibri"/>
          <w:b/>
          <w:sz w:val="24"/>
          <w:szCs w:val="24"/>
        </w:rPr>
        <w:t xml:space="preserve">Qu’est ce qui est différent entre le printemps et la situation actuelle ? </w:t>
      </w:r>
    </w:p>
    <w:p w:rsidR="000057DA" w:rsidRDefault="00DC4DF0">
      <w:pPr>
        <w:jc w:val="both"/>
        <w:rPr>
          <w:rFonts w:ascii="Calibri" w:hAnsi="Calibri" w:cs="Calibri"/>
          <w:sz w:val="24"/>
          <w:szCs w:val="24"/>
        </w:rPr>
      </w:pPr>
      <w:r>
        <w:rPr>
          <w:rFonts w:ascii="Calibri" w:hAnsi="Calibri" w:cs="Calibri"/>
          <w:sz w:val="24"/>
          <w:szCs w:val="24"/>
        </w:rPr>
        <w:t>C’est d’abord la vitesse de circulation du virus.</w:t>
      </w:r>
      <w:r>
        <w:rPr>
          <w:rFonts w:ascii="Calibri" w:hAnsi="Calibri" w:cs="Calibri"/>
          <w:b/>
          <w:sz w:val="24"/>
          <w:szCs w:val="24"/>
        </w:rPr>
        <w:t xml:space="preserve"> </w:t>
      </w:r>
      <w:r>
        <w:rPr>
          <w:rFonts w:ascii="Calibri" w:hAnsi="Calibri" w:cs="Calibri"/>
          <w:sz w:val="24"/>
          <w:szCs w:val="24"/>
        </w:rPr>
        <w:t>Au printemps, une personne malade allait en moyenne en con</w:t>
      </w:r>
      <w:r>
        <w:rPr>
          <w:rFonts w:ascii="Calibri" w:hAnsi="Calibri" w:cs="Calibri"/>
          <w:sz w:val="24"/>
          <w:szCs w:val="24"/>
        </w:rPr>
        <w:t xml:space="preserve">taminer 2 autres tous les 3 jours. Aujourd’hui une personne malade contamine en moyenne deux personnes tous les 15 jours. Le virus va moins vite, c’est une différence notable. </w:t>
      </w:r>
    </w:p>
    <w:p w:rsidR="000057DA" w:rsidRDefault="00DC4DF0">
      <w:pPr>
        <w:jc w:val="both"/>
        <w:rPr>
          <w:rFonts w:ascii="Calibri" w:hAnsi="Calibri" w:cs="Calibri"/>
          <w:sz w:val="24"/>
          <w:szCs w:val="24"/>
        </w:rPr>
      </w:pPr>
      <w:r>
        <w:rPr>
          <w:rFonts w:ascii="Calibri" w:hAnsi="Calibri" w:cs="Calibri"/>
          <w:sz w:val="24"/>
          <w:szCs w:val="24"/>
        </w:rPr>
        <w:t>Ce sont également les modes de propagation du virus. Le virus ne s’est jamais a</w:t>
      </w:r>
      <w:r>
        <w:rPr>
          <w:rFonts w:ascii="Calibri" w:hAnsi="Calibri" w:cs="Calibri"/>
          <w:sz w:val="24"/>
          <w:szCs w:val="24"/>
        </w:rPr>
        <w:t xml:space="preserve">rrêté de circuler, et nous avons pu constater qu’il a circulé particulièrement chez les plus jeunes d’entre </w:t>
      </w:r>
      <w:r>
        <w:rPr>
          <w:rFonts w:ascii="Calibri" w:hAnsi="Calibri" w:cs="Calibri"/>
          <w:sz w:val="24"/>
          <w:szCs w:val="24"/>
        </w:rPr>
        <w:lastRenderedPageBreak/>
        <w:t>nous, avec aujourd’hui un taux d’incidence de 140 pour 100 000 dans la tranche 15-40 ans, dont 50 % de personnes asymptomatiques. Le risque étant qu</w:t>
      </w:r>
      <w:r>
        <w:rPr>
          <w:rFonts w:ascii="Calibri" w:hAnsi="Calibri" w:cs="Calibri"/>
          <w:sz w:val="24"/>
          <w:szCs w:val="24"/>
        </w:rPr>
        <w:t xml:space="preserve">e les plus jeunes allaient contaminer les moins jeunes qui sont plus fragiles. Par ailleurs, le virus circule plus intensément dans les métropoles. </w:t>
      </w:r>
    </w:p>
    <w:p w:rsidR="000057DA" w:rsidRDefault="00DC4DF0">
      <w:pPr>
        <w:jc w:val="both"/>
        <w:rPr>
          <w:rFonts w:ascii="Calibri" w:hAnsi="Calibri" w:cs="Calibri"/>
          <w:sz w:val="24"/>
          <w:szCs w:val="24"/>
        </w:rPr>
      </w:pPr>
      <w:r>
        <w:rPr>
          <w:rFonts w:ascii="Calibri" w:hAnsi="Calibri" w:cs="Calibri"/>
          <w:sz w:val="24"/>
          <w:szCs w:val="24"/>
        </w:rPr>
        <w:t xml:space="preserve">Enfin, nous observons depuis plusieurs semaines qu’au niveau national, le virus circule fortement chez les </w:t>
      </w:r>
      <w:r>
        <w:rPr>
          <w:rFonts w:ascii="Calibri" w:hAnsi="Calibri" w:cs="Calibri"/>
          <w:sz w:val="24"/>
          <w:szCs w:val="24"/>
        </w:rPr>
        <w:t xml:space="preserve">15-44 ans, et chez les plus de 65 ans, il circule de plus en plus. L’impact est désormais réel et visible. </w:t>
      </w:r>
    </w:p>
    <w:p w:rsidR="000057DA" w:rsidRDefault="00DC4DF0">
      <w:pPr>
        <w:jc w:val="both"/>
        <w:rPr>
          <w:rFonts w:ascii="Calibri" w:hAnsi="Calibri" w:cs="Calibri"/>
          <w:sz w:val="24"/>
          <w:szCs w:val="24"/>
        </w:rPr>
      </w:pPr>
      <w:r>
        <w:rPr>
          <w:rFonts w:ascii="Calibri" w:hAnsi="Calibri" w:cs="Calibri"/>
          <w:b/>
          <w:sz w:val="24"/>
          <w:szCs w:val="24"/>
        </w:rPr>
        <w:t>Combien de départements sont dans une situation inquiétante ?</w:t>
      </w:r>
    </w:p>
    <w:p w:rsidR="000057DA" w:rsidRDefault="00DC4DF0">
      <w:pPr>
        <w:jc w:val="both"/>
        <w:rPr>
          <w:rFonts w:ascii="Calibri" w:hAnsi="Calibri" w:cs="Calibri"/>
          <w:sz w:val="24"/>
          <w:szCs w:val="24"/>
        </w:rPr>
      </w:pPr>
      <w:r>
        <w:rPr>
          <w:rFonts w:ascii="Calibri" w:hAnsi="Calibri" w:cs="Calibri"/>
          <w:sz w:val="24"/>
          <w:szCs w:val="24"/>
        </w:rPr>
        <w:t>Le seuil d’alerte que nous avions établi est celui de 50 personnes détectées positives</w:t>
      </w:r>
      <w:r>
        <w:rPr>
          <w:rFonts w:ascii="Calibri" w:hAnsi="Calibri" w:cs="Calibri"/>
          <w:sz w:val="24"/>
          <w:szCs w:val="24"/>
        </w:rPr>
        <w:t xml:space="preserve"> pour 100 000 habitants. Aujourd’hui, il y a 53 départements qui ont dépassé ce seuil et 2 (Eure et Mayotte) qui sont considérés à forte circulation. Ce sont donc au total 55 départements qui seront classés à partir du samedi 19 septembre comme « zone de c</w:t>
      </w:r>
      <w:r>
        <w:rPr>
          <w:rFonts w:ascii="Calibri" w:hAnsi="Calibri" w:cs="Calibri"/>
          <w:sz w:val="24"/>
          <w:szCs w:val="24"/>
        </w:rPr>
        <w:t xml:space="preserve">irculation active du virus ». </w:t>
      </w:r>
    </w:p>
    <w:p w:rsidR="000057DA" w:rsidRDefault="00DC4DF0">
      <w:pPr>
        <w:jc w:val="both"/>
        <w:rPr>
          <w:rFonts w:ascii="Calibri" w:hAnsi="Calibri" w:cs="Calibri"/>
          <w:sz w:val="24"/>
          <w:szCs w:val="24"/>
        </w:rPr>
      </w:pPr>
      <w:r>
        <w:rPr>
          <w:rFonts w:ascii="Calibri" w:hAnsi="Calibri" w:cs="Calibri"/>
          <w:sz w:val="24"/>
          <w:szCs w:val="24"/>
        </w:rPr>
        <w:t>Dans certains territoires, et notamment dans certaines villes, ce seuil d’alerte est déjà dépassé. A Marseille, nous sommes à près de 6 fois ce seuil, en Guadeloupe 5 fois, à Bordeaux et Lyon, 4 fois. Et à Paris, à plus de tr</w:t>
      </w:r>
      <w:r>
        <w:rPr>
          <w:rFonts w:ascii="Calibri" w:hAnsi="Calibri" w:cs="Calibri"/>
          <w:sz w:val="24"/>
          <w:szCs w:val="24"/>
        </w:rPr>
        <w:t>ois fois ce seuil.</w:t>
      </w:r>
    </w:p>
    <w:p w:rsidR="000057DA" w:rsidRDefault="00DC4DF0">
      <w:pPr>
        <w:jc w:val="both"/>
        <w:rPr>
          <w:rFonts w:ascii="Calibri" w:hAnsi="Calibri" w:cs="Calibri"/>
          <w:sz w:val="24"/>
          <w:szCs w:val="24"/>
        </w:rPr>
      </w:pPr>
      <w:r>
        <w:rPr>
          <w:rFonts w:ascii="Calibri" w:hAnsi="Calibri" w:cs="Calibri"/>
          <w:sz w:val="24"/>
          <w:szCs w:val="24"/>
        </w:rPr>
        <w:t xml:space="preserve">Cette dynamique épidémique atteint désormais aussi les personnes âgées, dont on sait qu’elles sont plus vulnérables face au virus. Le taux d’incidence pour les personnes âgées est de 190 à Marseille, 130 en Guadeloupe, 113 à Lyon. Et il </w:t>
      </w:r>
      <w:r>
        <w:rPr>
          <w:rFonts w:ascii="Calibri" w:hAnsi="Calibri" w:cs="Calibri"/>
          <w:sz w:val="24"/>
          <w:szCs w:val="24"/>
        </w:rPr>
        <w:t>est à plus de 80 dans plusieurs grandes villes : Nice, Bordeaux, Lille, Toulouse.</w:t>
      </w:r>
    </w:p>
    <w:p w:rsidR="000057DA" w:rsidRDefault="000057DA">
      <w:pPr>
        <w:pStyle w:val="Paragraphedeliste"/>
        <w:jc w:val="both"/>
        <w:rPr>
          <w:rFonts w:ascii="Calibri" w:hAnsi="Calibri" w:cs="Calibri"/>
          <w:sz w:val="24"/>
          <w:szCs w:val="24"/>
        </w:rPr>
      </w:pPr>
    </w:p>
    <w:p w:rsidR="000057DA" w:rsidRDefault="00DC4DF0">
      <w:pPr>
        <w:rPr>
          <w:rFonts w:ascii="Calibri" w:hAnsi="Calibri" w:cs="Calibri"/>
          <w:b/>
          <w:sz w:val="24"/>
          <w:szCs w:val="24"/>
        </w:rPr>
      </w:pPr>
      <w:r>
        <w:rPr>
          <w:rFonts w:ascii="Calibri" w:hAnsi="Calibri" w:cs="Calibri"/>
          <w:b/>
          <w:sz w:val="24"/>
          <w:szCs w:val="24"/>
        </w:rPr>
        <w:t>Que disent les prévisions sur le taux d’occupation en réanimation en PACA ?</w:t>
      </w:r>
    </w:p>
    <w:p w:rsidR="000057DA" w:rsidRDefault="00DC4DF0">
      <w:pPr>
        <w:jc w:val="both"/>
        <w:rPr>
          <w:rFonts w:ascii="Calibri" w:hAnsi="Calibri" w:cs="Calibri"/>
          <w:sz w:val="24"/>
          <w:szCs w:val="24"/>
        </w:rPr>
      </w:pPr>
      <w:r>
        <w:rPr>
          <w:rFonts w:ascii="Calibri" w:hAnsi="Calibri" w:cs="Calibri"/>
          <w:sz w:val="24"/>
          <w:szCs w:val="24"/>
        </w:rPr>
        <w:t>Les autorités sanitaires ont engagé un travail de prévision des augmentations des entrées en réan</w:t>
      </w:r>
      <w:r>
        <w:rPr>
          <w:rFonts w:ascii="Calibri" w:hAnsi="Calibri" w:cs="Calibri"/>
          <w:sz w:val="24"/>
          <w:szCs w:val="24"/>
        </w:rPr>
        <w:t>imation. Pour la région Provence Alpes Côte d’Azur, nous disposons aujourd’hui de 537 lits en réanimation et parmi eux il y a 139 patients COVID, soit une part de patients Covid dans les réanimations de près de 30 %, alors qu’elle est d’un peu plus de 15 %</w:t>
      </w:r>
      <w:r>
        <w:rPr>
          <w:rFonts w:ascii="Calibri" w:hAnsi="Calibri" w:cs="Calibri"/>
          <w:sz w:val="24"/>
          <w:szCs w:val="24"/>
        </w:rPr>
        <w:t xml:space="preserve"> au niveau national. Fin septembre, à l’échelle de la région, il y aurait 300 patients atteints du Covid en réanimation, soit 60 % des lits de réanimation actuellement installés. A la deuxième quinzaine du mois d’octobre, si nous ne prenons pas des mesures</w:t>
      </w:r>
      <w:r>
        <w:rPr>
          <w:rFonts w:ascii="Calibri" w:hAnsi="Calibri" w:cs="Calibri"/>
          <w:sz w:val="24"/>
          <w:szCs w:val="24"/>
        </w:rPr>
        <w:t xml:space="preserve"> rapidement, nous atteindrons notre capacité totale de lits actuellement installés. Les autorités sanitaires ont prévu la possibilité d’armer des lits de réanimation supplémentaires, et de porter le nombre de lits de réanimation à 1 000 dans la région. Ces</w:t>
      </w:r>
      <w:r>
        <w:rPr>
          <w:rFonts w:ascii="Calibri" w:hAnsi="Calibri" w:cs="Calibri"/>
          <w:sz w:val="24"/>
          <w:szCs w:val="24"/>
        </w:rPr>
        <w:t xml:space="preserve"> lits de réanimation sont destinés à tous les patients, pas uniquement les patients Covid.</w:t>
      </w:r>
    </w:p>
    <w:p w:rsidR="000057DA" w:rsidRDefault="00DC4DF0">
      <w:pPr>
        <w:jc w:val="both"/>
        <w:rPr>
          <w:rFonts w:ascii="Calibri" w:hAnsi="Calibri" w:cs="Calibri"/>
          <w:b/>
          <w:sz w:val="24"/>
          <w:szCs w:val="24"/>
        </w:rPr>
      </w:pPr>
      <w:r>
        <w:rPr>
          <w:rFonts w:ascii="Calibri" w:hAnsi="Calibri" w:cs="Calibri"/>
          <w:b/>
          <w:sz w:val="24"/>
          <w:szCs w:val="24"/>
        </w:rPr>
        <w:t>Dans quels territoires des mesures de restriction supplémentaires vont être adoptées ?</w:t>
      </w:r>
    </w:p>
    <w:p w:rsidR="000057DA" w:rsidRDefault="00DC4DF0">
      <w:pPr>
        <w:jc w:val="both"/>
        <w:rPr>
          <w:rFonts w:ascii="Calibri" w:hAnsi="Calibri" w:cs="Calibri"/>
          <w:color w:val="000000"/>
          <w:sz w:val="24"/>
          <w:szCs w:val="24"/>
          <w:shd w:val="clear" w:color="auto" w:fill="FFFFFF"/>
        </w:rPr>
      </w:pPr>
      <w:r>
        <w:rPr>
          <w:rFonts w:ascii="Calibri" w:hAnsi="Calibri" w:cs="Calibri"/>
          <w:sz w:val="24"/>
          <w:szCs w:val="24"/>
        </w:rPr>
        <w:t>Comme l’a indiqué le Premier ministre vendredi 11 septembre, les préfets des Bouches-du-Rhône, de Gironde et de Guadeloupe se sont concerté avec les élus et les acteurs sur les mesures qu’il était nécessaire de prendre. Il s’agit notamment de l’interdictio</w:t>
      </w:r>
      <w:r>
        <w:rPr>
          <w:rFonts w:ascii="Calibri" w:hAnsi="Calibri" w:cs="Calibri"/>
          <w:sz w:val="24"/>
          <w:szCs w:val="24"/>
        </w:rPr>
        <w:t xml:space="preserve">n des </w:t>
      </w:r>
      <w:r>
        <w:rPr>
          <w:rFonts w:ascii="Calibri" w:hAnsi="Calibri" w:cs="Calibri"/>
          <w:color w:val="000000"/>
          <w:sz w:val="24"/>
          <w:szCs w:val="24"/>
          <w:shd w:val="clear" w:color="auto" w:fill="FFFFFF"/>
        </w:rPr>
        <w:t xml:space="preserve">rassemblements de plus de 10 personnes dans les parcs et sur les plages, de l’abaissement à 1000 personnes du nombre maximal de personnes autorisées dans les évènements, de l’annulation de grands événements en raison des risques sanitaires. </w:t>
      </w:r>
    </w:p>
    <w:p w:rsidR="000057DA" w:rsidRDefault="00DC4DF0">
      <w:pPr>
        <w:jc w:val="both"/>
        <w:rPr>
          <w:rFonts w:ascii="Calibri" w:hAnsi="Calibri" w:cs="Calibri"/>
          <w:sz w:val="24"/>
          <w:szCs w:val="24"/>
        </w:rPr>
      </w:pPr>
      <w:r>
        <w:rPr>
          <w:rFonts w:ascii="Calibri" w:hAnsi="Calibri" w:cs="Calibri"/>
          <w:color w:val="000000"/>
          <w:sz w:val="24"/>
          <w:szCs w:val="24"/>
          <w:shd w:val="clear" w:color="auto" w:fill="FFFFFF"/>
        </w:rPr>
        <w:lastRenderedPageBreak/>
        <w:t>Le Minis</w:t>
      </w:r>
      <w:r>
        <w:rPr>
          <w:rFonts w:ascii="Calibri" w:hAnsi="Calibri" w:cs="Calibri"/>
          <w:color w:val="000000"/>
          <w:sz w:val="24"/>
          <w:szCs w:val="24"/>
          <w:shd w:val="clear" w:color="auto" w:fill="FFFFFF"/>
        </w:rPr>
        <w:t xml:space="preserve">tre des Solidarités et de la Santé a annoncé jeudi 17 septembre que les contrôles du respect de ces dispositions vont être renforcés et les visites dans les Ehpad encadrées. Dans ces territoires, il a été fortement recommandé de limiter les rassemblements </w:t>
      </w:r>
      <w:r>
        <w:rPr>
          <w:rFonts w:ascii="Calibri" w:hAnsi="Calibri" w:cs="Calibri"/>
          <w:color w:val="000000"/>
          <w:sz w:val="24"/>
          <w:szCs w:val="24"/>
          <w:shd w:val="clear" w:color="auto" w:fill="FFFFFF"/>
        </w:rPr>
        <w:t>familiaux et amicaux, comme les mariages ou les fêtes d’anniversaire.</w:t>
      </w:r>
    </w:p>
    <w:p w:rsidR="000057DA" w:rsidRDefault="00DC4DF0">
      <w:pPr>
        <w:jc w:val="both"/>
        <w:rPr>
          <w:rFonts w:ascii="Calibri" w:hAnsi="Calibri" w:cs="Calibri"/>
          <w:sz w:val="24"/>
          <w:szCs w:val="24"/>
        </w:rPr>
      </w:pPr>
      <w:r>
        <w:rPr>
          <w:rFonts w:ascii="Calibri" w:hAnsi="Calibri" w:cs="Calibri"/>
          <w:sz w:val="24"/>
          <w:szCs w:val="24"/>
        </w:rPr>
        <w:t xml:space="preserve">L’évolution des indicateurs épidémiologiques conduisent les autorités sanitaires à retenir la même approche pour les agglomérations de Lyon et de Nice : </w:t>
      </w:r>
    </w:p>
    <w:p w:rsidR="000057DA" w:rsidRDefault="00DC4DF0">
      <w:pPr>
        <w:pStyle w:val="Paragraphedeliste"/>
        <w:numPr>
          <w:ilvl w:val="0"/>
          <w:numId w:val="21"/>
        </w:numPr>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Calibri" w:hAnsi="Calibri" w:cs="Calibri"/>
          <w:sz w:val="24"/>
          <w:szCs w:val="24"/>
        </w:rPr>
      </w:pPr>
      <w:r>
        <w:rPr>
          <w:rFonts w:ascii="Calibri" w:hAnsi="Calibri" w:cs="Calibri"/>
          <w:sz w:val="24"/>
          <w:szCs w:val="24"/>
        </w:rPr>
        <w:t xml:space="preserve">Lyon se caractérise par un taux </w:t>
      </w:r>
      <w:r>
        <w:rPr>
          <w:rFonts w:ascii="Calibri" w:hAnsi="Calibri" w:cs="Calibri"/>
          <w:sz w:val="24"/>
          <w:szCs w:val="24"/>
        </w:rPr>
        <w:t>d’incidence très élevé, de 200, 4 fois la cote d’alerte avec un impact fort chez les personnes de plus de 65 ans (taux d’incidence de 113)</w:t>
      </w:r>
    </w:p>
    <w:p w:rsidR="000057DA" w:rsidRDefault="00DC4DF0">
      <w:pPr>
        <w:pStyle w:val="Paragraphedeliste"/>
        <w:numPr>
          <w:ilvl w:val="0"/>
          <w:numId w:val="21"/>
        </w:numPr>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Calibri" w:hAnsi="Calibri" w:cs="Calibri"/>
          <w:sz w:val="24"/>
          <w:szCs w:val="24"/>
        </w:rPr>
      </w:pPr>
      <w:r>
        <w:rPr>
          <w:rFonts w:ascii="Calibri" w:hAnsi="Calibri" w:cs="Calibri"/>
          <w:sz w:val="24"/>
          <w:szCs w:val="24"/>
        </w:rPr>
        <w:t>Nice a un taux d’incidence de 150, 3 fois la côte d’alerte mais il est proche de 100 pour les personnes de plus de 65</w:t>
      </w:r>
      <w:r>
        <w:rPr>
          <w:rFonts w:ascii="Calibri" w:hAnsi="Calibri" w:cs="Calibri"/>
          <w:sz w:val="24"/>
          <w:szCs w:val="24"/>
        </w:rPr>
        <w:t xml:space="preserve"> ans et, surtout, le part des patients Covid en réanimation dans la région atteint 30 % des places de réanimation.</w:t>
      </w:r>
    </w:p>
    <w:p w:rsidR="000057DA" w:rsidRDefault="000057DA">
      <w:pPr>
        <w:jc w:val="both"/>
        <w:rPr>
          <w:rFonts w:ascii="Calibri" w:hAnsi="Calibri" w:cs="Calibri"/>
          <w:sz w:val="24"/>
          <w:szCs w:val="24"/>
        </w:rPr>
      </w:pPr>
    </w:p>
    <w:p w:rsidR="000057DA" w:rsidRDefault="00DC4DF0">
      <w:pPr>
        <w:jc w:val="both"/>
        <w:rPr>
          <w:rFonts w:ascii="Calibri" w:hAnsi="Calibri" w:cs="Calibri"/>
          <w:sz w:val="24"/>
          <w:szCs w:val="24"/>
        </w:rPr>
      </w:pPr>
      <w:r>
        <w:rPr>
          <w:rFonts w:ascii="Calibri" w:hAnsi="Calibri" w:cs="Calibri"/>
          <w:sz w:val="24"/>
          <w:szCs w:val="24"/>
        </w:rPr>
        <w:t>Le Ministre a donc demandé aux préfets du Rhône et des Alpes-Maritimes de concerter avec les élus et les acteurs du territoire pour proposer</w:t>
      </w:r>
      <w:r>
        <w:rPr>
          <w:rFonts w:ascii="Calibri" w:hAnsi="Calibri" w:cs="Calibri"/>
          <w:sz w:val="24"/>
          <w:szCs w:val="24"/>
        </w:rPr>
        <w:t xml:space="preserve"> au Gouvernement d’ici samedi 19 septembre les mesures qui devront être prises pour enrayer la circulation du virus et limiter son impact sur le système sanitaire. Les maires de Nice et de Lyon ont d’ailleurs déjà commencé à prendre des mesures par anticip</w:t>
      </w:r>
      <w:r>
        <w:rPr>
          <w:rFonts w:ascii="Calibri" w:hAnsi="Calibri" w:cs="Calibri"/>
          <w:sz w:val="24"/>
          <w:szCs w:val="24"/>
        </w:rPr>
        <w:t xml:space="preserve">ation. </w:t>
      </w:r>
    </w:p>
    <w:p w:rsidR="000057DA" w:rsidRDefault="00DC4DF0">
      <w:pPr>
        <w:jc w:val="both"/>
        <w:rPr>
          <w:rFonts w:ascii="Calibri" w:hAnsi="Calibri" w:cs="Calibri"/>
          <w:sz w:val="24"/>
          <w:szCs w:val="24"/>
        </w:rPr>
      </w:pPr>
      <w:r>
        <w:rPr>
          <w:rFonts w:ascii="Calibri" w:hAnsi="Calibri" w:cs="Calibri"/>
          <w:sz w:val="24"/>
          <w:szCs w:val="24"/>
        </w:rPr>
        <w:t>Dans les territoires pour lesquels des mesures fortes ont déjà été prises, et particulièrement à Marseille et en Guadeloupe, si la situation ne s’améliore pas et si le nombre d’entrées en réanimation continue à croître, le Ministre a également indi</w:t>
      </w:r>
      <w:r>
        <w:rPr>
          <w:rFonts w:ascii="Calibri" w:hAnsi="Calibri" w:cs="Calibri"/>
          <w:sz w:val="24"/>
          <w:szCs w:val="24"/>
        </w:rPr>
        <w:t>qué qu’il pourra être envisagé de prendre des mesures encore plus fortes qui seront décidées au niveau local.</w:t>
      </w:r>
    </w:p>
    <w:p w:rsidR="000057DA" w:rsidRDefault="00DC4DF0">
      <w:pPr>
        <w:jc w:val="both"/>
        <w:rPr>
          <w:rFonts w:ascii="Calibri" w:hAnsi="Calibri" w:cs="Calibri"/>
          <w:sz w:val="24"/>
          <w:szCs w:val="24"/>
        </w:rPr>
      </w:pPr>
      <w:r>
        <w:rPr>
          <w:rFonts w:ascii="Calibri" w:hAnsi="Calibri" w:cs="Calibri"/>
          <w:sz w:val="24"/>
          <w:szCs w:val="24"/>
        </w:rPr>
        <w:t>A Lille, Toulouse, Rennes, Dijon et Paris, le taux d’incidence en population générale est élevée, de l’ordre de 3 à 4 fois la cote d’alerte, entre</w:t>
      </w:r>
      <w:r>
        <w:rPr>
          <w:rFonts w:ascii="Calibri" w:hAnsi="Calibri" w:cs="Calibri"/>
          <w:sz w:val="24"/>
          <w:szCs w:val="24"/>
        </w:rPr>
        <w:t xml:space="preserve"> 150 et 200, et le taux d’incidence pour les personnes âgées de plus de 65 ans dépasse les 50 pour 100 000. Les seuils critiques ne sont pas encore atteints mais les autorités sanitaires restent très attentives à l’évolution de la situation dans ces métrop</w:t>
      </w:r>
      <w:r>
        <w:rPr>
          <w:rFonts w:ascii="Calibri" w:hAnsi="Calibri" w:cs="Calibri"/>
          <w:sz w:val="24"/>
          <w:szCs w:val="24"/>
        </w:rPr>
        <w:t>oles.</w:t>
      </w:r>
    </w:p>
    <w:p w:rsidR="000057DA" w:rsidRDefault="00DC4DF0">
      <w:pPr>
        <w:rPr>
          <w:rFonts w:ascii="Calibri" w:hAnsi="Calibri" w:cs="Calibri"/>
          <w:b/>
          <w:bCs/>
          <w:sz w:val="24"/>
          <w:szCs w:val="24"/>
        </w:rPr>
      </w:pPr>
      <w:r>
        <w:rPr>
          <w:rFonts w:ascii="Calibri" w:hAnsi="Calibri" w:cs="Calibri"/>
          <w:b/>
          <w:bCs/>
          <w:sz w:val="24"/>
          <w:szCs w:val="24"/>
        </w:rPr>
        <w:t>Combien d’EHPAD sont aujourd’hui touchés par le COVID ? Combien de Clusters ?</w:t>
      </w:r>
    </w:p>
    <w:p w:rsidR="000057DA" w:rsidRDefault="00DC4DF0">
      <w:pPr>
        <w:jc w:val="both"/>
        <w:rPr>
          <w:rFonts w:ascii="Calibri" w:hAnsi="Calibri" w:cs="Calibri"/>
          <w:sz w:val="24"/>
          <w:szCs w:val="24"/>
        </w:rPr>
      </w:pPr>
      <w:r>
        <w:rPr>
          <w:rFonts w:ascii="Calibri" w:hAnsi="Calibri" w:cs="Calibri"/>
          <w:sz w:val="24"/>
          <w:szCs w:val="24"/>
        </w:rPr>
        <w:t>Depuis le 1er mars et jusqu’au 13 septembre 2020, 6267 signalements d’un ou plusieurs cas de COVID-19 ont été déclarés dans les établissements d’hébergement pour les person</w:t>
      </w:r>
      <w:r>
        <w:rPr>
          <w:rFonts w:ascii="Calibri" w:hAnsi="Calibri" w:cs="Calibri"/>
          <w:sz w:val="24"/>
          <w:szCs w:val="24"/>
        </w:rPr>
        <w:t>nes âgées. Entre le 6 et 13 septembre 2020, 237 signalements d’un ou plusieurs cas de COVID-19 ont été déclarés dans les établissements d’hébergement pour les personnes âgées.</w:t>
      </w:r>
    </w:p>
    <w:p w:rsidR="000057DA" w:rsidRDefault="00DC4DF0">
      <w:pPr>
        <w:jc w:val="both"/>
        <w:rPr>
          <w:rFonts w:ascii="Calibri" w:hAnsi="Calibri" w:cs="Calibri"/>
          <w:sz w:val="24"/>
          <w:szCs w:val="24"/>
        </w:rPr>
      </w:pPr>
      <w:r>
        <w:rPr>
          <w:rFonts w:ascii="Calibri" w:hAnsi="Calibri" w:cs="Calibri"/>
          <w:sz w:val="24"/>
          <w:szCs w:val="24"/>
        </w:rPr>
        <w:t>En S37 (7/09) une forte augmentation du nombre de clusters a été observée avec 6</w:t>
      </w:r>
      <w:r>
        <w:rPr>
          <w:rFonts w:ascii="Calibri" w:hAnsi="Calibri" w:cs="Calibri"/>
          <w:sz w:val="24"/>
          <w:szCs w:val="24"/>
        </w:rPr>
        <w:t>8 clusters signalés (vs 37 en S36). Au total, 302 clusters ont été signalés (94% en métropole) incluant 3735 cas entre le 9/05 et 14/09. Sur les 302 clusters depuis le 9/05, 38% (=115) étaient en cours d’investigation, 10% étaient maitrisés, 52% clôturés e</w:t>
      </w:r>
      <w:r>
        <w:rPr>
          <w:rFonts w:ascii="Calibri" w:hAnsi="Calibri" w:cs="Calibri"/>
          <w:sz w:val="24"/>
          <w:szCs w:val="24"/>
        </w:rPr>
        <w:t xml:space="preserve">t aucun cluster n’avait diffusé. La majorité (69%) comportait plus de 5 cas (12 en moyenne par cluster). </w:t>
      </w:r>
    </w:p>
    <w:p w:rsidR="000057DA" w:rsidRDefault="00DC4DF0">
      <w:pPr>
        <w:jc w:val="both"/>
        <w:rPr>
          <w:rFonts w:ascii="Calibri" w:hAnsi="Calibri" w:cs="Calibri"/>
          <w:sz w:val="24"/>
          <w:szCs w:val="24"/>
        </w:rPr>
      </w:pPr>
      <w:r>
        <w:rPr>
          <w:rFonts w:ascii="Calibri" w:hAnsi="Calibri" w:cs="Calibri"/>
          <w:sz w:val="24"/>
          <w:szCs w:val="24"/>
        </w:rPr>
        <w:t>Les 115 clusters en cours d’investigation étaient localisés dans toutes les régions métropolitaines à l’exception d’un foyer en Guadeloupe. Les région</w:t>
      </w:r>
      <w:r>
        <w:rPr>
          <w:rFonts w:ascii="Calibri" w:hAnsi="Calibri" w:cs="Calibri"/>
          <w:sz w:val="24"/>
          <w:szCs w:val="24"/>
        </w:rPr>
        <w:t>s PACA et Occitanie comptabilisaient respectivement 26% et 25% des clusters en cours d’investigation en EHPAD.</w:t>
      </w:r>
    </w:p>
    <w:p w:rsidR="000057DA" w:rsidRDefault="000057DA">
      <w:pPr>
        <w:rPr>
          <w:rFonts w:ascii="Calibri" w:hAnsi="Calibri" w:cs="Calibri"/>
          <w:sz w:val="24"/>
          <w:szCs w:val="24"/>
        </w:rPr>
      </w:pPr>
    </w:p>
    <w:p w:rsidR="000057DA" w:rsidRDefault="000057DA">
      <w:pPr>
        <w:rPr>
          <w:rFonts w:ascii="Calibri" w:hAnsi="Calibri" w:cs="Calibri"/>
          <w:sz w:val="24"/>
          <w:szCs w:val="24"/>
        </w:rPr>
      </w:pPr>
    </w:p>
    <w:p w:rsidR="000057DA" w:rsidRDefault="000057DA">
      <w:pPr>
        <w:rPr>
          <w:rFonts w:ascii="Calibri" w:hAnsi="Calibri" w:cs="Calibri"/>
          <w:b/>
          <w:sz w:val="24"/>
          <w:szCs w:val="24"/>
        </w:rPr>
      </w:pPr>
    </w:p>
    <w:p w:rsidR="000057DA" w:rsidRDefault="00DC4DF0">
      <w:pPr>
        <w:pStyle w:val="Paragraphedeliste"/>
        <w:numPr>
          <w:ilvl w:val="0"/>
          <w:numId w:val="1"/>
        </w:numPr>
        <w:rPr>
          <w:rFonts w:ascii="Calibri" w:hAnsi="Calibri" w:cs="Calibri"/>
          <w:b/>
          <w:sz w:val="24"/>
          <w:szCs w:val="24"/>
          <w:u w:val="single"/>
        </w:rPr>
      </w:pPr>
      <w:r>
        <w:rPr>
          <w:rFonts w:ascii="Calibri" w:hAnsi="Calibri" w:cs="Calibri"/>
          <w:b/>
          <w:sz w:val="24"/>
          <w:szCs w:val="24"/>
          <w:u w:val="single"/>
        </w:rPr>
        <w:t>TESTS</w:t>
      </w:r>
    </w:p>
    <w:p w:rsidR="000057DA" w:rsidRDefault="000057DA">
      <w:pPr>
        <w:pStyle w:val="Paragraphedeliste"/>
        <w:ind w:left="1080"/>
        <w:rPr>
          <w:rFonts w:ascii="Calibri" w:hAnsi="Calibri" w:cs="Calibri"/>
          <w:b/>
          <w:sz w:val="24"/>
          <w:szCs w:val="24"/>
          <w:u w:val="single"/>
        </w:rPr>
      </w:pPr>
    </w:p>
    <w:p w:rsidR="000057DA" w:rsidRDefault="00DC4DF0">
      <w:pPr>
        <w:pStyle w:val="Titre3"/>
        <w:rPr>
          <w:rFonts w:ascii="Calibri" w:hAnsi="Calibri" w:cs="Calibri"/>
          <w:color w:val="000000"/>
          <w:sz w:val="24"/>
        </w:rPr>
      </w:pPr>
      <w:r>
        <w:rPr>
          <w:rFonts w:ascii="Calibri" w:hAnsi="Calibri" w:cs="Calibri"/>
          <w:color w:val="000000"/>
          <w:sz w:val="24"/>
        </w:rPr>
        <w:t>Certains laboratoires sont-ils autorisés à faire payer un surcoût en échange d’un accès plus rapide aux tests ?</w:t>
      </w:r>
    </w:p>
    <w:p w:rsidR="000057DA" w:rsidRDefault="00DC4DF0">
      <w:pPr>
        <w:jc w:val="both"/>
        <w:rPr>
          <w:rFonts w:ascii="Calibri" w:hAnsi="Calibri" w:cs="Calibri"/>
          <w:sz w:val="24"/>
          <w:szCs w:val="24"/>
        </w:rPr>
      </w:pPr>
      <w:r>
        <w:rPr>
          <w:rFonts w:ascii="Calibri" w:hAnsi="Calibri" w:cs="Calibri"/>
          <w:sz w:val="24"/>
          <w:szCs w:val="24"/>
        </w:rPr>
        <w:t xml:space="preserve">Non, c’est illégal et </w:t>
      </w:r>
      <w:r>
        <w:rPr>
          <w:rFonts w:ascii="Calibri" w:hAnsi="Calibri" w:cs="Calibri"/>
          <w:sz w:val="24"/>
          <w:szCs w:val="24"/>
        </w:rPr>
        <w:t xml:space="preserve">toute conduite de ce type doit être signalé aux autorités sanitaires. Les tests sont pris en charge à 100% par l’assurance maladie. En aucun cas un laboratoire ne peut facturer un complément en contrepartie d’un résultat plus rapide. </w:t>
      </w:r>
    </w:p>
    <w:p w:rsidR="000057DA" w:rsidRDefault="00DC4DF0">
      <w:pPr>
        <w:pStyle w:val="Titre3"/>
        <w:rPr>
          <w:rFonts w:ascii="Calibri" w:hAnsi="Calibri" w:cs="Calibri"/>
          <w:color w:val="000000"/>
          <w:sz w:val="24"/>
        </w:rPr>
      </w:pPr>
      <w:r>
        <w:rPr>
          <w:rFonts w:ascii="Calibri" w:hAnsi="Calibri" w:cs="Calibri"/>
          <w:color w:val="000000"/>
          <w:sz w:val="24"/>
        </w:rPr>
        <w:t>Faisons-nous face à u</w:t>
      </w:r>
      <w:r>
        <w:rPr>
          <w:rFonts w:ascii="Calibri" w:hAnsi="Calibri" w:cs="Calibri"/>
          <w:color w:val="000000"/>
          <w:sz w:val="24"/>
        </w:rPr>
        <w:t>ne pénurie de réactifs pour les tests RT-PCR ?</w:t>
      </w:r>
    </w:p>
    <w:p w:rsidR="000057DA" w:rsidRDefault="00DC4DF0">
      <w:pPr>
        <w:pStyle w:val="Default"/>
        <w:jc w:val="both"/>
        <w:rPr>
          <w:rFonts w:ascii="Calibri" w:eastAsiaTheme="minorHAnsi" w:hAnsi="Calibri" w:cs="Calibri"/>
          <w:color w:val="auto"/>
          <w:lang w:eastAsia="en-US"/>
        </w:rPr>
      </w:pPr>
      <w:r>
        <w:rPr>
          <w:rFonts w:ascii="Calibri" w:eastAsiaTheme="minorHAnsi" w:hAnsi="Calibri" w:cs="Calibri"/>
          <w:color w:val="auto"/>
          <w:lang w:eastAsia="en-US"/>
        </w:rPr>
        <w:t>Non, les laboratoires sont actuellement en capacité de réaliser plus de 1,6 millions de tests par semaine et cette capacité est en constante augmentation grâce aux investissements réalisés et à venir. Les fabr</w:t>
      </w:r>
      <w:r>
        <w:rPr>
          <w:rFonts w:ascii="Calibri" w:eastAsiaTheme="minorHAnsi" w:hAnsi="Calibri" w:cs="Calibri"/>
          <w:color w:val="auto"/>
          <w:lang w:eastAsia="en-US"/>
        </w:rPr>
        <w:t>icants de réactifs sont en capacité de fournir nationalement le double de tests par rapport la demande actuelle. C’est ce qu’ont indiqué cette semaine les industries du diagnostic. La capacité d’approvisionnement de la France en tests de diagnostic molécul</w:t>
      </w:r>
      <w:r>
        <w:rPr>
          <w:rFonts w:ascii="Calibri" w:eastAsiaTheme="minorHAnsi" w:hAnsi="Calibri" w:cs="Calibri"/>
          <w:color w:val="auto"/>
          <w:lang w:eastAsia="en-US"/>
        </w:rPr>
        <w:t xml:space="preserve">aire pour les deux prochains mois est donc plus de deux fois supérieure au besoin. </w:t>
      </w:r>
    </w:p>
    <w:p w:rsidR="000057DA" w:rsidRDefault="00DC4DF0">
      <w:pPr>
        <w:pStyle w:val="Titre3"/>
        <w:jc w:val="both"/>
        <w:rPr>
          <w:rFonts w:ascii="Calibri" w:hAnsi="Calibri" w:cs="Calibri"/>
          <w:color w:val="000000"/>
          <w:sz w:val="24"/>
        </w:rPr>
      </w:pPr>
      <w:r>
        <w:rPr>
          <w:rFonts w:ascii="Calibri" w:hAnsi="Calibri" w:cs="Calibri"/>
          <w:color w:val="000000"/>
          <w:sz w:val="24"/>
        </w:rPr>
        <w:t xml:space="preserve">Si je suis symptomatique, que j’ai une prescription médicale, que je suis un cas contact ou un professionnel de santé, comment puis avoir un accès prioritaire pour me faire tester ? </w:t>
      </w:r>
    </w:p>
    <w:p w:rsidR="000057DA" w:rsidRDefault="00DC4DF0">
      <w:pPr>
        <w:jc w:val="both"/>
        <w:rPr>
          <w:rFonts w:ascii="Calibri" w:hAnsi="Calibri" w:cs="Calibri"/>
          <w:sz w:val="24"/>
          <w:szCs w:val="24"/>
        </w:rPr>
      </w:pPr>
      <w:r>
        <w:rPr>
          <w:rFonts w:ascii="Calibri" w:hAnsi="Calibri" w:cs="Calibri"/>
          <w:sz w:val="24"/>
          <w:szCs w:val="24"/>
        </w:rPr>
        <w:t>Le Ministre a demandé aux laboratoires de biologie médicale de s’organise</w:t>
      </w:r>
      <w:r>
        <w:rPr>
          <w:rFonts w:ascii="Calibri" w:hAnsi="Calibri" w:cs="Calibri"/>
          <w:sz w:val="24"/>
          <w:szCs w:val="24"/>
        </w:rPr>
        <w:t>r pour réserver des plages dédiées aux personnes prioritaires et aux ARS de s’assurer de la prise en compte de cette priorisation et de sa déclinaison opérationnelle territoire par territoire, y compris en mettant en place des opérations de biologie hors l</w:t>
      </w:r>
      <w:r>
        <w:rPr>
          <w:rFonts w:ascii="Calibri" w:hAnsi="Calibri" w:cs="Calibri"/>
          <w:sz w:val="24"/>
          <w:szCs w:val="24"/>
        </w:rPr>
        <w:t>es murs – les barnum – dédiés aux personnes prioritaires quand la situation locale le nécessite. C’est pour cette raison par exemple, que 20 centres de prélèvements pour les publics prioritaires seront déployés progressivement en Ile-de-France à compter de</w:t>
      </w:r>
      <w:r>
        <w:rPr>
          <w:rFonts w:ascii="Calibri" w:hAnsi="Calibri" w:cs="Calibri"/>
          <w:sz w:val="24"/>
          <w:szCs w:val="24"/>
        </w:rPr>
        <w:t xml:space="preserve"> lundi 21 septembre en sus des 590 laboratoires qui réalisent des tests RT-PCR. Ces centres seront réservés de 8h à 14h aux publics prioritaires et pourront réaliser chacun au moins 500 PCR par jour. Ils seront installés dans des locaux très divers : caiss</w:t>
      </w:r>
      <w:r>
        <w:rPr>
          <w:rFonts w:ascii="Calibri" w:hAnsi="Calibri" w:cs="Calibri"/>
          <w:sz w:val="24"/>
          <w:szCs w:val="24"/>
        </w:rPr>
        <w:t>es de sécurité sociale, anciennes écoles, mairies, gymnases, etc. Leur localisation, qui a été discutée avec les élus, sera rendue publique dans les tous prochains jours.</w:t>
      </w:r>
    </w:p>
    <w:p w:rsidR="000057DA" w:rsidRDefault="00DC4DF0">
      <w:pPr>
        <w:pStyle w:val="Titre3"/>
        <w:rPr>
          <w:rFonts w:ascii="Calibri" w:hAnsi="Calibri" w:cs="Calibri"/>
          <w:color w:val="000000"/>
          <w:sz w:val="24"/>
        </w:rPr>
      </w:pPr>
      <w:r>
        <w:rPr>
          <w:rFonts w:ascii="Calibri" w:hAnsi="Calibri" w:cs="Calibri"/>
          <w:color w:val="000000"/>
          <w:sz w:val="24"/>
        </w:rPr>
        <w:t>Qu’est-ce qu’un test antigénique ?</w:t>
      </w:r>
    </w:p>
    <w:p w:rsidR="000057DA" w:rsidRDefault="00DC4DF0">
      <w:pPr>
        <w:jc w:val="both"/>
        <w:rPr>
          <w:rFonts w:ascii="Calibri" w:hAnsi="Calibri" w:cs="Calibri"/>
          <w:bCs/>
          <w:color w:val="000000"/>
          <w:sz w:val="24"/>
          <w:szCs w:val="24"/>
        </w:rPr>
      </w:pPr>
      <w:r>
        <w:rPr>
          <w:rFonts w:ascii="Calibri" w:hAnsi="Calibri" w:cs="Calibri"/>
          <w:bCs/>
          <w:color w:val="000000"/>
          <w:sz w:val="24"/>
          <w:szCs w:val="24"/>
        </w:rPr>
        <w:t>Un test antigénique détecte la présence du virus o</w:t>
      </w:r>
      <w:r>
        <w:rPr>
          <w:rFonts w:ascii="Calibri" w:hAnsi="Calibri" w:cs="Calibri"/>
          <w:bCs/>
          <w:color w:val="000000"/>
          <w:sz w:val="24"/>
          <w:szCs w:val="24"/>
        </w:rPr>
        <w:t xml:space="preserve">u de fragments de virus SARS-CoV-2. Comme les tests par RT-PCR, ils permettent le diagnostic précoce des maladies dès la phase aiguë. Ils répondent à la question « le patient est-il oui ou non porteur du COVID-19 ? ».  </w:t>
      </w:r>
    </w:p>
    <w:p w:rsidR="000057DA" w:rsidRDefault="00DC4DF0">
      <w:pPr>
        <w:jc w:val="both"/>
        <w:rPr>
          <w:rFonts w:ascii="Calibri" w:hAnsi="Calibri" w:cs="Calibri"/>
          <w:bCs/>
          <w:color w:val="000000"/>
          <w:sz w:val="24"/>
          <w:szCs w:val="24"/>
        </w:rPr>
      </w:pPr>
      <w:r>
        <w:rPr>
          <w:rFonts w:ascii="Calibri" w:hAnsi="Calibri" w:cs="Calibri"/>
          <w:bCs/>
          <w:color w:val="000000"/>
          <w:sz w:val="24"/>
          <w:szCs w:val="24"/>
        </w:rPr>
        <w:t>Comme le test de référence actuel, l</w:t>
      </w:r>
      <w:r>
        <w:rPr>
          <w:rFonts w:ascii="Calibri" w:hAnsi="Calibri" w:cs="Calibri"/>
          <w:bCs/>
          <w:color w:val="000000"/>
          <w:sz w:val="24"/>
          <w:szCs w:val="24"/>
        </w:rPr>
        <w:t>e RT-PCR, les tests antigéniques sont à ce jour réalisés à partir de prélèvements dans le nez, par écouvillon. Mais alors que le RT-PCR nécessite une analyse parfois de plusieurs heures en laboratoire, pour détecter le matériel génétique du coronavirus, le</w:t>
      </w:r>
      <w:r>
        <w:rPr>
          <w:rFonts w:ascii="Calibri" w:hAnsi="Calibri" w:cs="Calibri"/>
          <w:bCs/>
          <w:color w:val="000000"/>
          <w:sz w:val="24"/>
          <w:szCs w:val="24"/>
        </w:rPr>
        <w:t xml:space="preserve"> test antigénique repère des protéines du virus en moins de 30 minutes.</w:t>
      </w:r>
    </w:p>
    <w:p w:rsidR="000057DA" w:rsidRDefault="00DC4DF0">
      <w:pPr>
        <w:jc w:val="both"/>
        <w:rPr>
          <w:rFonts w:ascii="Calibri" w:hAnsi="Calibri" w:cs="Calibri"/>
          <w:bCs/>
          <w:color w:val="000000"/>
          <w:sz w:val="24"/>
          <w:szCs w:val="24"/>
        </w:rPr>
      </w:pPr>
      <w:r>
        <w:rPr>
          <w:rFonts w:ascii="Calibri" w:hAnsi="Calibri" w:cs="Calibri"/>
          <w:bCs/>
          <w:color w:val="000000"/>
          <w:sz w:val="24"/>
          <w:szCs w:val="24"/>
        </w:rPr>
        <w:lastRenderedPageBreak/>
        <w:t>L’utilisation de tests rapides antigéniques présente en théorie un triple intérêt :</w:t>
      </w:r>
    </w:p>
    <w:p w:rsidR="000057DA" w:rsidRDefault="00DC4DF0">
      <w:pPr>
        <w:pStyle w:val="Paragraphedeliste"/>
        <w:numPr>
          <w:ilvl w:val="0"/>
          <w:numId w:val="20"/>
        </w:numPr>
        <w:spacing w:line="253" w:lineRule="auto"/>
        <w:jc w:val="both"/>
        <w:rPr>
          <w:rFonts w:ascii="Calibri" w:hAnsi="Calibri" w:cs="Calibri"/>
          <w:bCs/>
          <w:color w:val="000000"/>
          <w:sz w:val="24"/>
          <w:szCs w:val="24"/>
        </w:rPr>
      </w:pPr>
      <w:r>
        <w:rPr>
          <w:rFonts w:ascii="Calibri" w:hAnsi="Calibri" w:cs="Calibri"/>
          <w:bCs/>
          <w:color w:val="000000"/>
          <w:sz w:val="24"/>
          <w:szCs w:val="24"/>
        </w:rPr>
        <w:t>Il permet de rajouter une capacité de dépistage en complément des capacités déployées dans les labor</w:t>
      </w:r>
      <w:r>
        <w:rPr>
          <w:rFonts w:ascii="Calibri" w:hAnsi="Calibri" w:cs="Calibri"/>
          <w:bCs/>
          <w:color w:val="000000"/>
          <w:sz w:val="24"/>
          <w:szCs w:val="24"/>
        </w:rPr>
        <w:t xml:space="preserve">atoires, hospitaliers ou de ville. </w:t>
      </w:r>
    </w:p>
    <w:p w:rsidR="000057DA" w:rsidRDefault="00DC4DF0">
      <w:pPr>
        <w:pStyle w:val="Paragraphedeliste"/>
        <w:numPr>
          <w:ilvl w:val="0"/>
          <w:numId w:val="20"/>
        </w:numPr>
        <w:spacing w:line="253" w:lineRule="auto"/>
        <w:jc w:val="both"/>
        <w:rPr>
          <w:rFonts w:ascii="Calibri" w:hAnsi="Calibri" w:cs="Calibri"/>
          <w:bCs/>
          <w:color w:val="000000"/>
          <w:sz w:val="24"/>
          <w:szCs w:val="24"/>
        </w:rPr>
      </w:pPr>
      <w:r>
        <w:rPr>
          <w:rFonts w:ascii="Calibri" w:hAnsi="Calibri" w:cs="Calibri"/>
          <w:bCs/>
          <w:color w:val="000000"/>
          <w:sz w:val="24"/>
          <w:szCs w:val="24"/>
        </w:rPr>
        <w:t>Il est réalisable hors laboratoire d’analyse médicale (barnums, services hospitaliers, aéroports par exemple)</w:t>
      </w:r>
    </w:p>
    <w:p w:rsidR="000057DA" w:rsidRDefault="00DC4DF0">
      <w:pPr>
        <w:pStyle w:val="Paragraphedeliste"/>
        <w:numPr>
          <w:ilvl w:val="0"/>
          <w:numId w:val="20"/>
        </w:numPr>
        <w:spacing w:line="253" w:lineRule="auto"/>
        <w:jc w:val="both"/>
        <w:rPr>
          <w:rFonts w:ascii="Calibri" w:hAnsi="Calibri" w:cs="Calibri"/>
          <w:bCs/>
          <w:color w:val="000000"/>
          <w:sz w:val="24"/>
          <w:szCs w:val="24"/>
        </w:rPr>
      </w:pPr>
      <w:r>
        <w:rPr>
          <w:rFonts w:ascii="Calibri" w:hAnsi="Calibri" w:cs="Calibri"/>
          <w:bCs/>
          <w:color w:val="000000"/>
          <w:sz w:val="24"/>
          <w:szCs w:val="24"/>
        </w:rPr>
        <w:t>Il permet de pouvoir déclencher les mesures de prévention immédiatement puisque le résultat est rendu dans les</w:t>
      </w:r>
      <w:r>
        <w:rPr>
          <w:rFonts w:ascii="Calibri" w:hAnsi="Calibri" w:cs="Calibri"/>
          <w:bCs/>
          <w:color w:val="000000"/>
          <w:sz w:val="24"/>
          <w:szCs w:val="24"/>
        </w:rPr>
        <w:t xml:space="preserve"> trente minutes.</w:t>
      </w:r>
    </w:p>
    <w:p w:rsidR="000057DA" w:rsidRDefault="00DC4DF0">
      <w:pPr>
        <w:spacing w:line="253" w:lineRule="auto"/>
        <w:jc w:val="both"/>
        <w:rPr>
          <w:rFonts w:ascii="Calibri" w:hAnsi="Calibri" w:cs="Calibri"/>
          <w:bCs/>
          <w:color w:val="000000"/>
          <w:sz w:val="24"/>
          <w:szCs w:val="24"/>
        </w:rPr>
      </w:pPr>
      <w:r>
        <w:rPr>
          <w:rFonts w:ascii="Calibri" w:hAnsi="Calibri" w:cs="Calibri"/>
          <w:bCs/>
          <w:color w:val="000000"/>
          <w:sz w:val="24"/>
          <w:szCs w:val="24"/>
        </w:rPr>
        <w:t xml:space="preserve">Cet intérêt doit être confirmé dans la pratique à la fois dans le cadre d’un déploiement progressif et sécurisé mais également au travers d’analyses régulières de la littérature et des pratiques internationales. </w:t>
      </w:r>
    </w:p>
    <w:p w:rsidR="000057DA" w:rsidRDefault="00DC4DF0">
      <w:pPr>
        <w:jc w:val="both"/>
        <w:rPr>
          <w:rFonts w:ascii="Calibri" w:hAnsi="Calibri" w:cs="Calibri"/>
          <w:bCs/>
          <w:color w:val="000000"/>
          <w:sz w:val="24"/>
          <w:szCs w:val="24"/>
        </w:rPr>
      </w:pPr>
      <w:r>
        <w:rPr>
          <w:rFonts w:ascii="Calibri" w:hAnsi="Calibri" w:cs="Calibri"/>
          <w:bCs/>
          <w:color w:val="000000"/>
          <w:sz w:val="24"/>
          <w:szCs w:val="24"/>
        </w:rPr>
        <w:t>Dans les études disponible</w:t>
      </w:r>
      <w:r>
        <w:rPr>
          <w:rFonts w:ascii="Calibri" w:hAnsi="Calibri" w:cs="Calibri"/>
          <w:bCs/>
          <w:color w:val="000000"/>
          <w:sz w:val="24"/>
          <w:szCs w:val="24"/>
        </w:rPr>
        <w:t xml:space="preserve">s, ces tests sont globalement moins sensibles que les RT-PCR. C’est la raison pour laquelle tout test positif doit être confirmé par un test diagnostique par RT-PCR. </w:t>
      </w:r>
    </w:p>
    <w:p w:rsidR="000057DA" w:rsidRDefault="00DC4DF0">
      <w:pPr>
        <w:pStyle w:val="Titre3"/>
        <w:rPr>
          <w:rFonts w:ascii="Calibri" w:hAnsi="Calibri" w:cs="Calibri"/>
          <w:color w:val="000000"/>
          <w:sz w:val="24"/>
        </w:rPr>
      </w:pPr>
      <w:r>
        <w:rPr>
          <w:rFonts w:ascii="Calibri" w:hAnsi="Calibri" w:cs="Calibri"/>
          <w:color w:val="000000"/>
          <w:sz w:val="24"/>
        </w:rPr>
        <w:t>Comment le dispositif de tests antigéniques va-t-il être déployé ?</w:t>
      </w:r>
    </w:p>
    <w:p w:rsidR="000057DA" w:rsidRDefault="00DC4DF0">
      <w:pPr>
        <w:jc w:val="both"/>
        <w:rPr>
          <w:rFonts w:ascii="Calibri" w:hAnsi="Calibri" w:cs="Calibri"/>
          <w:color w:val="000000"/>
          <w:sz w:val="24"/>
          <w:szCs w:val="24"/>
        </w:rPr>
      </w:pPr>
      <w:r>
        <w:rPr>
          <w:rFonts w:ascii="Calibri" w:hAnsi="Calibri" w:cs="Calibri"/>
          <w:color w:val="000000"/>
          <w:sz w:val="24"/>
          <w:szCs w:val="24"/>
        </w:rPr>
        <w:t>Plusieurs de ces tests</w:t>
      </w:r>
      <w:r>
        <w:rPr>
          <w:rFonts w:ascii="Calibri" w:hAnsi="Calibri" w:cs="Calibri"/>
          <w:color w:val="000000"/>
          <w:sz w:val="24"/>
          <w:szCs w:val="24"/>
        </w:rPr>
        <w:t xml:space="preserve"> ont obtenu des marquages CE. Le Ministre des Solidarités et de la Santé a pris un arrêté le 16 septembre pour autoriser le déploiement de ces tests antigéniques en dehors des laboratoires de biologie médicale sur tout le territoire français dans le cadre </w:t>
      </w:r>
      <w:r>
        <w:rPr>
          <w:rFonts w:ascii="Calibri" w:hAnsi="Calibri" w:cs="Calibri"/>
          <w:color w:val="000000"/>
          <w:sz w:val="24"/>
          <w:szCs w:val="24"/>
        </w:rPr>
        <w:t>d’opérations de dépistage massif à l’initiative des ARS et autorisées par le ministère de la santé. Il s’agit d’un déploiement organisé et structuré permettant de récolter des données en vie réelle. L’AP-HP, en lien avec l’ARS IDF, sera le premier établiss</w:t>
      </w:r>
      <w:r>
        <w:rPr>
          <w:rFonts w:ascii="Calibri" w:hAnsi="Calibri" w:cs="Calibri"/>
          <w:color w:val="000000"/>
          <w:sz w:val="24"/>
          <w:szCs w:val="24"/>
        </w:rPr>
        <w:t>ement à se lancer dans ce déploiement notamment au niveau des aéroports et des étudiants en santé. Ce déploiement encadré permettra de récolter des données et, après l’avis des autorités scientifiques, d’envisager un déploiement généralisé de ces tests ant</w:t>
      </w:r>
      <w:r>
        <w:rPr>
          <w:rFonts w:ascii="Calibri" w:hAnsi="Calibri" w:cs="Calibri"/>
          <w:color w:val="000000"/>
          <w:sz w:val="24"/>
          <w:szCs w:val="24"/>
        </w:rPr>
        <w:t>igéniques dans les prochaines semaines.</w:t>
      </w:r>
    </w:p>
    <w:p w:rsidR="000057DA" w:rsidRDefault="00DC4DF0">
      <w:pPr>
        <w:jc w:val="both"/>
        <w:rPr>
          <w:rFonts w:ascii="Calibri" w:hAnsi="Calibri" w:cs="Calibri"/>
          <w:color w:val="000000"/>
          <w:sz w:val="24"/>
          <w:szCs w:val="24"/>
        </w:rPr>
      </w:pPr>
      <w:r>
        <w:rPr>
          <w:rFonts w:ascii="Calibri" w:hAnsi="Calibri" w:cs="Calibri"/>
          <w:color w:val="000000"/>
          <w:sz w:val="24"/>
          <w:szCs w:val="24"/>
        </w:rPr>
        <w:t>Sans attendre, les autorités sanitaires ont d’ores et déjà passé ou fait passer des premières commandes à hauteur de 5 millions de tests. Ces éléments nous permettront de déterminer d’ici à début octobre une stratégi</w:t>
      </w:r>
      <w:r>
        <w:rPr>
          <w:rFonts w:ascii="Calibri" w:hAnsi="Calibri" w:cs="Calibri"/>
          <w:color w:val="000000"/>
          <w:sz w:val="24"/>
          <w:szCs w:val="24"/>
        </w:rPr>
        <w:t xml:space="preserve">e nationale de déploiement. </w:t>
      </w:r>
    </w:p>
    <w:p w:rsidR="000057DA" w:rsidRDefault="00DC4DF0">
      <w:pPr>
        <w:pStyle w:val="Titre3"/>
        <w:rPr>
          <w:rFonts w:ascii="Calibri" w:hAnsi="Calibri" w:cs="Calibri"/>
          <w:color w:val="000000"/>
          <w:sz w:val="24"/>
        </w:rPr>
      </w:pPr>
      <w:r>
        <w:rPr>
          <w:rFonts w:ascii="Calibri" w:hAnsi="Calibri" w:cs="Calibri"/>
          <w:color w:val="000000"/>
          <w:sz w:val="24"/>
        </w:rPr>
        <w:t>Où en est-on du développement des tests salivaires ?</w:t>
      </w:r>
    </w:p>
    <w:p w:rsidR="000057DA" w:rsidRDefault="00DC4DF0">
      <w:pPr>
        <w:jc w:val="both"/>
        <w:rPr>
          <w:rFonts w:ascii="Calibri" w:hAnsi="Calibri" w:cs="Calibri"/>
          <w:bCs/>
          <w:color w:val="000000"/>
          <w:sz w:val="24"/>
          <w:szCs w:val="24"/>
        </w:rPr>
      </w:pPr>
      <w:r>
        <w:rPr>
          <w:rFonts w:ascii="Calibri" w:hAnsi="Calibri" w:cs="Calibri"/>
          <w:bCs/>
          <w:color w:val="000000"/>
          <w:sz w:val="24"/>
          <w:szCs w:val="24"/>
        </w:rPr>
        <w:t xml:space="preserve">Une étude nommée COVISAL se déroule en Guyane : elle a pour objectif de tester la performance du prélèvement salivaire. En parallèle, l’AP-HP a construit un projet de </w:t>
      </w:r>
      <w:r>
        <w:rPr>
          <w:rFonts w:ascii="Calibri" w:hAnsi="Calibri" w:cs="Calibri"/>
          <w:bCs/>
          <w:color w:val="000000"/>
          <w:sz w:val="24"/>
          <w:szCs w:val="24"/>
        </w:rPr>
        <w:t>recherche multi-bras intitulé « SALICOV » doit démarrer au mois de septembre. </w:t>
      </w:r>
    </w:p>
    <w:p w:rsidR="000057DA" w:rsidRDefault="00DC4DF0">
      <w:pPr>
        <w:jc w:val="both"/>
        <w:rPr>
          <w:rFonts w:ascii="Calibri" w:hAnsi="Calibri" w:cs="Calibri"/>
          <w:bCs/>
          <w:color w:val="000000"/>
          <w:sz w:val="24"/>
          <w:szCs w:val="24"/>
        </w:rPr>
      </w:pPr>
      <w:r>
        <w:rPr>
          <w:rFonts w:ascii="Calibri" w:hAnsi="Calibri" w:cs="Calibri"/>
          <w:bCs/>
          <w:color w:val="000000"/>
          <w:sz w:val="24"/>
          <w:szCs w:val="24"/>
        </w:rPr>
        <w:t>Une fois autorisée, cette étude se déroulera en parallèle de l’étude COVISAL qui a bien pour objectif d’évaluer l’intérêt et la fiabilité du prélèvement salivaire par analyse co</w:t>
      </w:r>
      <w:r>
        <w:rPr>
          <w:rFonts w:ascii="Calibri" w:hAnsi="Calibri" w:cs="Calibri"/>
          <w:bCs/>
          <w:color w:val="000000"/>
          <w:sz w:val="24"/>
          <w:szCs w:val="24"/>
        </w:rPr>
        <w:t>mparative en PCR de la charge virale nasopharyngée et salivaire. Cette étude vise également la constitution d’une biothèque congelée (couple nasopharynx/salive) environ 2 à 3 aliquots de 100 µl de chaque. L’étude SALICOV aura elle pour objectif de tester e</w:t>
      </w:r>
      <w:r>
        <w:rPr>
          <w:rFonts w:ascii="Calibri" w:hAnsi="Calibri" w:cs="Calibri"/>
          <w:bCs/>
          <w:color w:val="000000"/>
          <w:sz w:val="24"/>
          <w:szCs w:val="24"/>
        </w:rPr>
        <w:t>n vie réelle différents tests salivaires disponibles et/ou à venir en situation de dépistage et en particulier de tester des dispositifs « point of care » sur crachats salivaires frais contre la référence PCR nasopharyngée. Cette étude doit également perme</w:t>
      </w:r>
      <w:r>
        <w:rPr>
          <w:rFonts w:ascii="Calibri" w:hAnsi="Calibri" w:cs="Calibri"/>
          <w:bCs/>
          <w:color w:val="000000"/>
          <w:sz w:val="24"/>
          <w:szCs w:val="24"/>
        </w:rPr>
        <w:t>ttre de constituer une biothèque de salive congelée au centre de ressources biologiques de l’hôpital Cochin.</w:t>
      </w:r>
    </w:p>
    <w:p w:rsidR="000057DA" w:rsidRDefault="00DC4DF0">
      <w:pPr>
        <w:pStyle w:val="Textebrut"/>
        <w:jc w:val="both"/>
        <w:rPr>
          <w:rFonts w:cs="Calibri"/>
          <w:color w:val="000000"/>
          <w:sz w:val="24"/>
          <w:szCs w:val="24"/>
        </w:rPr>
      </w:pPr>
      <w:r>
        <w:rPr>
          <w:rFonts w:cs="Calibri"/>
          <w:bCs/>
          <w:color w:val="000000"/>
          <w:sz w:val="24"/>
          <w:szCs w:val="24"/>
        </w:rPr>
        <w:lastRenderedPageBreak/>
        <w:t>Enfin, concernant les tests « rapides » de dépistage salivaires EASYCOV, un protocole de recherche est en cours au CHU de Montpellier. L’objectif p</w:t>
      </w:r>
      <w:r>
        <w:rPr>
          <w:rFonts w:cs="Calibri"/>
          <w:bCs/>
          <w:color w:val="000000"/>
          <w:sz w:val="24"/>
          <w:szCs w:val="24"/>
        </w:rPr>
        <w:t xml:space="preserve">rincipal est de comparer la sensibilité du tests EASYCOV salivaire à la PCR-NP. A ce stade, les discussions sur les aspects techniques et méthodologique de cette demande ne sont pas finalisés mais le test EASYCOV est listé dans les tests à évaluer dans le </w:t>
      </w:r>
      <w:r>
        <w:rPr>
          <w:rFonts w:cs="Calibri"/>
          <w:bCs/>
          <w:color w:val="000000"/>
          <w:sz w:val="24"/>
          <w:szCs w:val="24"/>
        </w:rPr>
        <w:t xml:space="preserve">cadre de SALICOV afin d’augmenter les inclusions permettant de tester cette technique. </w:t>
      </w:r>
    </w:p>
    <w:p w:rsidR="000057DA" w:rsidRDefault="000057DA">
      <w:pPr>
        <w:rPr>
          <w:rFonts w:ascii="Calibri" w:hAnsi="Calibri" w:cs="Calibri"/>
          <w:sz w:val="24"/>
          <w:szCs w:val="24"/>
        </w:rPr>
      </w:pPr>
    </w:p>
    <w:p w:rsidR="000057DA" w:rsidRDefault="00DC4DF0">
      <w:pPr>
        <w:jc w:val="both"/>
        <w:rPr>
          <w:rFonts w:ascii="Calibri" w:hAnsi="Calibri" w:cs="Calibri"/>
          <w:b/>
          <w:bCs/>
          <w:sz w:val="24"/>
          <w:szCs w:val="24"/>
        </w:rPr>
      </w:pPr>
      <w:r>
        <w:rPr>
          <w:rFonts w:ascii="Calibri" w:hAnsi="Calibri" w:cs="Calibri"/>
          <w:b/>
          <w:bCs/>
          <w:sz w:val="24"/>
          <w:szCs w:val="24"/>
        </w:rPr>
        <w:t xml:space="preserve">Une stratégie de priorisation pour les tests est-elle déployée dans les EHPAD ? </w:t>
      </w:r>
    </w:p>
    <w:p w:rsidR="000057DA" w:rsidRDefault="00DC4DF0">
      <w:pPr>
        <w:jc w:val="both"/>
        <w:rPr>
          <w:rFonts w:ascii="Calibri" w:hAnsi="Calibri" w:cs="Calibri"/>
          <w:sz w:val="24"/>
          <w:szCs w:val="24"/>
        </w:rPr>
      </w:pPr>
      <w:r>
        <w:rPr>
          <w:rFonts w:ascii="Calibri" w:hAnsi="Calibri" w:cs="Calibri"/>
          <w:sz w:val="24"/>
          <w:szCs w:val="24"/>
        </w:rPr>
        <w:t>Une circulaire a été envoyée par le Ministère de la Santé qui prévoit « de vérifier qu</w:t>
      </w:r>
      <w:r>
        <w:rPr>
          <w:rFonts w:ascii="Calibri" w:hAnsi="Calibri" w:cs="Calibri"/>
          <w:sz w:val="24"/>
          <w:szCs w:val="24"/>
        </w:rPr>
        <w:t>e chaque EHPAD mette en place en son sein une organisation dédiée à la réalisation des prélèvements (désignation d’un professionnel de santé référent, actions de formation des aides-soignants), puisse mobiliser, en tant que de besoin, des ressources extern</w:t>
      </w:r>
      <w:r>
        <w:rPr>
          <w:rFonts w:ascii="Calibri" w:hAnsi="Calibri" w:cs="Calibri"/>
          <w:sz w:val="24"/>
          <w:szCs w:val="24"/>
        </w:rPr>
        <w:t>es pour former ses professionnels et / ou pour réaliser les prélèvements (en lien par exemple avec les Unions régionales des professionnels de santé, et en activant si nécessaire les modalités dérogatoires de rémunération des professionnels libéraux interv</w:t>
      </w:r>
      <w:r>
        <w:rPr>
          <w:rFonts w:ascii="Calibri" w:hAnsi="Calibri" w:cs="Calibri"/>
          <w:sz w:val="24"/>
          <w:szCs w:val="24"/>
        </w:rPr>
        <w:t>enant en EHPAD) et avoir accès à un plateau technique pour faire analyser les prélèvements. Dans la mesure du possible, les prélèvements devront être effectués au sein de l’EHPAD et adressés à un laboratoire en capacité de rendre des résultats dans les 24h</w:t>
      </w:r>
      <w:r>
        <w:rPr>
          <w:rFonts w:ascii="Calibri" w:hAnsi="Calibri" w:cs="Calibri"/>
          <w:sz w:val="24"/>
          <w:szCs w:val="24"/>
        </w:rPr>
        <w:t xml:space="preserve">. La participation des laboratoires hospitaliers devra être privilégiée ». Pour rappel, les professionnels de santé exerçant en établissement de santé ou en établissement médico-social doivent avoir accès un test au sein de leur structure de rattachement. </w:t>
      </w:r>
    </w:p>
    <w:p w:rsidR="000057DA" w:rsidRDefault="000057DA">
      <w:pPr>
        <w:rPr>
          <w:rFonts w:ascii="Calibri" w:hAnsi="Calibri" w:cs="Calibri"/>
          <w:sz w:val="24"/>
          <w:szCs w:val="24"/>
        </w:rPr>
      </w:pPr>
    </w:p>
    <w:p w:rsidR="000057DA" w:rsidRDefault="00DC4DF0">
      <w:pPr>
        <w:pStyle w:val="Paragraphedeliste"/>
        <w:numPr>
          <w:ilvl w:val="0"/>
          <w:numId w:val="1"/>
        </w:numPr>
        <w:rPr>
          <w:rFonts w:ascii="Calibri" w:hAnsi="Calibri" w:cs="Calibri"/>
          <w:b/>
          <w:sz w:val="24"/>
          <w:szCs w:val="24"/>
          <w:u w:val="single"/>
        </w:rPr>
      </w:pPr>
      <w:r>
        <w:rPr>
          <w:rFonts w:ascii="Calibri" w:hAnsi="Calibri" w:cs="Calibri"/>
          <w:b/>
          <w:sz w:val="24"/>
          <w:szCs w:val="24"/>
          <w:u w:val="single"/>
        </w:rPr>
        <w:t>ISOLEMENT</w:t>
      </w:r>
    </w:p>
    <w:p w:rsidR="000057DA" w:rsidRDefault="00DC4DF0">
      <w:pPr>
        <w:jc w:val="both"/>
        <w:rPr>
          <w:rFonts w:ascii="Calibri" w:hAnsi="Calibri" w:cs="Calibri"/>
          <w:b/>
          <w:sz w:val="24"/>
          <w:szCs w:val="24"/>
        </w:rPr>
      </w:pPr>
      <w:r>
        <w:rPr>
          <w:rFonts w:ascii="Calibri" w:hAnsi="Calibri" w:cs="Calibri"/>
          <w:b/>
          <w:sz w:val="24"/>
          <w:szCs w:val="24"/>
        </w:rPr>
        <w:t>Avez-vous des données objectives qui démontrent le non-respect de la période d’isolement par les Français ?</w:t>
      </w:r>
    </w:p>
    <w:p w:rsidR="000057DA" w:rsidRDefault="00DC4DF0">
      <w:pPr>
        <w:jc w:val="both"/>
        <w:rPr>
          <w:rFonts w:ascii="Calibri" w:hAnsi="Calibri" w:cs="Calibri"/>
          <w:sz w:val="24"/>
          <w:szCs w:val="24"/>
        </w:rPr>
      </w:pPr>
      <w:r>
        <w:rPr>
          <w:rFonts w:ascii="Calibri" w:hAnsi="Calibri" w:cs="Calibri"/>
          <w:sz w:val="24"/>
          <w:szCs w:val="24"/>
        </w:rPr>
        <w:t xml:space="preserve">La volonté de mieux faire respecter l’isolement s’appuie en effet sur des remontées du terrain. </w:t>
      </w:r>
      <w:r>
        <w:rPr>
          <w:rFonts w:ascii="Calibri" w:hAnsi="Calibri" w:cs="Calibri"/>
          <w:sz w:val="24"/>
          <w:szCs w:val="24"/>
        </w:rPr>
        <w:t>Une enquête flash a été réalisée auprès des ARS au cours de l’été. Début août, les ARS ont ainsi constaté une augmentation du refus de suivi des cas et des personnes contacts à risque ainsi qu’une augmentation du nombre de personnes impossibles à joindre d</w:t>
      </w:r>
      <w:r>
        <w:rPr>
          <w:rFonts w:ascii="Calibri" w:hAnsi="Calibri" w:cs="Calibri"/>
          <w:sz w:val="24"/>
          <w:szCs w:val="24"/>
        </w:rPr>
        <w:t>ans plusieurs régions. Ce dernier point peut être expliqué par la période estivale qui implique de nombreux départs en vacances, mais les ARS notent également des refus de la part des cas à transmettre les listes de personnes contacts à risque, rendant dif</w:t>
      </w:r>
      <w:r>
        <w:rPr>
          <w:rFonts w:ascii="Calibri" w:hAnsi="Calibri" w:cs="Calibri"/>
          <w:sz w:val="24"/>
          <w:szCs w:val="24"/>
        </w:rPr>
        <w:t xml:space="preserve">ficile le contact-tracing. </w:t>
      </w:r>
    </w:p>
    <w:p w:rsidR="000057DA" w:rsidRDefault="00DC4DF0">
      <w:pPr>
        <w:jc w:val="both"/>
        <w:rPr>
          <w:rFonts w:ascii="Calibri" w:hAnsi="Calibri" w:cs="Calibri"/>
          <w:b/>
          <w:bCs/>
          <w:sz w:val="24"/>
          <w:szCs w:val="24"/>
        </w:rPr>
      </w:pPr>
      <w:r>
        <w:rPr>
          <w:rFonts w:ascii="Calibri" w:hAnsi="Calibri" w:cs="Calibri"/>
          <w:b/>
          <w:bCs/>
          <w:sz w:val="24"/>
          <w:szCs w:val="24"/>
        </w:rPr>
        <w:t xml:space="preserve">Que répond la France aux déclarations de l’OMS qui réprouve la réduction de la quarantaine ? </w:t>
      </w:r>
    </w:p>
    <w:p w:rsidR="000057DA" w:rsidRDefault="00DC4DF0">
      <w:pPr>
        <w:jc w:val="both"/>
        <w:rPr>
          <w:rFonts w:ascii="Calibri" w:hAnsi="Calibri" w:cs="Calibri"/>
          <w:sz w:val="24"/>
          <w:szCs w:val="24"/>
        </w:rPr>
      </w:pPr>
      <w:r>
        <w:rPr>
          <w:rFonts w:ascii="Calibri" w:hAnsi="Calibri" w:cs="Calibri"/>
          <w:sz w:val="24"/>
          <w:szCs w:val="24"/>
        </w:rPr>
        <w:t>Alors que nous constatons un relâchement des mesures d’isolement dans la population (cf question précédente), la France a décidé d’ada</w:t>
      </w:r>
      <w:r>
        <w:rPr>
          <w:rFonts w:ascii="Calibri" w:hAnsi="Calibri" w:cs="Calibri"/>
          <w:sz w:val="24"/>
          <w:szCs w:val="24"/>
        </w:rPr>
        <w:t>pter la stratégie d’isolement de façon pragmatique : mieux vaut une quarantaine de 7 jours bien menée que 14 jours non respectée. Des taux de non-respect de la mesure supérieur à 40% ont en effet été constaté dans plusieurs régions. Le Gouvernement se fond</w:t>
      </w:r>
      <w:r>
        <w:rPr>
          <w:rFonts w:ascii="Calibri" w:hAnsi="Calibri" w:cs="Calibri"/>
          <w:sz w:val="24"/>
          <w:szCs w:val="24"/>
        </w:rPr>
        <w:t xml:space="preserve">e sur un avis du Conseil scientifique sur le sujet. Il en ressort, sur la base d’articles scientifiques, que 80% des personnes avaient développées des </w:t>
      </w:r>
      <w:r>
        <w:rPr>
          <w:rFonts w:ascii="Calibri" w:hAnsi="Calibri" w:cs="Calibri"/>
          <w:sz w:val="24"/>
          <w:szCs w:val="24"/>
        </w:rPr>
        <w:lastRenderedPageBreak/>
        <w:t>symptômes au bout de 7 jours. La médiane du délai d’incubation (50% des gens qui ont développé des symptô</w:t>
      </w:r>
      <w:r>
        <w:rPr>
          <w:rFonts w:ascii="Calibri" w:hAnsi="Calibri" w:cs="Calibri"/>
          <w:sz w:val="24"/>
          <w:szCs w:val="24"/>
        </w:rPr>
        <w:t xml:space="preserve">mes) est estimée à 5 jours. En réduisant la durée d’isolement et en faisant en sorte qu’il soit mieux respecté, la France répond à la nécessité de briser rapidement et efficacement les chaînes de contamination. </w:t>
      </w:r>
    </w:p>
    <w:p w:rsidR="000057DA" w:rsidRDefault="00DC4DF0">
      <w:pPr>
        <w:jc w:val="both"/>
        <w:rPr>
          <w:rFonts w:ascii="Calibri" w:hAnsi="Calibri" w:cs="Calibri"/>
          <w:b/>
          <w:bCs/>
          <w:sz w:val="24"/>
          <w:szCs w:val="24"/>
        </w:rPr>
      </w:pPr>
      <w:r>
        <w:rPr>
          <w:rFonts w:ascii="Calibri" w:hAnsi="Calibri" w:cs="Calibri"/>
          <w:b/>
          <w:bCs/>
          <w:sz w:val="24"/>
          <w:szCs w:val="24"/>
        </w:rPr>
        <w:t>Sur quoi se base la décision de la France de</w:t>
      </w:r>
      <w:r>
        <w:rPr>
          <w:rFonts w:ascii="Calibri" w:hAnsi="Calibri" w:cs="Calibri"/>
          <w:b/>
          <w:bCs/>
          <w:sz w:val="24"/>
          <w:szCs w:val="24"/>
        </w:rPr>
        <w:t xml:space="preserve"> réduire la durée de l’isolement ? </w:t>
      </w:r>
    </w:p>
    <w:p w:rsidR="000057DA" w:rsidRDefault="00DC4DF0">
      <w:pPr>
        <w:jc w:val="both"/>
        <w:rPr>
          <w:rFonts w:ascii="Calibri" w:hAnsi="Calibri" w:cs="Calibri"/>
          <w:sz w:val="24"/>
          <w:szCs w:val="24"/>
        </w:rPr>
      </w:pPr>
      <w:r>
        <w:rPr>
          <w:rFonts w:ascii="Calibri" w:hAnsi="Calibri" w:cs="Calibri"/>
          <w:sz w:val="24"/>
          <w:szCs w:val="24"/>
        </w:rPr>
        <w:t>Cette décision se base sur l’avis du Conseil Scientifique du 3 septembre 2020, qui formule des préconisations sur l’adaptation du dispositif d’isolement et explique qu’en harmonisant la durée d’isolement, nous renforçons</w:t>
      </w:r>
      <w:r>
        <w:rPr>
          <w:rFonts w:ascii="Calibri" w:hAnsi="Calibri" w:cs="Calibri"/>
          <w:sz w:val="24"/>
          <w:szCs w:val="24"/>
        </w:rPr>
        <w:t xml:space="preserve"> également la compréhension et donc l’adhésion à l’isolement. Cette doctrine est également appuyée sur des faits scientifiques bien établis concernant la COVID-19. D’après les données scientifiques disponibles, la très large majorité des infections est sur</w:t>
      </w:r>
      <w:r>
        <w:rPr>
          <w:rFonts w:ascii="Calibri" w:hAnsi="Calibri" w:cs="Calibri"/>
          <w:sz w:val="24"/>
          <w:szCs w:val="24"/>
        </w:rPr>
        <w:t>venue dans les 7 jours qui suivent le contact avec le cas confirmé. Cela est d’ailleurs confirmé par les connaissances acquises sur la transmission de la maladie par les personnes infectées : elle débute 48h avant le début des signes, est maximale à l’appa</w:t>
      </w:r>
      <w:r>
        <w:rPr>
          <w:rFonts w:ascii="Calibri" w:hAnsi="Calibri" w:cs="Calibri"/>
          <w:sz w:val="24"/>
          <w:szCs w:val="24"/>
        </w:rPr>
        <w:t>rition de ceux-ci puis décline jusqu’à J7. Au-delà, des tests positifs peuvent être observés, mais chez les personnes qui ne sont plus symptomatiques, cela traduit la plupart du temps une excrétion non infectieuse.</w:t>
      </w:r>
    </w:p>
    <w:p w:rsidR="000057DA" w:rsidRDefault="00DC4DF0">
      <w:pPr>
        <w:jc w:val="both"/>
        <w:rPr>
          <w:rFonts w:ascii="Calibri" w:hAnsi="Calibri" w:cs="Calibri"/>
          <w:sz w:val="24"/>
          <w:szCs w:val="24"/>
        </w:rPr>
      </w:pPr>
      <w:r>
        <w:rPr>
          <w:rFonts w:ascii="Calibri" w:hAnsi="Calibri" w:cs="Calibri"/>
          <w:sz w:val="24"/>
          <w:szCs w:val="24"/>
        </w:rPr>
        <w:t>Par ailleurs, il faut être précis : la ré</w:t>
      </w:r>
      <w:r>
        <w:rPr>
          <w:rFonts w:ascii="Calibri" w:hAnsi="Calibri" w:cs="Calibri"/>
          <w:sz w:val="24"/>
          <w:szCs w:val="24"/>
        </w:rPr>
        <w:t>duction de l’isolement à 7 jours ne signifie pas que tout le monde est autorisé à sortir au bout de 7 jours. En effet, il faut pouvoir fournir un test RT-PCR négatif afin de lever l’isolement (pour plus d’informations, voir la FAQ « isolement » du 11 septe</w:t>
      </w:r>
      <w:r>
        <w:rPr>
          <w:rFonts w:ascii="Calibri" w:hAnsi="Calibri" w:cs="Calibri"/>
          <w:sz w:val="24"/>
          <w:szCs w:val="24"/>
        </w:rPr>
        <w:t>mbre). Pour les 7 jours suivants la période d’isolement, les personnes contacts doivent également respecter rigoureusement les mesures et maintenir une limitation des contacts notamment avec les personnes à risque de forme grave.</w:t>
      </w:r>
    </w:p>
    <w:p w:rsidR="000057DA" w:rsidRDefault="00DC4DF0">
      <w:pPr>
        <w:jc w:val="both"/>
        <w:rPr>
          <w:rFonts w:ascii="Calibri" w:hAnsi="Calibri" w:cs="Calibri"/>
          <w:i/>
          <w:iCs/>
          <w:sz w:val="24"/>
          <w:szCs w:val="24"/>
        </w:rPr>
      </w:pPr>
      <w:r>
        <w:rPr>
          <w:rFonts w:ascii="Calibri" w:hAnsi="Calibri" w:cs="Calibri"/>
          <w:b/>
          <w:bCs/>
          <w:sz w:val="24"/>
          <w:szCs w:val="24"/>
        </w:rPr>
        <w:t xml:space="preserve">D’autres pays ont-ils </w:t>
      </w:r>
      <w:r>
        <w:rPr>
          <w:rFonts w:ascii="Calibri" w:hAnsi="Calibri" w:cs="Calibri"/>
          <w:b/>
          <w:bCs/>
          <w:sz w:val="24"/>
          <w:szCs w:val="24"/>
        </w:rPr>
        <w:t>également réduit la durée d’isolement, comme la France</w:t>
      </w:r>
      <w:r>
        <w:rPr>
          <w:rFonts w:ascii="Calibri" w:hAnsi="Calibri" w:cs="Calibri"/>
          <w:i/>
          <w:iCs/>
          <w:sz w:val="24"/>
          <w:szCs w:val="24"/>
        </w:rPr>
        <w:t xml:space="preserve"> ? </w:t>
      </w:r>
    </w:p>
    <w:p w:rsidR="000057DA" w:rsidRDefault="00DC4DF0">
      <w:pPr>
        <w:jc w:val="both"/>
        <w:rPr>
          <w:rFonts w:ascii="Calibri" w:hAnsi="Calibri" w:cs="Calibri"/>
          <w:sz w:val="24"/>
          <w:szCs w:val="24"/>
        </w:rPr>
      </w:pPr>
      <w:r>
        <w:rPr>
          <w:rFonts w:ascii="Calibri" w:hAnsi="Calibri" w:cs="Calibri"/>
          <w:sz w:val="24"/>
          <w:szCs w:val="24"/>
        </w:rPr>
        <w:t>Elle est de 10 jours au Royaume-Uni et en Irlande et plusieurs pays européens, comme le Portugal et la Croatie, envisagent actuellement de la réduire.</w:t>
      </w:r>
    </w:p>
    <w:p w:rsidR="000057DA" w:rsidRDefault="00DC4DF0">
      <w:pPr>
        <w:jc w:val="both"/>
        <w:rPr>
          <w:rFonts w:ascii="Calibri" w:hAnsi="Calibri" w:cs="Calibri"/>
          <w:b/>
          <w:bCs/>
          <w:sz w:val="24"/>
          <w:szCs w:val="24"/>
        </w:rPr>
      </w:pPr>
      <w:r>
        <w:rPr>
          <w:rFonts w:ascii="Calibri" w:hAnsi="Calibri" w:cs="Calibri"/>
          <w:b/>
          <w:bCs/>
          <w:sz w:val="24"/>
          <w:szCs w:val="24"/>
        </w:rPr>
        <w:t>La France va-t-elle annuler les mesures de rédu</w:t>
      </w:r>
      <w:r>
        <w:rPr>
          <w:rFonts w:ascii="Calibri" w:hAnsi="Calibri" w:cs="Calibri"/>
          <w:b/>
          <w:bCs/>
          <w:sz w:val="24"/>
          <w:szCs w:val="24"/>
        </w:rPr>
        <w:t xml:space="preserve">ction de l’isolement annoncées vendredi dernier ? </w:t>
      </w:r>
    </w:p>
    <w:p w:rsidR="000057DA" w:rsidRDefault="00DC4DF0">
      <w:pPr>
        <w:jc w:val="both"/>
        <w:rPr>
          <w:rFonts w:ascii="Calibri" w:hAnsi="Calibri" w:cs="Calibri"/>
          <w:sz w:val="24"/>
          <w:szCs w:val="24"/>
        </w:rPr>
      </w:pPr>
      <w:r>
        <w:rPr>
          <w:rFonts w:ascii="Calibri" w:hAnsi="Calibri" w:cs="Calibri"/>
          <w:sz w:val="24"/>
          <w:szCs w:val="24"/>
        </w:rPr>
        <w:t>Il n’est pas envisagé d’annuler les mesures de réduction de l’isolement pour les personne contacts annoncées étant données qu’elles sont très récentes. Une attention particulière sera apportée à l’évaluati</w:t>
      </w:r>
      <w:r>
        <w:rPr>
          <w:rFonts w:ascii="Calibri" w:hAnsi="Calibri" w:cs="Calibri"/>
          <w:sz w:val="24"/>
          <w:szCs w:val="24"/>
        </w:rPr>
        <w:t>on du dispositif d’isolement, notamment dans l’évolution de son respect et la compréhension du grand public de son importance. Tout nouvel élément de connaissance scientifique sera intégré dans cette réévaluation périodique du dispositif.</w:t>
      </w:r>
    </w:p>
    <w:p w:rsidR="000057DA" w:rsidRDefault="000057DA">
      <w:pPr>
        <w:rPr>
          <w:rFonts w:ascii="Calibri" w:hAnsi="Calibri" w:cs="Calibri"/>
          <w:b/>
          <w:bCs/>
          <w:sz w:val="24"/>
          <w:szCs w:val="24"/>
        </w:rPr>
      </w:pPr>
    </w:p>
    <w:p w:rsidR="000057DA" w:rsidRDefault="000057DA">
      <w:pPr>
        <w:rPr>
          <w:rFonts w:ascii="Calibri" w:hAnsi="Calibri" w:cs="Calibri"/>
          <w:b/>
          <w:bCs/>
          <w:sz w:val="24"/>
          <w:szCs w:val="24"/>
        </w:rPr>
      </w:pPr>
      <w:bookmarkStart w:id="0" w:name="_GoBack"/>
      <w:bookmarkEnd w:id="0"/>
    </w:p>
    <w:sectPr w:rsidR="000057D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DC4DF0">
      <w:pPr>
        <w:spacing w:after="0" w:line="240" w:lineRule="auto"/>
      </w:pPr>
      <w:r>
        <w:separator/>
      </w:r>
    </w:p>
  </w:endnote>
  <w:endnote w:type="continuationSeparator" w:id="0">
    <w:p w:rsidR="00000000" w:rsidRDefault="00DC4D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Liberation Serif">
    <w:panose1 w:val="02020603050405020304"/>
    <w:charset w:val="00"/>
    <w:family w:val="roman"/>
    <w:pitch w:val="variable"/>
    <w:sig w:usb0="E0000AFF" w:usb1="500078FF" w:usb2="00000021" w:usb3="00000000" w:csb0="000001B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DC4DF0">
      <w:pPr>
        <w:spacing w:after="0" w:line="240" w:lineRule="auto"/>
      </w:pPr>
      <w:r>
        <w:separator/>
      </w:r>
    </w:p>
  </w:footnote>
  <w:footnote w:type="continuationSeparator" w:id="0">
    <w:p w:rsidR="00000000" w:rsidRDefault="00DC4DF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multiLevelType w:val="hybridMultilevel"/>
    <w:tmpl w:val="52D4229E"/>
    <w:lvl w:ilvl="0" w:tplc="711CB44C">
      <w:start w:val="63"/>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0000001"/>
    <w:multiLevelType w:val="hybridMultilevel"/>
    <w:tmpl w:val="FF224B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0000002"/>
    <w:multiLevelType w:val="hybridMultilevel"/>
    <w:tmpl w:val="06AC31BC"/>
    <w:lvl w:ilvl="0" w:tplc="D0EA2B08">
      <w:start w:val="1"/>
      <w:numFmt w:val="bullet"/>
      <w:lvlText w:val=""/>
      <w:lvlJc w:val="left"/>
      <w:pPr>
        <w:ind w:left="720" w:hanging="360"/>
      </w:pPr>
      <w:rPr>
        <w:rFonts w:ascii="Symbol" w:hAnsi="Symbol" w:hint="default"/>
        <w:spacing w:val="16"/>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15:restartNumberingAfterBreak="0">
    <w:nsid w:val="00000003"/>
    <w:multiLevelType w:val="hybridMultilevel"/>
    <w:tmpl w:val="4CBE9D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0000004"/>
    <w:multiLevelType w:val="hybridMultilevel"/>
    <w:tmpl w:val="23F84CD4"/>
    <w:lvl w:ilvl="0" w:tplc="D90E866A">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00000005"/>
    <w:multiLevelType w:val="hybridMultilevel"/>
    <w:tmpl w:val="75E45108"/>
    <w:lvl w:ilvl="0" w:tplc="626E716A">
      <w:start w:val="1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0000006"/>
    <w:multiLevelType w:val="hybridMultilevel"/>
    <w:tmpl w:val="A5DA114A"/>
    <w:lvl w:ilvl="0" w:tplc="4B78ADF2">
      <w:start w:val="1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00000007"/>
    <w:multiLevelType w:val="hybridMultilevel"/>
    <w:tmpl w:val="C49C100C"/>
    <w:lvl w:ilvl="0" w:tplc="040C0007">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00000008"/>
    <w:multiLevelType w:val="hybridMultilevel"/>
    <w:tmpl w:val="73864AD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00000009"/>
    <w:multiLevelType w:val="hybridMultilevel"/>
    <w:tmpl w:val="80222CC2"/>
    <w:lvl w:ilvl="0" w:tplc="615C7100">
      <w:start w:val="1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0000000A"/>
    <w:multiLevelType w:val="hybridMultilevel"/>
    <w:tmpl w:val="FF10C43A"/>
    <w:lvl w:ilvl="0" w:tplc="69426E8A">
      <w:start w:val="1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0000000B"/>
    <w:multiLevelType w:val="hybridMultilevel"/>
    <w:tmpl w:val="8362EB7A"/>
    <w:lvl w:ilvl="0" w:tplc="F5A0BE5C">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0000000C"/>
    <w:multiLevelType w:val="hybridMultilevel"/>
    <w:tmpl w:val="171CD270"/>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3" w15:restartNumberingAfterBreak="0">
    <w:nsid w:val="0000000D"/>
    <w:multiLevelType w:val="hybridMultilevel"/>
    <w:tmpl w:val="7A42941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0000000E"/>
    <w:multiLevelType w:val="hybridMultilevel"/>
    <w:tmpl w:val="419C5EF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0000000F"/>
    <w:multiLevelType w:val="hybridMultilevel"/>
    <w:tmpl w:val="FE1076A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00000010"/>
    <w:multiLevelType w:val="hybridMultilevel"/>
    <w:tmpl w:val="C3BEDEE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00000011"/>
    <w:multiLevelType w:val="hybridMultilevel"/>
    <w:tmpl w:val="F9A0FF66"/>
    <w:lvl w:ilvl="0" w:tplc="B75AAB8E">
      <w:start w:val="1"/>
      <w:numFmt w:val="bullet"/>
      <w:lvlText w:val="-"/>
      <w:lvlJc w:val="left"/>
      <w:pPr>
        <w:ind w:left="1068" w:hanging="360"/>
      </w:pPr>
      <w:rPr>
        <w:rFonts w:ascii="Calibri" w:eastAsiaTheme="minorHAnsi" w:hAnsi="Calibri" w:cs="Calibri" w:hint="default"/>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hint="default"/>
      </w:rPr>
    </w:lvl>
    <w:lvl w:ilvl="3" w:tplc="040C0001">
      <w:start w:val="1"/>
      <w:numFmt w:val="bullet"/>
      <w:lvlText w:val=""/>
      <w:lvlJc w:val="left"/>
      <w:pPr>
        <w:ind w:left="3228" w:hanging="360"/>
      </w:pPr>
      <w:rPr>
        <w:rFonts w:ascii="Symbol" w:hAnsi="Symbol" w:hint="default"/>
      </w:rPr>
    </w:lvl>
    <w:lvl w:ilvl="4" w:tplc="040C0003">
      <w:start w:val="1"/>
      <w:numFmt w:val="bullet"/>
      <w:lvlText w:val="o"/>
      <w:lvlJc w:val="left"/>
      <w:pPr>
        <w:ind w:left="3948" w:hanging="360"/>
      </w:pPr>
      <w:rPr>
        <w:rFonts w:ascii="Courier New" w:hAnsi="Courier New" w:cs="Courier New" w:hint="default"/>
      </w:rPr>
    </w:lvl>
    <w:lvl w:ilvl="5" w:tplc="040C0005">
      <w:start w:val="1"/>
      <w:numFmt w:val="bullet"/>
      <w:lvlText w:val=""/>
      <w:lvlJc w:val="left"/>
      <w:pPr>
        <w:ind w:left="4668" w:hanging="360"/>
      </w:pPr>
      <w:rPr>
        <w:rFonts w:ascii="Wingdings" w:hAnsi="Wingdings" w:hint="default"/>
      </w:rPr>
    </w:lvl>
    <w:lvl w:ilvl="6" w:tplc="040C0001">
      <w:start w:val="1"/>
      <w:numFmt w:val="bullet"/>
      <w:lvlText w:val=""/>
      <w:lvlJc w:val="left"/>
      <w:pPr>
        <w:ind w:left="5388" w:hanging="360"/>
      </w:pPr>
      <w:rPr>
        <w:rFonts w:ascii="Symbol" w:hAnsi="Symbol" w:hint="default"/>
      </w:rPr>
    </w:lvl>
    <w:lvl w:ilvl="7" w:tplc="040C0003">
      <w:start w:val="1"/>
      <w:numFmt w:val="bullet"/>
      <w:lvlText w:val="o"/>
      <w:lvlJc w:val="left"/>
      <w:pPr>
        <w:ind w:left="6108" w:hanging="360"/>
      </w:pPr>
      <w:rPr>
        <w:rFonts w:ascii="Courier New" w:hAnsi="Courier New" w:cs="Courier New" w:hint="default"/>
      </w:rPr>
    </w:lvl>
    <w:lvl w:ilvl="8" w:tplc="040C0005">
      <w:start w:val="1"/>
      <w:numFmt w:val="bullet"/>
      <w:lvlText w:val=""/>
      <w:lvlJc w:val="left"/>
      <w:pPr>
        <w:ind w:left="6828" w:hanging="360"/>
      </w:pPr>
      <w:rPr>
        <w:rFonts w:ascii="Wingdings" w:hAnsi="Wingdings" w:hint="default"/>
      </w:rPr>
    </w:lvl>
  </w:abstractNum>
  <w:abstractNum w:abstractNumId="18" w15:restartNumberingAfterBreak="0">
    <w:nsid w:val="00000012"/>
    <w:multiLevelType w:val="hybridMultilevel"/>
    <w:tmpl w:val="072EC2EE"/>
    <w:lvl w:ilvl="0" w:tplc="668A2294">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00000013"/>
    <w:multiLevelType w:val="hybridMultilevel"/>
    <w:tmpl w:val="D3E493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00000014"/>
    <w:multiLevelType w:val="hybridMultilevel"/>
    <w:tmpl w:val="9CAE6B3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4"/>
  </w:num>
  <w:num w:numId="2">
    <w:abstractNumId w:val="10"/>
  </w:num>
  <w:num w:numId="3">
    <w:abstractNumId w:val="5"/>
  </w:num>
  <w:num w:numId="4">
    <w:abstractNumId w:val="6"/>
  </w:num>
  <w:num w:numId="5">
    <w:abstractNumId w:val="9"/>
  </w:num>
  <w:num w:numId="6">
    <w:abstractNumId w:val="14"/>
  </w:num>
  <w:num w:numId="7">
    <w:abstractNumId w:val="19"/>
  </w:num>
  <w:num w:numId="8">
    <w:abstractNumId w:val="12"/>
  </w:num>
  <w:num w:numId="9">
    <w:abstractNumId w:val="7"/>
  </w:num>
  <w:num w:numId="10">
    <w:abstractNumId w:val="8"/>
  </w:num>
  <w:num w:numId="11">
    <w:abstractNumId w:val="3"/>
  </w:num>
  <w:num w:numId="12">
    <w:abstractNumId w:val="1"/>
  </w:num>
  <w:num w:numId="13">
    <w:abstractNumId w:val="13"/>
  </w:num>
  <w:num w:numId="14">
    <w:abstractNumId w:val="20"/>
  </w:num>
  <w:num w:numId="15">
    <w:abstractNumId w:val="16"/>
  </w:num>
  <w:num w:numId="16">
    <w:abstractNumId w:val="15"/>
  </w:num>
  <w:num w:numId="17">
    <w:abstractNumId w:val="11"/>
  </w:num>
  <w:num w:numId="18">
    <w:abstractNumId w:val="2"/>
  </w:num>
  <w:num w:numId="19">
    <w:abstractNumId w:val="18"/>
  </w:num>
  <w:num w:numId="20">
    <w:abstractNumId w:val="17"/>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57DA"/>
    <w:rsid w:val="000057DA"/>
    <w:rsid w:val="0046781A"/>
    <w:rsid w:val="005731F0"/>
    <w:rsid w:val="00DC4DF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C6D2CA"/>
  <w15:docId w15:val="{1A3C09A2-5F0C-4EC7-A0CC-CB2A6DFF0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3">
    <w:name w:val="heading 3"/>
    <w:basedOn w:val="Normal"/>
    <w:next w:val="Normal"/>
    <w:link w:val="Titre3Car"/>
    <w:uiPriority w:val="9"/>
    <w:qFormat/>
    <w:pPr>
      <w:keepNext/>
      <w:keepLines/>
      <w:spacing w:before="120" w:after="120"/>
      <w:outlineLvl w:val="2"/>
    </w:pPr>
    <w:rPr>
      <w:rFonts w:asciiTheme="majorHAnsi" w:eastAsiaTheme="majorEastAsia" w:hAnsiTheme="majorHAnsi" w:cstheme="majorBidi"/>
      <w:b/>
      <w:color w:val="002060"/>
      <w:sz w:val="28"/>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link w:val="ParagraphedelisteCar"/>
    <w:uiPriority w:val="34"/>
    <w:qFormat/>
    <w:pPr>
      <w:ind w:left="720"/>
      <w:contextualSpacing/>
    </w:pPr>
  </w:style>
  <w:style w:type="character" w:styleId="Marquedecommentaire">
    <w:name w:val="annotation reference"/>
    <w:basedOn w:val="Policepardfaut"/>
    <w:uiPriority w:val="99"/>
    <w:rPr>
      <w:sz w:val="16"/>
      <w:szCs w:val="16"/>
    </w:rPr>
  </w:style>
  <w:style w:type="paragraph" w:styleId="Commentaire">
    <w:name w:val="annotation text"/>
    <w:basedOn w:val="Normal"/>
    <w:link w:val="CommentaireCar"/>
    <w:uiPriority w:val="99"/>
    <w:pPr>
      <w:spacing w:line="240" w:lineRule="auto"/>
    </w:pPr>
    <w:rPr>
      <w:sz w:val="20"/>
      <w:szCs w:val="20"/>
    </w:rPr>
  </w:style>
  <w:style w:type="character" w:customStyle="1" w:styleId="CommentaireCar">
    <w:name w:val="Commentaire Car"/>
    <w:basedOn w:val="Policepardfaut"/>
    <w:link w:val="Commentaire"/>
    <w:uiPriority w:val="99"/>
    <w:rPr>
      <w:sz w:val="20"/>
      <w:szCs w:val="20"/>
    </w:rPr>
  </w:style>
  <w:style w:type="paragraph" w:styleId="Objetducommentaire">
    <w:name w:val="annotation subject"/>
    <w:basedOn w:val="Commentaire"/>
    <w:next w:val="Commentaire"/>
    <w:link w:val="ObjetducommentaireCar"/>
    <w:uiPriority w:val="99"/>
    <w:rPr>
      <w:b/>
      <w:bCs/>
    </w:rPr>
  </w:style>
  <w:style w:type="character" w:customStyle="1" w:styleId="ObjetducommentaireCar">
    <w:name w:val="Objet du commentaire Car"/>
    <w:basedOn w:val="CommentaireCar"/>
    <w:link w:val="Objetducommentaire"/>
    <w:uiPriority w:val="99"/>
    <w:rPr>
      <w:b/>
      <w:bCs/>
      <w:sz w:val="20"/>
      <w:szCs w:val="20"/>
    </w:rPr>
  </w:style>
  <w:style w:type="paragraph" w:styleId="Textedebulles">
    <w:name w:val="Balloon Text"/>
    <w:basedOn w:val="Normal"/>
    <w:link w:val="TextedebullesCar"/>
    <w:uiPriority w:val="99"/>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rPr>
      <w:rFonts w:ascii="Segoe UI" w:hAnsi="Segoe UI" w:cs="Segoe UI"/>
      <w:sz w:val="18"/>
      <w:szCs w:val="18"/>
    </w:rPr>
  </w:style>
  <w:style w:type="character" w:styleId="Lienhypertexte">
    <w:name w:val="Hyperlink"/>
    <w:basedOn w:val="Policepardfaut"/>
    <w:uiPriority w:val="99"/>
    <w:rPr>
      <w:color w:val="0563C1"/>
      <w:u w:val="single"/>
    </w:rPr>
  </w:style>
  <w:style w:type="character" w:customStyle="1" w:styleId="ParagraphedelisteCar">
    <w:name w:val="Paragraphe de liste Car"/>
    <w:basedOn w:val="Policepardfaut"/>
    <w:link w:val="Paragraphedeliste"/>
    <w:uiPriority w:val="34"/>
    <w:qFormat/>
  </w:style>
  <w:style w:type="paragraph" w:customStyle="1" w:styleId="Default">
    <w:name w:val="Default"/>
    <w:pPr>
      <w:autoSpaceDE w:val="0"/>
      <w:autoSpaceDN w:val="0"/>
      <w:adjustRightInd w:val="0"/>
      <w:spacing w:after="0" w:line="240" w:lineRule="auto"/>
    </w:pPr>
    <w:rPr>
      <w:rFonts w:ascii="Franklin Gothic Book" w:eastAsia="Times New Roman" w:hAnsi="Franklin Gothic Book" w:cs="Franklin Gothic Book"/>
      <w:color w:val="000000"/>
      <w:sz w:val="24"/>
      <w:szCs w:val="24"/>
      <w:lang w:eastAsia="fr-FR"/>
    </w:rPr>
  </w:style>
  <w:style w:type="character" w:customStyle="1" w:styleId="Titre3Car">
    <w:name w:val="Titre 3 Car"/>
    <w:basedOn w:val="Policepardfaut"/>
    <w:link w:val="Titre3"/>
    <w:uiPriority w:val="9"/>
    <w:rPr>
      <w:rFonts w:asciiTheme="majorHAnsi" w:eastAsiaTheme="majorEastAsia" w:hAnsiTheme="majorHAnsi" w:cstheme="majorBidi"/>
      <w:b/>
      <w:color w:val="002060"/>
      <w:sz w:val="28"/>
      <w:szCs w:val="24"/>
    </w:rPr>
  </w:style>
  <w:style w:type="paragraph" w:styleId="Textebrut">
    <w:name w:val="Plain Text"/>
    <w:basedOn w:val="Normal"/>
    <w:link w:val="TextebrutCar"/>
    <w:uiPriority w:val="99"/>
    <w:pPr>
      <w:spacing w:after="0" w:line="240" w:lineRule="auto"/>
    </w:pPr>
    <w:rPr>
      <w:rFonts w:ascii="Calibri" w:hAnsi="Calibri"/>
      <w:szCs w:val="21"/>
    </w:rPr>
  </w:style>
  <w:style w:type="character" w:customStyle="1" w:styleId="TextebrutCar">
    <w:name w:val="Texte brut Car"/>
    <w:basedOn w:val="Policepardfaut"/>
    <w:link w:val="Textebrut"/>
    <w:uiPriority w:val="99"/>
    <w:rPr>
      <w:rFonts w:ascii="Calibri" w:hAnsi="Calibri"/>
      <w:szCs w:val="21"/>
    </w:rPr>
  </w:style>
  <w:style w:type="paragraph" w:customStyle="1" w:styleId="standard">
    <w:name w:val="standard"/>
    <w:basedOn w:val="Normal"/>
    <w:pPr>
      <w:autoSpaceDN w:val="0"/>
      <w:spacing w:after="0" w:line="240" w:lineRule="auto"/>
    </w:pPr>
    <w:rPr>
      <w:rFonts w:ascii="Liberation Serif" w:hAnsi="Liberation Serif" w:cs="Liberation Serif"/>
      <w:sz w:val="24"/>
      <w:szCs w:val="24"/>
      <w:lang w:eastAsia="fr-FR"/>
    </w:rPr>
  </w:style>
  <w:style w:type="character" w:styleId="Appelnotedebasdep">
    <w:name w:val="footnote reference"/>
    <w:basedOn w:val="Policepardfaut"/>
    <w:uiPriority w:val="99"/>
    <w:rPr>
      <w:vertAlign w:val="superscript"/>
    </w:rPr>
  </w:style>
  <w:style w:type="paragraph" w:styleId="Sansinterligne">
    <w:name w:val="No Spacing"/>
    <w:uiPriority w:val="1"/>
    <w:qFormat/>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3102</Words>
  <Characters>17062</Characters>
  <Application>Microsoft Office Word</Application>
  <DocSecurity>0</DocSecurity>
  <Lines>142</Lines>
  <Paragraphs>40</Paragraphs>
  <ScaleCrop>false</ScaleCrop>
  <HeadingPairs>
    <vt:vector size="2" baseType="variant">
      <vt:variant>
        <vt:lpstr>Titre</vt:lpstr>
      </vt:variant>
      <vt:variant>
        <vt:i4>1</vt:i4>
      </vt:variant>
    </vt:vector>
  </HeadingPairs>
  <TitlesOfParts>
    <vt:vector size="1" baseType="lpstr">
      <vt:lpstr/>
    </vt:vector>
  </TitlesOfParts>
  <Company>MCAS</Company>
  <LinksUpToDate>false</LinksUpToDate>
  <CharactersWithSpaces>20124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MONTCHAMP, Edouard (CAB/SANTE)</dc:creator>
  <cp:lastModifiedBy>MIGNOT, Anne (DGS/MICOM)</cp:lastModifiedBy>
  <cp:revision>2</cp:revision>
  <cp:lastPrinted>2020-09-17T16:37:00Z</cp:lastPrinted>
  <dcterms:created xsi:type="dcterms:W3CDTF">2020-09-18T07:57:00Z</dcterms:created>
  <dcterms:modified xsi:type="dcterms:W3CDTF">2020-09-18T07:57:00Z</dcterms:modified>
</cp:coreProperties>
</file>