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2EE0" w:rsidRPr="00B1752C" w:rsidRDefault="00965347" w:rsidP="00E826AA">
      <w:pPr>
        <w:shd w:val="clear" w:color="auto" w:fill="FF2121"/>
        <w:jc w:val="center"/>
        <w:rPr>
          <w:b/>
          <w:sz w:val="32"/>
        </w:rPr>
      </w:pPr>
      <w:r w:rsidRPr="00E826AA">
        <w:rPr>
          <w:b/>
          <w:sz w:val="36"/>
        </w:rPr>
        <w:t xml:space="preserve">Fiche </w:t>
      </w:r>
      <w:r w:rsidR="0007134E">
        <w:rPr>
          <w:b/>
          <w:sz w:val="32"/>
        </w:rPr>
        <w:t xml:space="preserve">- </w:t>
      </w:r>
      <w:r w:rsidR="0007134E" w:rsidRPr="00E826AA">
        <w:rPr>
          <w:b/>
          <w:sz w:val="36"/>
        </w:rPr>
        <w:t>ASTRAZENECA</w:t>
      </w:r>
    </w:p>
    <w:p w:rsidR="00965347" w:rsidRDefault="00965347"/>
    <w:p w:rsidR="00664BD2" w:rsidRDefault="00664BD2"/>
    <w:p w:rsidR="00664BD2" w:rsidRDefault="00664BD2" w:rsidP="00664BD2">
      <w:pPr>
        <w:jc w:val="left"/>
      </w:pPr>
      <w:r>
        <w:t>Liens vers les avis :</w:t>
      </w:r>
    </w:p>
    <w:p w:rsidR="00664BD2" w:rsidRDefault="00664BD2" w:rsidP="00664BD2">
      <w:pPr>
        <w:pStyle w:val="Paragraphedeliste"/>
        <w:numPr>
          <w:ilvl w:val="0"/>
          <w:numId w:val="8"/>
        </w:numPr>
        <w:jc w:val="left"/>
      </w:pPr>
      <w:r>
        <w:t xml:space="preserve"> </w:t>
      </w:r>
      <w:hyperlink r:id="rId5" w:history="1">
        <w:r w:rsidRPr="00A81385">
          <w:rPr>
            <w:rStyle w:val="Lienhypertexte"/>
          </w:rPr>
          <w:t>https://www.has-sante.fr/upload/docs/application/pdf/2021-02/strategie_de_vaccination_contre_la_covid-19_-_place_du_covid-19_vaccine_astrazeneca_recommandations.pdf</w:t>
        </w:r>
      </w:hyperlink>
      <w:r>
        <w:t xml:space="preserve"> </w:t>
      </w:r>
    </w:p>
    <w:p w:rsidR="00664BD2" w:rsidRDefault="00664BD2" w:rsidP="00664BD2">
      <w:pPr>
        <w:pStyle w:val="Paragraphedeliste"/>
        <w:numPr>
          <w:ilvl w:val="0"/>
          <w:numId w:val="8"/>
        </w:numPr>
        <w:jc w:val="left"/>
      </w:pPr>
      <w:hyperlink r:id="rId6" w:history="1">
        <w:r w:rsidRPr="00A81385">
          <w:rPr>
            <w:rStyle w:val="Lienhypertexte"/>
          </w:rPr>
          <w:t>https://www.has-sante.fr/upload/docs/application/pdf/2021-02/strategie_de_vaccination_contre_la_covid-19_-_place_du_covid-19_vaccine_astrazeneca_synthese.pdf</w:t>
        </w:r>
      </w:hyperlink>
      <w:r>
        <w:t xml:space="preserve"> </w:t>
      </w:r>
    </w:p>
    <w:p w:rsidR="00664BD2" w:rsidRDefault="00664BD2" w:rsidP="00664BD2">
      <w:pPr>
        <w:pStyle w:val="Paragraphedeliste"/>
        <w:jc w:val="left"/>
      </w:pPr>
    </w:p>
    <w:p w:rsidR="00E826AA" w:rsidRPr="00664BD2" w:rsidRDefault="00E826AA" w:rsidP="003B254C">
      <w:pPr>
        <w:pStyle w:val="Paragraphedeliste"/>
        <w:numPr>
          <w:ilvl w:val="0"/>
          <w:numId w:val="7"/>
        </w:numPr>
        <w:rPr>
          <w:b/>
          <w:color w:val="C00000"/>
          <w:sz w:val="28"/>
          <w:szCs w:val="28"/>
          <w:u w:val="single"/>
        </w:rPr>
      </w:pPr>
      <w:r w:rsidRPr="00664BD2">
        <w:rPr>
          <w:b/>
          <w:color w:val="C00000"/>
          <w:sz w:val="28"/>
          <w:szCs w:val="28"/>
          <w:u w:val="single"/>
        </w:rPr>
        <w:t xml:space="preserve">Avis de </w:t>
      </w:r>
      <w:proofErr w:type="gramStart"/>
      <w:r w:rsidRPr="00664BD2">
        <w:rPr>
          <w:b/>
          <w:color w:val="C00000"/>
          <w:sz w:val="28"/>
          <w:szCs w:val="28"/>
          <w:u w:val="single"/>
        </w:rPr>
        <w:t>la HAS</w:t>
      </w:r>
      <w:proofErr w:type="gramEnd"/>
      <w:r w:rsidRPr="00664BD2">
        <w:rPr>
          <w:b/>
          <w:color w:val="C00000"/>
          <w:sz w:val="28"/>
          <w:szCs w:val="28"/>
          <w:u w:val="single"/>
        </w:rPr>
        <w:t xml:space="preserve"> du 02/02</w:t>
      </w:r>
      <w:r w:rsidR="00664BD2" w:rsidRPr="00664BD2">
        <w:rPr>
          <w:b/>
          <w:color w:val="C00000"/>
          <w:sz w:val="28"/>
          <w:szCs w:val="28"/>
          <w:u w:val="single"/>
        </w:rPr>
        <w:t xml:space="preserve"> « </w:t>
      </w:r>
      <w:r w:rsidR="00664BD2" w:rsidRPr="00664BD2">
        <w:rPr>
          <w:b/>
          <w:color w:val="C00000"/>
          <w:sz w:val="28"/>
          <w:szCs w:val="28"/>
          <w:u w:val="single"/>
        </w:rPr>
        <w:t>Stratégie de vaccination</w:t>
      </w:r>
      <w:r w:rsidR="00664BD2" w:rsidRPr="00664BD2">
        <w:rPr>
          <w:b/>
          <w:color w:val="C00000"/>
          <w:sz w:val="28"/>
          <w:szCs w:val="28"/>
          <w:u w:val="single"/>
        </w:rPr>
        <w:t xml:space="preserve"> </w:t>
      </w:r>
      <w:r w:rsidR="00664BD2" w:rsidRPr="00664BD2">
        <w:rPr>
          <w:b/>
          <w:color w:val="C00000"/>
          <w:sz w:val="28"/>
          <w:szCs w:val="28"/>
          <w:u w:val="single"/>
        </w:rPr>
        <w:t>contre la Covid-19 - Place du</w:t>
      </w:r>
      <w:r w:rsidR="00664BD2" w:rsidRPr="00664BD2">
        <w:rPr>
          <w:b/>
          <w:color w:val="C00000"/>
          <w:sz w:val="28"/>
          <w:szCs w:val="28"/>
          <w:u w:val="single"/>
        </w:rPr>
        <w:t xml:space="preserve"> </w:t>
      </w:r>
      <w:r w:rsidR="00664BD2" w:rsidRPr="00664BD2">
        <w:rPr>
          <w:b/>
          <w:color w:val="C00000"/>
          <w:sz w:val="28"/>
          <w:szCs w:val="28"/>
          <w:u w:val="single"/>
        </w:rPr>
        <w:t>Covid-19 Vaccine Astra</w:t>
      </w:r>
      <w:r w:rsidR="00664BD2">
        <w:rPr>
          <w:b/>
          <w:color w:val="C00000"/>
          <w:sz w:val="28"/>
          <w:szCs w:val="28"/>
          <w:u w:val="single"/>
        </w:rPr>
        <w:t xml:space="preserve"> </w:t>
      </w:r>
      <w:r w:rsidR="00664BD2" w:rsidRPr="00664BD2">
        <w:rPr>
          <w:b/>
          <w:color w:val="C00000"/>
          <w:sz w:val="28"/>
          <w:szCs w:val="28"/>
          <w:u w:val="single"/>
        </w:rPr>
        <w:t>Zeneca</w:t>
      </w:r>
      <w:r w:rsidR="00664BD2">
        <w:rPr>
          <w:b/>
          <w:color w:val="C00000"/>
          <w:sz w:val="28"/>
          <w:szCs w:val="28"/>
          <w:u w:val="single"/>
        </w:rPr>
        <w:t> »</w:t>
      </w:r>
    </w:p>
    <w:p w:rsidR="00965347" w:rsidRDefault="00965347" w:rsidP="00965347">
      <w:r>
        <w:t xml:space="preserve">L’objectif de ces recommandations vaccinales est de </w:t>
      </w:r>
      <w:r w:rsidRPr="00965347">
        <w:rPr>
          <w:b/>
        </w:rPr>
        <w:t>déterminer la place du vaccin AZD1222 dans la stratégie vaccinale actuelle contre la Covid-19</w:t>
      </w:r>
      <w:r>
        <w:t>.</w:t>
      </w:r>
    </w:p>
    <w:p w:rsidR="00965347" w:rsidRDefault="00965347" w:rsidP="00965347">
      <w:proofErr w:type="gramStart"/>
      <w:r>
        <w:t>/!\</w:t>
      </w:r>
      <w:proofErr w:type="gramEnd"/>
      <w:r>
        <w:t xml:space="preserve"> </w:t>
      </w:r>
      <w:r w:rsidRPr="00965347">
        <w:t xml:space="preserve">Cette recommandation sera réexaminée à la lumière des données complémentaires prochainement disponibles notamment chez les personnes âgées de 65 ans et plus. </w:t>
      </w:r>
      <w:r w:rsidRPr="00965347">
        <w:cr/>
      </w:r>
    </w:p>
    <w:p w:rsidR="00965347" w:rsidRDefault="00965347" w:rsidP="00965347">
      <w:r w:rsidRPr="00965347">
        <w:rPr>
          <w:b/>
          <w:sz w:val="24"/>
        </w:rPr>
        <w:t>Présentation du vaccin</w:t>
      </w:r>
      <w:r w:rsidRPr="00965347">
        <w:rPr>
          <w:sz w:val="24"/>
        </w:rPr>
        <w:t> </w:t>
      </w:r>
      <w:r>
        <w:t>:</w:t>
      </w:r>
      <w:bookmarkStart w:id="0" w:name="_GoBack"/>
      <w:bookmarkEnd w:id="0"/>
    </w:p>
    <w:p w:rsidR="00965347" w:rsidRDefault="00965347" w:rsidP="00011AD4">
      <w:r>
        <w:t>Le vaccin Covid-19 vaccine AstraZeneca®, (ZD122), développé par la firme AstraZeneca a obtenu une autorisation de mise sur le marché (AMM) conditionnelle, en Europe, le 29/01/2021. C’est le 3</w:t>
      </w:r>
      <w:r w:rsidRPr="00965347">
        <w:rPr>
          <w:vertAlign w:val="superscript"/>
        </w:rPr>
        <w:t>e</w:t>
      </w:r>
      <w:r>
        <w:t xml:space="preserve"> vaccin indiqué pour l'immunisation active afin de prévenir la Covid-19 causée par le SARS-CoV-2 chez les personnes âgées de 18 ans et plus.</w:t>
      </w:r>
    </w:p>
    <w:p w:rsidR="00965347" w:rsidRDefault="00965347" w:rsidP="00011AD4"/>
    <w:p w:rsidR="00965347" w:rsidRPr="00965347" w:rsidRDefault="00965347" w:rsidP="00011AD4">
      <w:pPr>
        <w:rPr>
          <w:sz w:val="24"/>
        </w:rPr>
      </w:pPr>
      <w:r w:rsidRPr="00965347">
        <w:rPr>
          <w:sz w:val="24"/>
        </w:rPr>
        <w:t>Afin de délivrer cet avis,</w:t>
      </w:r>
      <w:r w:rsidRPr="00965347">
        <w:rPr>
          <w:b/>
          <w:sz w:val="24"/>
        </w:rPr>
        <w:t xml:space="preserve"> </w:t>
      </w:r>
      <w:proofErr w:type="gramStart"/>
      <w:r w:rsidRPr="00965347">
        <w:rPr>
          <w:b/>
          <w:sz w:val="24"/>
        </w:rPr>
        <w:t>la HAS</w:t>
      </w:r>
      <w:proofErr w:type="gramEnd"/>
      <w:r w:rsidRPr="00965347">
        <w:rPr>
          <w:b/>
          <w:sz w:val="24"/>
        </w:rPr>
        <w:t xml:space="preserve"> </w:t>
      </w:r>
      <w:proofErr w:type="spellStart"/>
      <w:r w:rsidRPr="00965347">
        <w:rPr>
          <w:b/>
          <w:sz w:val="24"/>
        </w:rPr>
        <w:t>à</w:t>
      </w:r>
      <w:proofErr w:type="spellEnd"/>
      <w:r w:rsidRPr="00965347">
        <w:rPr>
          <w:b/>
          <w:sz w:val="24"/>
        </w:rPr>
        <w:t xml:space="preserve"> tenu compte</w:t>
      </w:r>
      <w:r w:rsidRPr="00965347">
        <w:rPr>
          <w:sz w:val="24"/>
        </w:rPr>
        <w:t xml:space="preserve"> : </w:t>
      </w:r>
    </w:p>
    <w:p w:rsidR="00965347" w:rsidRDefault="00965347" w:rsidP="00011AD4">
      <w:pPr>
        <w:pStyle w:val="Paragraphedeliste"/>
        <w:numPr>
          <w:ilvl w:val="0"/>
          <w:numId w:val="1"/>
        </w:numPr>
      </w:pPr>
      <w:r>
        <w:t xml:space="preserve">Du nouveau </w:t>
      </w:r>
      <w:r w:rsidRPr="00965347">
        <w:rPr>
          <w:b/>
        </w:rPr>
        <w:t>contexte d’évolution épidémique</w:t>
      </w:r>
      <w:r>
        <w:t xml:space="preserve"> avec une circulation du SARS-CoV-2 à un niveau élevé, une mortalité liée à la Covid-19 toujours élevée et un risque important de diffusion très rapide dans les prochaines semaines de </w:t>
      </w:r>
      <w:r w:rsidRPr="00965347">
        <w:rPr>
          <w:b/>
        </w:rPr>
        <w:t xml:space="preserve">nouveaux </w:t>
      </w:r>
      <w:proofErr w:type="spellStart"/>
      <w:r w:rsidRPr="00965347">
        <w:rPr>
          <w:b/>
        </w:rPr>
        <w:t>variants</w:t>
      </w:r>
      <w:proofErr w:type="spellEnd"/>
      <w:r>
        <w:rPr>
          <w:b/>
        </w:rPr>
        <w:t>.</w:t>
      </w:r>
    </w:p>
    <w:p w:rsidR="00965347" w:rsidRDefault="00965347" w:rsidP="00011AD4">
      <w:pPr>
        <w:pStyle w:val="Paragraphedeliste"/>
        <w:numPr>
          <w:ilvl w:val="0"/>
          <w:numId w:val="1"/>
        </w:numPr>
      </w:pPr>
      <w:r>
        <w:rPr>
          <w:b/>
        </w:rPr>
        <w:t>De l</w:t>
      </w:r>
      <w:r w:rsidRPr="00965347">
        <w:rPr>
          <w:b/>
        </w:rPr>
        <w:t>a stratégie nationale et ses objectifs</w:t>
      </w:r>
      <w:r>
        <w:t xml:space="preserve"> : </w:t>
      </w:r>
      <w:r w:rsidRPr="00965347">
        <w:t xml:space="preserve">réduire la </w:t>
      </w:r>
      <w:proofErr w:type="spellStart"/>
      <w:r w:rsidRPr="00965347">
        <w:t>morbi</w:t>
      </w:r>
      <w:proofErr w:type="spellEnd"/>
      <w:r w:rsidRPr="00965347">
        <w:t>-mortalité attribuable à la maladie (hospitalisations, admissions en</w:t>
      </w:r>
      <w:r>
        <w:t xml:space="preserve"> soins intensifs et décès) et </w:t>
      </w:r>
      <w:r w:rsidRPr="00965347">
        <w:t>maintenir les activités du pays, et particulièrement le système de santé en période d’épidémie.</w:t>
      </w:r>
    </w:p>
    <w:p w:rsidR="00965347" w:rsidRPr="00965347" w:rsidRDefault="00965347" w:rsidP="00011AD4">
      <w:pPr>
        <w:pStyle w:val="Paragraphedeliste"/>
        <w:numPr>
          <w:ilvl w:val="0"/>
          <w:numId w:val="1"/>
        </w:numPr>
        <w:rPr>
          <w:b/>
        </w:rPr>
      </w:pPr>
      <w:r>
        <w:rPr>
          <w:b/>
        </w:rPr>
        <w:t>D</w:t>
      </w:r>
      <w:r w:rsidRPr="00965347">
        <w:rPr>
          <w:b/>
        </w:rPr>
        <w:t>es résultats des études cliniques</w:t>
      </w:r>
    </w:p>
    <w:p w:rsidR="00965347" w:rsidRDefault="00965347" w:rsidP="00011AD4">
      <w:pPr>
        <w:pStyle w:val="Paragraphedeliste"/>
        <w:numPr>
          <w:ilvl w:val="0"/>
          <w:numId w:val="1"/>
        </w:numPr>
      </w:pPr>
      <w:r>
        <w:t xml:space="preserve">De l’indication qui a été délivrée par </w:t>
      </w:r>
      <w:r w:rsidRPr="00965347">
        <w:rPr>
          <w:b/>
        </w:rPr>
        <w:t xml:space="preserve">l’autorisation de mise sur le marché conditionnelle </w:t>
      </w:r>
      <w:r>
        <w:t>du Vaccin AZ dans « l’immunisation active pour prévenir la Covid-19 causée par le virus SARS-CoV-2 chez les personnes de 18 ans et plus</w:t>
      </w:r>
      <w:proofErr w:type="gramStart"/>
      <w:r>
        <w:t xml:space="preserve"> »(</w:t>
      </w:r>
      <w:proofErr w:type="spellStart"/>
      <w:proofErr w:type="gramEnd"/>
      <w:r>
        <w:t>cf</w:t>
      </w:r>
      <w:proofErr w:type="spellEnd"/>
      <w:r>
        <w:t xml:space="preserve"> </w:t>
      </w:r>
      <w:r w:rsidR="00E826AA">
        <w:rPr>
          <w:color w:val="538135" w:themeColor="accent6" w:themeShade="BF"/>
        </w:rPr>
        <w:t>partie II</w:t>
      </w:r>
      <w:r w:rsidRPr="00965347">
        <w:rPr>
          <w:color w:val="538135" w:themeColor="accent6" w:themeShade="BF"/>
        </w:rPr>
        <w:t xml:space="preserve"> « Résumé des caractéristiques du produit »</w:t>
      </w:r>
      <w:r>
        <w:t>)</w:t>
      </w:r>
    </w:p>
    <w:p w:rsidR="00965347" w:rsidRDefault="00965347" w:rsidP="00011AD4">
      <w:pPr>
        <w:pStyle w:val="Paragraphedeliste"/>
        <w:numPr>
          <w:ilvl w:val="0"/>
          <w:numId w:val="1"/>
        </w:numPr>
      </w:pPr>
      <w:r>
        <w:t>D</w:t>
      </w:r>
      <w:r w:rsidRPr="00965347">
        <w:t xml:space="preserve">es </w:t>
      </w:r>
      <w:r w:rsidRPr="00965347">
        <w:rPr>
          <w:b/>
        </w:rPr>
        <w:t>résultats issus du modèle populationnel</w:t>
      </w:r>
      <w:r>
        <w:t xml:space="preserve"> : développé à la demande de </w:t>
      </w:r>
      <w:proofErr w:type="gramStart"/>
      <w:r>
        <w:t>la HAS</w:t>
      </w:r>
      <w:proofErr w:type="gramEnd"/>
      <w:r>
        <w:t xml:space="preserve"> par l’Institut Pasteur et l’EHESP en collaboration avec Santé publique France et l’INSERM</w:t>
      </w:r>
    </w:p>
    <w:p w:rsidR="00965347" w:rsidRDefault="00965347" w:rsidP="00011AD4"/>
    <w:p w:rsidR="00965347" w:rsidRPr="00965347" w:rsidRDefault="00965347" w:rsidP="00011AD4">
      <w:pPr>
        <w:rPr>
          <w:b/>
          <w:sz w:val="24"/>
        </w:rPr>
      </w:pPr>
      <w:r w:rsidRPr="00965347">
        <w:rPr>
          <w:b/>
          <w:sz w:val="24"/>
        </w:rPr>
        <w:t xml:space="preserve">Concernant la place du Vaccin AZ dans la stratégie vaccinale, </w:t>
      </w:r>
      <w:proofErr w:type="gramStart"/>
      <w:r w:rsidRPr="00965347">
        <w:rPr>
          <w:b/>
          <w:sz w:val="24"/>
        </w:rPr>
        <w:t>la HAS</w:t>
      </w:r>
      <w:proofErr w:type="gramEnd"/>
      <w:r w:rsidRPr="00965347">
        <w:rPr>
          <w:b/>
          <w:sz w:val="24"/>
        </w:rPr>
        <w:t xml:space="preserve"> estime donc que :</w:t>
      </w:r>
    </w:p>
    <w:p w:rsidR="004644F3" w:rsidRDefault="004644F3" w:rsidP="00011AD4">
      <w:pPr>
        <w:pStyle w:val="Paragraphedeliste"/>
        <w:numPr>
          <w:ilvl w:val="0"/>
          <w:numId w:val="5"/>
        </w:numPr>
        <w:ind w:left="851"/>
      </w:pPr>
      <w:r>
        <w:t>Ce vaccin</w:t>
      </w:r>
      <w:r w:rsidR="00965347">
        <w:t xml:space="preserve"> peut être utilisé, conformément à son AMM et dans le cadre de la stratégie vaccinale préalablement définie par </w:t>
      </w:r>
      <w:proofErr w:type="gramStart"/>
      <w:r w:rsidR="00965347">
        <w:t>la HAS</w:t>
      </w:r>
      <w:proofErr w:type="gramEnd"/>
      <w:r w:rsidR="00965347">
        <w:t xml:space="preserve">. </w:t>
      </w:r>
    </w:p>
    <w:p w:rsidR="00965347" w:rsidRDefault="004644F3" w:rsidP="00011AD4">
      <w:pPr>
        <w:pStyle w:val="Paragraphedeliste"/>
        <w:numPr>
          <w:ilvl w:val="0"/>
          <w:numId w:val="5"/>
        </w:numPr>
        <w:ind w:left="851"/>
      </w:pPr>
      <w:r>
        <w:t>D</w:t>
      </w:r>
      <w:r w:rsidR="00965347">
        <w:t xml:space="preserve">ans l’attente de données supplémentaires, </w:t>
      </w:r>
      <w:proofErr w:type="gramStart"/>
      <w:r w:rsidR="00965347">
        <w:t>la HAS</w:t>
      </w:r>
      <w:proofErr w:type="gramEnd"/>
      <w:r w:rsidR="00965347">
        <w:t xml:space="preserve"> recommande de privilégier les vaccins à ARNm chez les personnes âgées de 65 ans et plus, en commençant par les plus âgées et présentant des comorbidités conformément aux populations prioritaires définies dans la stratégie vaccinale.</w:t>
      </w:r>
    </w:p>
    <w:p w:rsidR="00965347" w:rsidRDefault="004644F3" w:rsidP="00011AD4">
      <w:pPr>
        <w:pStyle w:val="Paragraphedeliste"/>
        <w:numPr>
          <w:ilvl w:val="0"/>
          <w:numId w:val="5"/>
        </w:numPr>
        <w:ind w:left="851"/>
      </w:pPr>
      <w:r>
        <w:t xml:space="preserve">Ce vaccin est recommandé préférentiellement aux professionnels du secteur de la santé ou du médico-social de moins de 65 ans et aux personnes de moins de 65 ans, en commençant par les personnes âgées de 50 à 64 ans et qui présentent des comorbidités. Plus largement : toute la phase 3 dès que les doses seront disponibles. </w:t>
      </w:r>
    </w:p>
    <w:p w:rsidR="004644F3" w:rsidRDefault="004644F3" w:rsidP="00011AD4">
      <w:pPr>
        <w:pStyle w:val="Paragraphedeliste"/>
        <w:numPr>
          <w:ilvl w:val="0"/>
          <w:numId w:val="5"/>
        </w:numPr>
        <w:ind w:left="851"/>
      </w:pPr>
      <w:proofErr w:type="gramStart"/>
      <w:r>
        <w:t>La HAS</w:t>
      </w:r>
      <w:proofErr w:type="gramEnd"/>
      <w:r>
        <w:t xml:space="preserve"> recommande de privilégier un intervalle de 9 à 12 semaines entre les deux doses)</w:t>
      </w:r>
      <w:r w:rsidR="004C760C">
        <w:t>.</w:t>
      </w:r>
      <w:r w:rsidR="004C760C" w:rsidRPr="004C760C">
        <w:t xml:space="preserve"> En cas de retard à l’injection de la seconde dose, la vaccination peut reprendre quel que soit le retard (il n’est </w:t>
      </w:r>
      <w:r w:rsidR="004C760C" w:rsidRPr="004C760C">
        <w:lastRenderedPageBreak/>
        <w:t xml:space="preserve">pas nécessaire de recommencer le schéma vaccinal dès le début). </w:t>
      </w:r>
      <w:proofErr w:type="gramStart"/>
      <w:r w:rsidR="004C760C" w:rsidRPr="004C760C">
        <w:t>La HAS</w:t>
      </w:r>
      <w:proofErr w:type="gramEnd"/>
      <w:r w:rsidR="004C760C" w:rsidRPr="004C760C">
        <w:t xml:space="preserve"> rappelle qu’une seconde dose doit absolument être administrée.</w:t>
      </w:r>
    </w:p>
    <w:p w:rsidR="004644F3" w:rsidRDefault="004644F3" w:rsidP="00011AD4">
      <w:pPr>
        <w:pStyle w:val="Paragraphedeliste"/>
        <w:numPr>
          <w:ilvl w:val="0"/>
          <w:numId w:val="5"/>
        </w:numPr>
        <w:ind w:left="851"/>
      </w:pPr>
      <w:r>
        <w:t>L</w:t>
      </w:r>
      <w:r w:rsidR="00965347" w:rsidRPr="00965347">
        <w:t>’efficacité chez l’enfant, chez la femme au cours de la grossesse et chez les personnes immunodéprimées n’a pas été étudiée</w:t>
      </w:r>
      <w:r w:rsidR="00965347">
        <w:t xml:space="preserve">. </w:t>
      </w:r>
    </w:p>
    <w:p w:rsidR="00965347" w:rsidRDefault="004644F3" w:rsidP="00011AD4">
      <w:pPr>
        <w:pStyle w:val="Paragraphedeliste"/>
        <w:numPr>
          <w:ilvl w:val="0"/>
          <w:numId w:val="4"/>
        </w:numPr>
      </w:pPr>
      <w:proofErr w:type="gramStart"/>
      <w:r>
        <w:t>La Has</w:t>
      </w:r>
      <w:proofErr w:type="gramEnd"/>
      <w:r>
        <w:t xml:space="preserve"> recommande donc de ne pas vacciner durant l’allaitement et elle souligne que son utilisation chez la femme enceinte doit être envisagée seulement si les bénéfices potentiels semblent l’emporter sur les risques potentiels pour la mère et le fœtus.</w:t>
      </w:r>
    </w:p>
    <w:p w:rsidR="004644F3" w:rsidRDefault="004644F3" w:rsidP="00011AD4">
      <w:pPr>
        <w:pStyle w:val="Paragraphedeliste"/>
        <w:numPr>
          <w:ilvl w:val="0"/>
          <w:numId w:val="4"/>
        </w:numPr>
      </w:pPr>
      <w:r>
        <w:t xml:space="preserve">Concernant les populations </w:t>
      </w:r>
      <w:r w:rsidR="004C760C">
        <w:t>vulnérables telles que les personnes immunodéprimées, il n’y a pas d’arguments pour penser que le rapport bénéfique-risque puisse être défavorable chez ces personnes.</w:t>
      </w:r>
    </w:p>
    <w:p w:rsidR="004644F3" w:rsidRDefault="004C760C" w:rsidP="00011AD4">
      <w:pPr>
        <w:pStyle w:val="Paragraphedeliste"/>
        <w:numPr>
          <w:ilvl w:val="0"/>
          <w:numId w:val="5"/>
        </w:numPr>
        <w:ind w:left="851"/>
      </w:pPr>
      <w:r>
        <w:t xml:space="preserve">En l’absence de données disponibles à ce jour, </w:t>
      </w:r>
      <w:proofErr w:type="gramStart"/>
      <w:r>
        <w:t>la HAS</w:t>
      </w:r>
      <w:proofErr w:type="gramEnd"/>
      <w:r>
        <w:t xml:space="preserve"> ne recommande pas la </w:t>
      </w:r>
      <w:proofErr w:type="spellStart"/>
      <w:r>
        <w:t>co</w:t>
      </w:r>
      <w:proofErr w:type="spellEnd"/>
      <w:r>
        <w:t>-administration du vaccin AZD1222 avec d'autres vaccins.</w:t>
      </w:r>
    </w:p>
    <w:p w:rsidR="004C760C" w:rsidRDefault="004C760C" w:rsidP="00011AD4">
      <w:pPr>
        <w:pStyle w:val="Paragraphedeliste"/>
        <w:numPr>
          <w:ilvl w:val="0"/>
          <w:numId w:val="5"/>
        </w:numPr>
      </w:pPr>
      <w:r>
        <w:t xml:space="preserve">Au vu des données limitées sur le risque de transmission du SARS-CoV-2, </w:t>
      </w:r>
      <w:proofErr w:type="gramStart"/>
      <w:r>
        <w:t>la HAS</w:t>
      </w:r>
      <w:proofErr w:type="gramEnd"/>
      <w:r>
        <w:t xml:space="preserve"> insiste sur la nécessité de maintenir l’ensemble des gestes barrières et des mesures de distanciation sociale.</w:t>
      </w:r>
    </w:p>
    <w:p w:rsidR="00965347" w:rsidRDefault="00965347" w:rsidP="00011AD4"/>
    <w:p w:rsidR="00011AD4" w:rsidRPr="00011AD4" w:rsidRDefault="00011AD4" w:rsidP="00011AD4">
      <w:pPr>
        <w:rPr>
          <w:b/>
          <w:sz w:val="24"/>
        </w:rPr>
      </w:pPr>
      <w:proofErr w:type="gramStart"/>
      <w:r w:rsidRPr="00011AD4">
        <w:rPr>
          <w:b/>
          <w:sz w:val="24"/>
        </w:rPr>
        <w:t>La HAS</w:t>
      </w:r>
      <w:proofErr w:type="gramEnd"/>
      <w:r w:rsidRPr="00011AD4">
        <w:rPr>
          <w:b/>
          <w:sz w:val="24"/>
        </w:rPr>
        <w:t xml:space="preserve"> recommande la simplification de la vaccination : </w:t>
      </w:r>
    </w:p>
    <w:p w:rsidR="00011AD4" w:rsidRDefault="00011AD4" w:rsidP="00011AD4">
      <w:pPr>
        <w:pStyle w:val="Paragraphedeliste"/>
        <w:numPr>
          <w:ilvl w:val="0"/>
          <w:numId w:val="1"/>
        </w:numPr>
        <w:spacing w:after="160"/>
      </w:pPr>
      <w:r>
        <w:t xml:space="preserve">Dès lors que les contraintes organisationnelles le permettront, la vaccination pourra être accessible en ambulatoire, à proximité des lieux de vie ou de soins habituels, et pourra être organisée de manière à favoriser la mise en œuvre d’un temps unique entre la prescription et l'acte vaccinal. </w:t>
      </w:r>
    </w:p>
    <w:p w:rsidR="00011AD4" w:rsidRDefault="00011AD4" w:rsidP="00011AD4">
      <w:pPr>
        <w:pStyle w:val="Paragraphedeliste"/>
        <w:numPr>
          <w:ilvl w:val="0"/>
          <w:numId w:val="1"/>
        </w:numPr>
        <w:spacing w:after="160"/>
      </w:pPr>
      <w:r>
        <w:t xml:space="preserve">La logistique de ce vaccin devrait permettre de simplifier le parcours vaccinal et d’augmenter les capacités journalières de vaccination. Cela, par la vaccination ambulatoire. </w:t>
      </w:r>
    </w:p>
    <w:p w:rsidR="00011AD4" w:rsidRDefault="00011AD4" w:rsidP="000726B9">
      <w:pPr>
        <w:pStyle w:val="Paragraphedeliste"/>
        <w:numPr>
          <w:ilvl w:val="0"/>
          <w:numId w:val="1"/>
        </w:numPr>
        <w:spacing w:after="160"/>
      </w:pPr>
      <w:proofErr w:type="gramStart"/>
      <w:r>
        <w:t>la</w:t>
      </w:r>
      <w:proofErr w:type="gramEnd"/>
      <w:r>
        <w:t xml:space="preserve"> HAS préconise de permettre aux sages –femmes et pharmaciens d’officine déjà formés à la vaccination et ayant déclaré une telle activité (pour la grippe) de prescrire et de réaliser la vaccination avec le vaccin AZ et, dans tous lieux (lieux d’exercice, centres de vaccination, équipes mobiles, etc.).</w:t>
      </w:r>
    </w:p>
    <w:p w:rsidR="00A84970" w:rsidRPr="00B1752C" w:rsidRDefault="00A84970" w:rsidP="00A84970">
      <w:pPr>
        <w:ind w:left="142" w:hanging="142"/>
        <w:rPr>
          <w:sz w:val="24"/>
        </w:rPr>
      </w:pPr>
      <w:r w:rsidRPr="00B1752C">
        <w:rPr>
          <w:b/>
          <w:sz w:val="24"/>
        </w:rPr>
        <w:t>Remarques</w:t>
      </w:r>
      <w:r w:rsidRPr="00B1752C">
        <w:rPr>
          <w:sz w:val="24"/>
        </w:rPr>
        <w:t xml:space="preserve"> : </w:t>
      </w:r>
    </w:p>
    <w:p w:rsidR="00A84970" w:rsidRDefault="00A84970" w:rsidP="00A84970">
      <w:pPr>
        <w:ind w:left="142"/>
      </w:pPr>
      <w:r w:rsidRPr="00A84970">
        <w:rPr>
          <w:b/>
        </w:rPr>
        <w:t>Des études complémentaires sont attendues</w:t>
      </w:r>
      <w:r>
        <w:t xml:space="preserve"> notamment des études chez les personnes immunodéprimées des études sur les nouveaux </w:t>
      </w:r>
      <w:proofErr w:type="spellStart"/>
      <w:r>
        <w:t>variants</w:t>
      </w:r>
      <w:proofErr w:type="spellEnd"/>
      <w:r>
        <w:t xml:space="preserve"> de SARS - </w:t>
      </w:r>
      <w:proofErr w:type="spellStart"/>
      <w:r>
        <w:t>Cov</w:t>
      </w:r>
      <w:proofErr w:type="spellEnd"/>
      <w:r>
        <w:t xml:space="preserve"> 2, des études avec séquençage des souches virales afin de suivre l’évolution de nouvelles souches, notamment chez les patients infectés après vaccination.</w:t>
      </w:r>
    </w:p>
    <w:p w:rsidR="00A84970" w:rsidRDefault="00A84970" w:rsidP="00A84970">
      <w:pPr>
        <w:ind w:left="142"/>
      </w:pPr>
      <w:r>
        <w:t xml:space="preserve">Enfin, à ce jour, aucune comparaison directe ou indirecte entre les vaccins à ARNm et l’AZD1222 n’est disponible, sur le plan clinique. </w:t>
      </w:r>
    </w:p>
    <w:p w:rsidR="00A84970" w:rsidRDefault="00A84970" w:rsidP="00A84970"/>
    <w:p w:rsidR="00A84970" w:rsidRPr="00B1752C" w:rsidRDefault="00A84970" w:rsidP="00A84970">
      <w:pPr>
        <w:rPr>
          <w:sz w:val="24"/>
        </w:rPr>
      </w:pPr>
      <w:r w:rsidRPr="00B1752C">
        <w:rPr>
          <w:b/>
          <w:sz w:val="24"/>
        </w:rPr>
        <w:t>Rappels</w:t>
      </w:r>
      <w:r w:rsidRPr="00B1752C">
        <w:rPr>
          <w:sz w:val="24"/>
        </w:rPr>
        <w:t> </w:t>
      </w:r>
      <w:r w:rsidR="00B1752C" w:rsidRPr="00B1752C">
        <w:rPr>
          <w:b/>
          <w:sz w:val="24"/>
        </w:rPr>
        <w:t>généraux</w:t>
      </w:r>
      <w:r w:rsidR="00B1752C" w:rsidRPr="00B1752C">
        <w:rPr>
          <w:sz w:val="24"/>
        </w:rPr>
        <w:t xml:space="preserve"> </w:t>
      </w:r>
      <w:r w:rsidRPr="00B1752C">
        <w:rPr>
          <w:sz w:val="24"/>
        </w:rPr>
        <w:t>:</w:t>
      </w:r>
    </w:p>
    <w:p w:rsidR="00A84970" w:rsidRDefault="00A84970" w:rsidP="00A84970">
      <w:pPr>
        <w:pStyle w:val="Paragraphedeliste"/>
        <w:numPr>
          <w:ilvl w:val="0"/>
          <w:numId w:val="4"/>
        </w:numPr>
        <w:ind w:left="851"/>
      </w:pPr>
      <w:r>
        <w:t xml:space="preserve">Il n’y a pas lieu, à ce stade, de vacciner systématiquement les personnes ayant déjà développé une Covid-19 et en toute hypothèse pas avant un délai minimal de 3 mois à partir du début des symptômes. </w:t>
      </w:r>
      <w:proofErr w:type="gramStart"/>
      <w:r>
        <w:t>La HAS</w:t>
      </w:r>
      <w:proofErr w:type="gramEnd"/>
      <w:r>
        <w:t xml:space="preserve"> va émettre prochainement des recommandations sur la vaccination de ces personnes.</w:t>
      </w:r>
    </w:p>
    <w:p w:rsidR="00A84970" w:rsidRDefault="00A84970" w:rsidP="00A84970">
      <w:pPr>
        <w:pStyle w:val="Paragraphedeliste"/>
        <w:numPr>
          <w:ilvl w:val="0"/>
          <w:numId w:val="4"/>
        </w:numPr>
        <w:ind w:left="851"/>
      </w:pPr>
      <w:proofErr w:type="gramStart"/>
      <w:r>
        <w:t>La HAS</w:t>
      </w:r>
      <w:proofErr w:type="gramEnd"/>
      <w:r>
        <w:t xml:space="preserve"> recommande que les personnes récemment en contact avec un cas confirmé de Covid-19 se fassent tester</w:t>
      </w:r>
      <w:r w:rsidR="00B1752C">
        <w:t xml:space="preserve"> </w:t>
      </w:r>
      <w:r>
        <w:t>avant d’envisager une vaccination. Il ne faut en revanche pas interrompre la vaccination</w:t>
      </w:r>
      <w:r w:rsidR="00B1752C">
        <w:t xml:space="preserve"> </w:t>
      </w:r>
      <w:r>
        <w:t>dans un EHPAD en cas de circulation virale.</w:t>
      </w:r>
    </w:p>
    <w:p w:rsidR="00B1752C" w:rsidRDefault="00B1752C" w:rsidP="00B1752C"/>
    <w:tbl>
      <w:tblPr>
        <w:tblStyle w:val="Grilledutableau"/>
        <w:tblW w:w="0" w:type="auto"/>
        <w:tblLook w:val="04A0" w:firstRow="1" w:lastRow="0" w:firstColumn="1" w:lastColumn="0" w:noHBand="0" w:noVBand="1"/>
      </w:tblPr>
      <w:tblGrid>
        <w:gridCol w:w="9062"/>
      </w:tblGrid>
      <w:tr w:rsidR="00B1752C" w:rsidTr="00B1752C">
        <w:tc>
          <w:tcPr>
            <w:tcW w:w="9062" w:type="dxa"/>
          </w:tcPr>
          <w:p w:rsidR="00B1752C" w:rsidRPr="00B1752C" w:rsidRDefault="00B1752C" w:rsidP="00B1752C">
            <w:pPr>
              <w:shd w:val="clear" w:color="auto" w:fill="D9E2F3" w:themeFill="accent5" w:themeFillTint="33"/>
              <w:ind w:left="306" w:hanging="306"/>
              <w:jc w:val="center"/>
              <w:rPr>
                <w:b/>
                <w:color w:val="4472C4" w:themeColor="accent5"/>
              </w:rPr>
            </w:pPr>
            <w:r w:rsidRPr="00B1752C">
              <w:rPr>
                <w:b/>
                <w:color w:val="4472C4" w:themeColor="accent5"/>
              </w:rPr>
              <w:t>EVOLUTION DE LA STRATEGIE</w:t>
            </w:r>
          </w:p>
          <w:p w:rsidR="00B1752C" w:rsidRDefault="00B1752C" w:rsidP="00B1752C">
            <w:pPr>
              <w:ind w:left="306" w:hanging="306"/>
              <w:rPr>
                <w:b/>
              </w:rPr>
            </w:pPr>
          </w:p>
          <w:p w:rsidR="00B1752C" w:rsidRPr="00B1752C" w:rsidRDefault="00B1752C" w:rsidP="00B1752C">
            <w:pPr>
              <w:ind w:left="306" w:hanging="306"/>
              <w:rPr>
                <w:b/>
              </w:rPr>
            </w:pPr>
            <w:r w:rsidRPr="00B1752C">
              <w:rPr>
                <w:b/>
              </w:rPr>
              <w:t xml:space="preserve">1/ Conformément à sa stratégie de priorisation des populations à vacciner pendant les premières phases critiques d’approvisionnement, </w:t>
            </w:r>
            <w:proofErr w:type="gramStart"/>
            <w:r w:rsidRPr="00B1752C">
              <w:rPr>
                <w:b/>
              </w:rPr>
              <w:t>la HAS</w:t>
            </w:r>
            <w:proofErr w:type="gramEnd"/>
            <w:r w:rsidRPr="00B1752C">
              <w:rPr>
                <w:b/>
              </w:rPr>
              <w:t xml:space="preserve"> recommande les vaccins à ARNm préférentiellement :</w:t>
            </w:r>
          </w:p>
          <w:p w:rsidR="00B1752C" w:rsidRDefault="00B1752C" w:rsidP="00B1752C">
            <w:pPr>
              <w:ind w:left="731" w:hanging="306"/>
            </w:pPr>
            <w:r>
              <w:t xml:space="preserve">‒ Aux personnes âgées de plus de 75 ans, en commençant </w:t>
            </w:r>
            <w:proofErr w:type="spellStart"/>
            <w:r>
              <w:t>pas</w:t>
            </w:r>
            <w:proofErr w:type="spellEnd"/>
            <w:r>
              <w:t xml:space="preserve"> les personnes les plus âgées et/ou celles présentant une ou plusieurs comorbidité(s).</w:t>
            </w:r>
          </w:p>
          <w:p w:rsidR="00B1752C" w:rsidRDefault="00B1752C" w:rsidP="00B1752C">
            <w:pPr>
              <w:ind w:left="731" w:hanging="306"/>
            </w:pPr>
            <w:r>
              <w:t>‒ Puis les personnes de 65-74 ans en commençant par celles ayant des comorbidités.</w:t>
            </w:r>
          </w:p>
          <w:p w:rsidR="00B1752C" w:rsidRPr="00B1752C" w:rsidRDefault="00B1752C" w:rsidP="00B1752C">
            <w:pPr>
              <w:ind w:left="306" w:hanging="306"/>
              <w:rPr>
                <w:b/>
              </w:rPr>
            </w:pPr>
            <w:r w:rsidRPr="00B1752C">
              <w:rPr>
                <w:b/>
              </w:rPr>
              <w:t xml:space="preserve">2/ Pour accélérer la campagne de vaccination pendant les premières phases critiques d’approvisionnement, </w:t>
            </w:r>
            <w:proofErr w:type="gramStart"/>
            <w:r w:rsidRPr="00B1752C">
              <w:rPr>
                <w:b/>
              </w:rPr>
              <w:t>la HAS</w:t>
            </w:r>
            <w:proofErr w:type="gramEnd"/>
            <w:r w:rsidRPr="00B1752C">
              <w:rPr>
                <w:b/>
              </w:rPr>
              <w:t xml:space="preserve"> recommande le vaccin AZD1222, dès sa mise à disposition, préférentiellement aux personnes de moins de 65 ans :</w:t>
            </w:r>
          </w:p>
          <w:p w:rsidR="00B1752C" w:rsidRDefault="00B1752C" w:rsidP="00B1752C">
            <w:pPr>
              <w:ind w:left="306" w:hanging="306"/>
            </w:pPr>
            <w:r>
              <w:t>‒ A risque du fait de leur âge (50-64 ans) en commençant par celles ayant des comorbidités.</w:t>
            </w:r>
          </w:p>
          <w:p w:rsidR="00B1752C" w:rsidRDefault="00B1752C" w:rsidP="00B1752C">
            <w:pPr>
              <w:ind w:left="306" w:hanging="306"/>
            </w:pPr>
            <w:r>
              <w:lastRenderedPageBreak/>
              <w:t xml:space="preserve">‒ Aux professionnels des secteurs de la santé et du médico-social de 18 à 64 ans (quel que soit le mode d’exercice). </w:t>
            </w:r>
            <w:proofErr w:type="gramStart"/>
            <w:r>
              <w:t>La HAS</w:t>
            </w:r>
            <w:proofErr w:type="gramEnd"/>
            <w:r>
              <w:t xml:space="preserve"> rappelle l’importance, à ce stade de la campagne vaccinale, de proposer un vaccin à tous les professionnels du secteur sanitaire et du médico-social.</w:t>
            </w:r>
          </w:p>
          <w:p w:rsidR="00B1752C" w:rsidRDefault="00B1752C" w:rsidP="00B1752C">
            <w:pPr>
              <w:ind w:left="306" w:hanging="306"/>
            </w:pPr>
            <w:r>
              <w:t>‒ Ces populations correspondent aux populations priorisées en phase 3 de la stratégie vaccinale qui comprend également les 18 - 49 ans avec comorbidités et les opérateurs essentiels et professionnels des secteurs essentiels au fonctionnement du pays qui devront donc également être vaccinés dès que les doses seront disponibles.</w:t>
            </w:r>
          </w:p>
          <w:p w:rsidR="00B1752C" w:rsidRDefault="00B1752C" w:rsidP="00B1752C">
            <w:pPr>
              <w:ind w:left="306" w:hanging="306"/>
            </w:pPr>
          </w:p>
          <w:p w:rsidR="00B1752C" w:rsidRDefault="00B1752C" w:rsidP="00B1752C">
            <w:pPr>
              <w:ind w:left="22" w:hanging="22"/>
            </w:pPr>
            <w:r>
              <w:t>Cette priorisation des populations cibles pour les différents vaccins sera revue dès lors que de nouvelles données seront disponibles pour le vaccin AZD1222 (notamment chez les personnes âgées de 65 ans et plus) et pour d’autres vaccins ayant obtenu une AMM.</w:t>
            </w:r>
          </w:p>
        </w:tc>
      </w:tr>
    </w:tbl>
    <w:p w:rsidR="00B1752C" w:rsidRDefault="00B1752C" w:rsidP="00B1752C"/>
    <w:p w:rsidR="00B1752C" w:rsidRPr="00E826AA" w:rsidRDefault="00B1752C">
      <w:pPr>
        <w:spacing w:after="160"/>
        <w:jc w:val="left"/>
        <w:rPr>
          <w:color w:val="600808"/>
        </w:rPr>
      </w:pPr>
      <w:r w:rsidRPr="00E826AA">
        <w:rPr>
          <w:color w:val="600808"/>
        </w:rPr>
        <w:br w:type="page"/>
      </w:r>
    </w:p>
    <w:p w:rsidR="00965347" w:rsidRPr="00E826AA" w:rsidRDefault="00965347" w:rsidP="00E826AA">
      <w:pPr>
        <w:pStyle w:val="Paragraphedeliste"/>
        <w:numPr>
          <w:ilvl w:val="0"/>
          <w:numId w:val="7"/>
        </w:numPr>
        <w:rPr>
          <w:b/>
          <w:color w:val="C00000"/>
          <w:sz w:val="28"/>
          <w:szCs w:val="28"/>
          <w:u w:val="single"/>
        </w:rPr>
      </w:pPr>
      <w:r w:rsidRPr="00E826AA">
        <w:rPr>
          <w:b/>
          <w:color w:val="C00000"/>
          <w:sz w:val="28"/>
          <w:szCs w:val="28"/>
          <w:u w:val="single"/>
        </w:rPr>
        <w:lastRenderedPageBreak/>
        <w:t>Résumé des caractéristiques du produit – AstraZeneca – EMA</w:t>
      </w:r>
    </w:p>
    <w:p w:rsidR="00965347" w:rsidRPr="00965347" w:rsidRDefault="00965347" w:rsidP="00965347"/>
    <w:p w:rsidR="00965347" w:rsidRPr="00965347" w:rsidRDefault="00965347" w:rsidP="00965347">
      <w:pPr>
        <w:numPr>
          <w:ilvl w:val="0"/>
          <w:numId w:val="2"/>
        </w:numPr>
        <w:contextualSpacing/>
      </w:pPr>
      <w:r w:rsidRPr="00965347">
        <w:rPr>
          <w:b/>
        </w:rPr>
        <w:t>Quantité</w:t>
      </w:r>
      <w:r w:rsidRPr="00965347">
        <w:t xml:space="preserve"> : Il s'agit de flacons </w:t>
      </w:r>
      <w:proofErr w:type="spellStart"/>
      <w:r w:rsidRPr="00965347">
        <w:t>multidoses</w:t>
      </w:r>
      <w:proofErr w:type="spellEnd"/>
      <w:r w:rsidRPr="00965347">
        <w:t xml:space="preserve"> contenant 8 doses ou 10 doses de 0,5 ml par flacon. </w:t>
      </w:r>
    </w:p>
    <w:p w:rsidR="00965347" w:rsidRPr="00965347" w:rsidRDefault="00965347" w:rsidP="00965347">
      <w:pPr>
        <w:numPr>
          <w:ilvl w:val="0"/>
          <w:numId w:val="2"/>
        </w:numPr>
        <w:contextualSpacing/>
      </w:pPr>
      <w:r w:rsidRPr="00965347">
        <w:rPr>
          <w:b/>
        </w:rPr>
        <w:t>Indication thérapeutique</w:t>
      </w:r>
      <w:r w:rsidRPr="00965347">
        <w:t> : Le COVID-19 Vaccine AstraZeneca est indiqué pour l’immunisation active afin de prévenir la COVID-19 causée par le SARS-CoV-2 chez les personnes âgées de 18 ans et plus.</w:t>
      </w:r>
    </w:p>
    <w:p w:rsidR="00965347" w:rsidRPr="00965347" w:rsidRDefault="00965347" w:rsidP="00965347">
      <w:pPr>
        <w:ind w:left="720"/>
        <w:contextualSpacing/>
      </w:pPr>
      <w:r w:rsidRPr="00965347">
        <w:t>Personnes âgées de 18 ans et plus</w:t>
      </w:r>
    </w:p>
    <w:p w:rsidR="00965347" w:rsidRPr="00965347" w:rsidRDefault="00965347" w:rsidP="00965347">
      <w:pPr>
        <w:ind w:left="720"/>
        <w:contextualSpacing/>
      </w:pPr>
      <w:r w:rsidRPr="00965347">
        <w:t xml:space="preserve">Le schéma de vaccination par le COVID-19 Vaccine AstraZeneca comprend l’administration de </w:t>
      </w:r>
      <w:r w:rsidRPr="00965347">
        <w:rPr>
          <w:b/>
        </w:rPr>
        <w:t xml:space="preserve">deux doses </w:t>
      </w:r>
      <w:r w:rsidRPr="00965347">
        <w:t xml:space="preserve">distinctes de 0,5 ml chacune. La seconde dose doit être administrée entre 4 et 12 semaines (28 à 84 jours) après la première dose. </w:t>
      </w:r>
    </w:p>
    <w:p w:rsidR="00965347" w:rsidRPr="00965347" w:rsidRDefault="00965347" w:rsidP="00965347">
      <w:pPr>
        <w:numPr>
          <w:ilvl w:val="0"/>
          <w:numId w:val="2"/>
        </w:numPr>
        <w:contextualSpacing/>
      </w:pPr>
      <w:r w:rsidRPr="00965347">
        <w:t xml:space="preserve">Il n’existe aucune donnée sur </w:t>
      </w:r>
      <w:r w:rsidRPr="00965347">
        <w:rPr>
          <w:b/>
        </w:rPr>
        <w:t>l'interchangeabilité</w:t>
      </w:r>
      <w:r w:rsidRPr="00965347">
        <w:t xml:space="preserve"> de COVID-19 Vaccine AstraZeneca avec d'autres vaccins COVID-19 pour compléter le schéma de vaccination (les 2 doses doivent être du même vaccin). </w:t>
      </w:r>
    </w:p>
    <w:p w:rsidR="00965347" w:rsidRPr="00965347" w:rsidRDefault="00965347" w:rsidP="00965347">
      <w:pPr>
        <w:numPr>
          <w:ilvl w:val="0"/>
          <w:numId w:val="2"/>
        </w:numPr>
        <w:contextualSpacing/>
      </w:pPr>
      <w:r w:rsidRPr="00965347">
        <w:t>Ce produit contient des organismes génétiquement modifiés (</w:t>
      </w:r>
      <w:r w:rsidRPr="00965347">
        <w:rPr>
          <w:b/>
        </w:rPr>
        <w:t>OGM</w:t>
      </w:r>
      <w:r w:rsidRPr="00965347">
        <w:t>).</w:t>
      </w:r>
    </w:p>
    <w:p w:rsidR="00965347" w:rsidRPr="00965347" w:rsidRDefault="00965347" w:rsidP="00965347">
      <w:pPr>
        <w:numPr>
          <w:ilvl w:val="0"/>
          <w:numId w:val="2"/>
        </w:numPr>
        <w:contextualSpacing/>
      </w:pPr>
      <w:r w:rsidRPr="00965347">
        <w:rPr>
          <w:b/>
        </w:rPr>
        <w:t>Mises en garde spéciales</w:t>
      </w:r>
      <w:r w:rsidRPr="00965347">
        <w:t xml:space="preserve"> : Une surveillance étroite pendant au moins 15 minutes est recommandée après la vaccination. + surveillance de 15 min. </w:t>
      </w:r>
    </w:p>
    <w:p w:rsidR="00965347" w:rsidRPr="00965347" w:rsidRDefault="00965347" w:rsidP="00965347">
      <w:pPr>
        <w:numPr>
          <w:ilvl w:val="0"/>
          <w:numId w:val="2"/>
        </w:numPr>
        <w:contextualSpacing/>
      </w:pPr>
      <w:r w:rsidRPr="00965347">
        <w:rPr>
          <w:b/>
        </w:rPr>
        <w:t>Efficacité </w:t>
      </w:r>
      <w:r w:rsidRPr="00965347">
        <w:t>: Les sujets commencent à être protégés environ 3 semaines après la première dose du COVID-19 Vaccine AstraZeneca. Néanmoins, ils ne seront pas protégés de façon optimale avant un délai de 15 jours suivant l’administration de la seconde dose. Une deuxième dose doit être administrée à un intervalle de 4 à 12 semaines après la première dose. Les données cliniques actuellement disponibles ne permettent pas d’estimer l’efficacité vaccinale chez les sujets de plus de 55 ans. </w:t>
      </w:r>
    </w:p>
    <w:p w:rsidR="00965347" w:rsidRPr="00965347" w:rsidRDefault="00965347" w:rsidP="00965347">
      <w:pPr>
        <w:numPr>
          <w:ilvl w:val="0"/>
          <w:numId w:val="2"/>
        </w:numPr>
        <w:contextualSpacing/>
      </w:pPr>
      <w:r w:rsidRPr="00965347">
        <w:rPr>
          <w:b/>
        </w:rPr>
        <w:t>Concernant les femmes enceintes</w:t>
      </w:r>
      <w:r w:rsidRPr="00965347">
        <w:t> : L’administration de COVID-19 Vaccine AstraZeneca au cours de la grossesse doit être envisagée seulement si les bénéfices potentiels l’emportent sur les risques potentiels pour la mère et le fœtus.</w:t>
      </w:r>
    </w:p>
    <w:p w:rsidR="00965347" w:rsidRPr="00965347" w:rsidRDefault="00965347" w:rsidP="00965347">
      <w:pPr>
        <w:numPr>
          <w:ilvl w:val="0"/>
          <w:numId w:val="2"/>
        </w:numPr>
        <w:contextualSpacing/>
      </w:pPr>
      <w:r w:rsidRPr="00965347">
        <w:rPr>
          <w:b/>
        </w:rPr>
        <w:t>Effets indésirables </w:t>
      </w:r>
      <w:r w:rsidRPr="00965347">
        <w:t xml:space="preserve">: </w:t>
      </w:r>
    </w:p>
    <w:p w:rsidR="00965347" w:rsidRPr="00965347" w:rsidRDefault="00965347" w:rsidP="00965347">
      <w:r w:rsidRPr="00965347">
        <w:rPr>
          <w:noProof/>
          <w:lang w:eastAsia="fr-FR"/>
        </w:rPr>
        <w:drawing>
          <wp:anchor distT="0" distB="0" distL="114300" distR="114300" simplePos="0" relativeHeight="251659264" behindDoc="0" locked="0" layoutInCell="1" allowOverlap="1" wp14:anchorId="678467FC" wp14:editId="5D961AD1">
            <wp:simplePos x="0" y="0"/>
            <wp:positionH relativeFrom="margin">
              <wp:align>right</wp:align>
            </wp:positionH>
            <wp:positionV relativeFrom="paragraph">
              <wp:posOffset>217805</wp:posOffset>
            </wp:positionV>
            <wp:extent cx="4693920" cy="4081780"/>
            <wp:effectExtent l="0" t="0" r="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BEBA8EAE-BF5A-486C-A8C5-ECC9F3942E4B}">
                          <a14:imgProps xmlns:a14="http://schemas.microsoft.com/office/drawing/2010/main">
                            <a14:imgLayer r:embed="rId8">
                              <a14:imgEffect>
                                <a14:sharpenSoften amount="25000"/>
                              </a14:imgEffect>
                              <a14:imgEffect>
                                <a14:brightnessContrast contrast="-20000"/>
                              </a14:imgEffect>
                            </a14:imgLayer>
                          </a14:imgProps>
                        </a:ext>
                      </a:extLst>
                    </a:blip>
                    <a:stretch>
                      <a:fillRect/>
                    </a:stretch>
                  </pic:blipFill>
                  <pic:spPr>
                    <a:xfrm>
                      <a:off x="0" y="0"/>
                      <a:ext cx="4693920" cy="4081780"/>
                    </a:xfrm>
                    <a:prstGeom prst="rect">
                      <a:avLst/>
                    </a:prstGeom>
                  </pic:spPr>
                </pic:pic>
              </a:graphicData>
            </a:graphic>
            <wp14:sizeRelH relativeFrom="margin">
              <wp14:pctWidth>0</wp14:pctWidth>
            </wp14:sizeRelH>
            <wp14:sizeRelV relativeFrom="margin">
              <wp14:pctHeight>0</wp14:pctHeight>
            </wp14:sizeRelV>
          </wp:anchor>
        </w:drawing>
      </w:r>
    </w:p>
    <w:p w:rsidR="00965347" w:rsidRPr="00965347" w:rsidRDefault="00965347" w:rsidP="00965347">
      <w:pPr>
        <w:ind w:left="720"/>
        <w:contextualSpacing/>
      </w:pPr>
    </w:p>
    <w:p w:rsidR="00965347" w:rsidRPr="00965347" w:rsidRDefault="00965347" w:rsidP="00965347">
      <w:pPr>
        <w:numPr>
          <w:ilvl w:val="0"/>
          <w:numId w:val="2"/>
        </w:numPr>
        <w:contextualSpacing/>
      </w:pPr>
      <w:r w:rsidRPr="00965347">
        <w:t xml:space="preserve">Une autorisation de mise sur le marché « conditionnelle » a été délivrée pour ce médicament. Cela signifie que </w:t>
      </w:r>
      <w:r w:rsidRPr="00965347">
        <w:rPr>
          <w:b/>
        </w:rPr>
        <w:t>des preuves supplémentaires concernant ce médicament sont attendues</w:t>
      </w:r>
      <w:r w:rsidRPr="00965347">
        <w:t xml:space="preserve">. L’Agence </w:t>
      </w:r>
      <w:r w:rsidRPr="00965347">
        <w:lastRenderedPageBreak/>
        <w:t>européenne des médicaments réévaluera toute nouvelle information sur ce médicament au moins chaque année et ce RCP sera mis à jour si nécessaire.</w:t>
      </w:r>
    </w:p>
    <w:p w:rsidR="00965347" w:rsidRPr="00965347" w:rsidRDefault="00965347" w:rsidP="00965347">
      <w:pPr>
        <w:numPr>
          <w:ilvl w:val="0"/>
          <w:numId w:val="2"/>
        </w:numPr>
        <w:contextualSpacing/>
      </w:pPr>
      <w:r w:rsidRPr="00965347">
        <w:rPr>
          <w:b/>
        </w:rPr>
        <w:t>Conservation</w:t>
      </w:r>
      <w:r w:rsidRPr="00965347">
        <w:t> : 6 mois au réfrigérateur (2°C - 8°C) pour un flacon non ouvert. Pour un flacon ouvert, la conservation ne peut excéder 48h au réfrigérateur (2°C à 8°</w:t>
      </w:r>
      <w:proofErr w:type="gramStart"/>
      <w:r w:rsidRPr="00965347">
        <w:t>C )</w:t>
      </w:r>
      <w:proofErr w:type="gramEnd"/>
      <w:r w:rsidRPr="00965347">
        <w:t xml:space="preserve">. Le produit peut être conservé et utilisé à des températures inférieures à 30°C pendant une seule et même période de 6 heures au maximum. Après ce délai, le produit doit être jeté. Ne pas le conserver à nouveau au réfrigérateur. Ne pas congeler. </w:t>
      </w:r>
    </w:p>
    <w:p w:rsidR="00965347" w:rsidRPr="00965347" w:rsidRDefault="00965347" w:rsidP="00965347">
      <w:pPr>
        <w:numPr>
          <w:ilvl w:val="0"/>
          <w:numId w:val="2"/>
        </w:numPr>
        <w:contextualSpacing/>
      </w:pPr>
      <w:r w:rsidRPr="00965347">
        <w:t xml:space="preserve">Il est normal qu’il reste du liquide dans le flacon après le prélèvement de la dernière dose. Un </w:t>
      </w:r>
      <w:proofErr w:type="spellStart"/>
      <w:r w:rsidRPr="00965347">
        <w:t>surremplissage</w:t>
      </w:r>
      <w:proofErr w:type="spellEnd"/>
      <w:r w:rsidRPr="00965347">
        <w:t xml:space="preserve"> est inclus dans chaque flacon</w:t>
      </w:r>
    </w:p>
    <w:p w:rsidR="00965347" w:rsidRPr="00965347" w:rsidRDefault="00965347" w:rsidP="00965347">
      <w:pPr>
        <w:numPr>
          <w:ilvl w:val="0"/>
          <w:numId w:val="2"/>
        </w:numPr>
        <w:contextualSpacing/>
      </w:pPr>
      <w:r w:rsidRPr="00965347">
        <w:rPr>
          <w:b/>
        </w:rPr>
        <w:t>Elimination</w:t>
      </w:r>
      <w:r w:rsidRPr="00965347">
        <w:t> : tout déchet doit être éliminé conformément à la réglementation en vigueur pour les organismes génétiquement modifiés ou déchets biologiques</w:t>
      </w:r>
    </w:p>
    <w:p w:rsidR="00965347" w:rsidRPr="00965347" w:rsidRDefault="00965347" w:rsidP="00965347">
      <w:pPr>
        <w:numPr>
          <w:ilvl w:val="0"/>
          <w:numId w:val="2"/>
        </w:numPr>
        <w:contextualSpacing/>
      </w:pPr>
      <w:r w:rsidRPr="00965347">
        <w:rPr>
          <w:b/>
        </w:rPr>
        <w:t>Conclusions de l’AME</w:t>
      </w:r>
      <w:r w:rsidRPr="00965347">
        <w:t xml:space="preserve"> : « Après examen de la demande, le CHMP estime que le rapport bénéfice/risque est favorable pour une recommandation de délivrance de l’autorisation conditionnelle de mise sur le marché, comme expliqué plus en détail dans le rapport européen public d’évaluation ». </w:t>
      </w:r>
    </w:p>
    <w:p w:rsidR="00965347" w:rsidRPr="00965347" w:rsidRDefault="00965347" w:rsidP="00965347">
      <w:pPr>
        <w:numPr>
          <w:ilvl w:val="0"/>
          <w:numId w:val="2"/>
        </w:numPr>
        <w:contextualSpacing/>
      </w:pPr>
      <w:r w:rsidRPr="00965347">
        <w:rPr>
          <w:b/>
        </w:rPr>
        <w:t>Mesures post-autorisation concernant l’EMMM conditionnelle</w:t>
      </w:r>
      <w:r w:rsidRPr="00965347">
        <w:t xml:space="preserve"> : les mesures s’étalent de décembre 2021 à 2024. Elle consiste principalement en des études complémentaires d’efficacité, stabilité du vaccin notamment. </w:t>
      </w:r>
    </w:p>
    <w:p w:rsidR="00965347" w:rsidRPr="00965347" w:rsidRDefault="00965347" w:rsidP="00965347"/>
    <w:p w:rsidR="00965347" w:rsidRPr="00965347" w:rsidRDefault="00965347" w:rsidP="00965347">
      <w:pPr>
        <w:rPr>
          <w:b/>
          <w:sz w:val="22"/>
        </w:rPr>
      </w:pPr>
      <w:r w:rsidRPr="00965347">
        <w:rPr>
          <w:b/>
          <w:sz w:val="22"/>
        </w:rPr>
        <w:sym w:font="Wingdings" w:char="F0E0"/>
      </w:r>
      <w:r w:rsidRPr="00965347">
        <w:rPr>
          <w:b/>
          <w:sz w:val="22"/>
        </w:rPr>
        <w:t xml:space="preserve"> </w:t>
      </w:r>
      <w:r w:rsidRPr="00965347">
        <w:rPr>
          <w:b/>
          <w:sz w:val="22"/>
          <w:shd w:val="clear" w:color="auto" w:fill="FFD966" w:themeFill="accent4" w:themeFillTint="99"/>
        </w:rPr>
        <w:t>POINT DE VIGILANCE</w:t>
      </w:r>
      <w:r w:rsidRPr="00965347">
        <w:rPr>
          <w:b/>
          <w:sz w:val="22"/>
        </w:rPr>
        <w:t xml:space="preserve"> (M. </w:t>
      </w:r>
      <w:proofErr w:type="spellStart"/>
      <w:r w:rsidRPr="00965347">
        <w:rPr>
          <w:b/>
          <w:sz w:val="22"/>
        </w:rPr>
        <w:t>Dahan</w:t>
      </w:r>
      <w:proofErr w:type="spellEnd"/>
      <w:r w:rsidRPr="00965347">
        <w:rPr>
          <w:b/>
          <w:sz w:val="22"/>
        </w:rPr>
        <w:t xml:space="preserve"> 01/02): </w:t>
      </w:r>
    </w:p>
    <w:p w:rsidR="00965347" w:rsidRPr="00965347" w:rsidRDefault="00965347" w:rsidP="00965347">
      <w:pPr>
        <w:numPr>
          <w:ilvl w:val="0"/>
          <w:numId w:val="3"/>
        </w:numPr>
        <w:contextualSpacing/>
        <w:rPr>
          <w:sz w:val="22"/>
        </w:rPr>
      </w:pPr>
      <w:r w:rsidRPr="00965347">
        <w:rPr>
          <w:sz w:val="22"/>
        </w:rPr>
        <w:t xml:space="preserve">Ce vaccin est à base d’adénovirus, ce qui signifie (et c’est bien écrit en toutes lettres dans le RCP) </w:t>
      </w:r>
      <w:r w:rsidRPr="00965347">
        <w:rPr>
          <w:sz w:val="22"/>
          <w:u w:val="single"/>
        </w:rPr>
        <w:t>qu’il contient des OGM</w:t>
      </w:r>
      <w:r w:rsidRPr="00965347">
        <w:rPr>
          <w:sz w:val="22"/>
        </w:rPr>
        <w:t>. Cela ne manquera pas d’être relevé et il faut sans aucun doute préparer une explication solide (à demander à Alain Fischer ?), ainsi que peut-être (Cécile ?) un check juridique sur l’utilisation des OGM pout être sûr qu’on n’a rien oublié ;</w:t>
      </w:r>
    </w:p>
    <w:p w:rsidR="00965347" w:rsidRPr="00965347" w:rsidRDefault="00965347" w:rsidP="00965347">
      <w:pPr>
        <w:numPr>
          <w:ilvl w:val="0"/>
          <w:numId w:val="3"/>
        </w:numPr>
        <w:contextualSpacing/>
        <w:rPr>
          <w:sz w:val="22"/>
        </w:rPr>
      </w:pPr>
      <w:r w:rsidRPr="00965347">
        <w:rPr>
          <w:sz w:val="22"/>
        </w:rPr>
        <w:t>Il n’a pas été étudié chez les immunodéprimés (patients sous chimiothérapie, greffés, VIH+…) et il est indiqué que l’efficacité peut être diminuée chez ces patients ;</w:t>
      </w:r>
    </w:p>
    <w:p w:rsidR="00965347" w:rsidRPr="00965347" w:rsidRDefault="00965347" w:rsidP="00965347">
      <w:pPr>
        <w:numPr>
          <w:ilvl w:val="0"/>
          <w:numId w:val="3"/>
        </w:numPr>
        <w:contextualSpacing/>
        <w:rPr>
          <w:sz w:val="22"/>
        </w:rPr>
      </w:pPr>
      <w:r w:rsidRPr="00965347">
        <w:rPr>
          <w:sz w:val="22"/>
        </w:rPr>
        <w:t xml:space="preserve">Le RCP précise clairement que Les données cliniques actuellement disponibles ne permettent pas d’estimer l’efficacité vaccinale chez les sujets de plus de </w:t>
      </w:r>
      <w:r w:rsidRPr="00965347">
        <w:rPr>
          <w:bCs/>
          <w:sz w:val="22"/>
        </w:rPr>
        <w:t>55 ans</w:t>
      </w:r>
      <w:r w:rsidRPr="00965347">
        <w:rPr>
          <w:sz w:val="22"/>
        </w:rPr>
        <w:t>.</w:t>
      </w:r>
    </w:p>
    <w:p w:rsidR="00965347" w:rsidRPr="00965347" w:rsidRDefault="00965347" w:rsidP="00965347"/>
    <w:p w:rsidR="00965347" w:rsidRDefault="00965347" w:rsidP="00965347"/>
    <w:sectPr w:rsidR="009653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3E64"/>
    <w:multiLevelType w:val="hybridMultilevel"/>
    <w:tmpl w:val="C4348BB0"/>
    <w:lvl w:ilvl="0" w:tplc="678CCFC2">
      <w:numFmt w:val="bullet"/>
      <w:lvlText w:val=""/>
      <w:lvlJc w:val="left"/>
      <w:pPr>
        <w:ind w:left="720" w:hanging="360"/>
      </w:pPr>
      <w:rPr>
        <w:rFonts w:ascii="Symbol" w:eastAsiaTheme="minorHAnsi" w:hAnsi="Symbol" w:cstheme="minorBid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D2255B"/>
    <w:multiLevelType w:val="hybridMultilevel"/>
    <w:tmpl w:val="9CA4B37E"/>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13A67622"/>
    <w:multiLevelType w:val="hybridMultilevel"/>
    <w:tmpl w:val="D1867F22"/>
    <w:lvl w:ilvl="0" w:tplc="C61CA678">
      <w:numFmt w:val="bullet"/>
      <w:lvlText w:val=""/>
      <w:lvlJc w:val="left"/>
      <w:pPr>
        <w:ind w:left="1080" w:hanging="360"/>
      </w:pPr>
      <w:rPr>
        <w:rFonts w:ascii="Symbol" w:eastAsiaTheme="minorHAnsi"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1C2F77B3"/>
    <w:multiLevelType w:val="hybridMultilevel"/>
    <w:tmpl w:val="9BE66FCA"/>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505A4775"/>
    <w:multiLevelType w:val="hybridMultilevel"/>
    <w:tmpl w:val="A204F816"/>
    <w:lvl w:ilvl="0" w:tplc="7EFE51A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8694168"/>
    <w:multiLevelType w:val="hybridMultilevel"/>
    <w:tmpl w:val="D8E67FE0"/>
    <w:lvl w:ilvl="0" w:tplc="F8CC540C">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8FC5B69"/>
    <w:multiLevelType w:val="hybridMultilevel"/>
    <w:tmpl w:val="39140D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86B6BE7"/>
    <w:multiLevelType w:val="hybridMultilevel"/>
    <w:tmpl w:val="35849348"/>
    <w:lvl w:ilvl="0" w:tplc="0FA6D5A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0"/>
  </w:num>
  <w:num w:numId="3">
    <w:abstractNumId w:val="6"/>
  </w:num>
  <w:num w:numId="4">
    <w:abstractNumId w:val="2"/>
  </w:num>
  <w:num w:numId="5">
    <w:abstractNumId w:val="3"/>
  </w:num>
  <w:num w:numId="6">
    <w:abstractNumId w:val="1"/>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347"/>
    <w:rsid w:val="00011AD4"/>
    <w:rsid w:val="0007134E"/>
    <w:rsid w:val="00272EE0"/>
    <w:rsid w:val="004644F3"/>
    <w:rsid w:val="004C760C"/>
    <w:rsid w:val="00664BD2"/>
    <w:rsid w:val="0067144E"/>
    <w:rsid w:val="00965347"/>
    <w:rsid w:val="00975FA7"/>
    <w:rsid w:val="00A36053"/>
    <w:rsid w:val="00A84970"/>
    <w:rsid w:val="00B1752C"/>
    <w:rsid w:val="00E826AA"/>
    <w:rsid w:val="00EB316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8F347"/>
  <w15:chartTrackingRefBased/>
  <w15:docId w15:val="{737792A4-E3C6-4CE5-9640-572533650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3164"/>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9653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65347"/>
    <w:pPr>
      <w:ind w:left="720"/>
      <w:contextualSpacing/>
    </w:pPr>
  </w:style>
  <w:style w:type="character" w:styleId="Lienhypertexte">
    <w:name w:val="Hyperlink"/>
    <w:basedOn w:val="Policepardfaut"/>
    <w:uiPriority w:val="99"/>
    <w:unhideWhenUsed/>
    <w:rsid w:val="00664B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as-sante.fr/upload/docs/application/pdf/2021-02/strategie_de_vaccination_contre_la_covid-19_-_place_du_covid-19_vaccine_astrazeneca_synthese.pdf" TargetMode="External"/><Relationship Id="rId5" Type="http://schemas.openxmlformats.org/officeDocument/2006/relationships/hyperlink" Target="https://www.has-sante.fr/upload/docs/application/pdf/2021-02/strategie_de_vaccination_contre_la_covid-19_-_place_du_covid-19_vaccine_astrazeneca_recommandations.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5</Pages>
  <Words>1867</Words>
  <Characters>10270</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GARONNAIRE, Marjolaine (DGS/COVID-19)</dc:creator>
  <cp:keywords/>
  <dc:description/>
  <cp:lastModifiedBy>GARONNAIRE, Marjolaine (DGS/COVID-19)</cp:lastModifiedBy>
  <cp:revision>8</cp:revision>
  <dcterms:created xsi:type="dcterms:W3CDTF">2021-02-03T10:23:00Z</dcterms:created>
  <dcterms:modified xsi:type="dcterms:W3CDTF">2021-02-03T13:45:00Z</dcterms:modified>
</cp:coreProperties>
</file>