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12FB" w:rsidRPr="007939C5" w:rsidRDefault="00C212FB" w:rsidP="00C212FB">
      <w:pPr>
        <w:jc w:val="center"/>
        <w:rPr>
          <w:rFonts w:ascii="Caracteres L4" w:hAnsi="Caracteres L4"/>
          <w:b/>
          <w:color w:val="C00000"/>
          <w:sz w:val="36"/>
        </w:rPr>
      </w:pPr>
      <w:r>
        <w:rPr>
          <w:rFonts w:ascii="Caracteres L4" w:hAnsi="Caracteres L4"/>
          <w:b/>
          <w:color w:val="C00000"/>
          <w:sz w:val="36"/>
        </w:rPr>
        <w:t xml:space="preserve">FICHE </w:t>
      </w:r>
      <w:r w:rsidRPr="007939C5">
        <w:rPr>
          <w:rFonts w:ascii="Caracteres L4" w:hAnsi="Caracteres L4"/>
          <w:b/>
          <w:color w:val="C00000"/>
          <w:sz w:val="36"/>
        </w:rPr>
        <w:t>EDL VARIANT</w:t>
      </w:r>
      <w:r>
        <w:rPr>
          <w:rFonts w:ascii="Caracteres L4" w:hAnsi="Caracteres L4"/>
          <w:b/>
          <w:color w:val="C00000"/>
          <w:sz w:val="36"/>
        </w:rPr>
        <w:t>E</w:t>
      </w:r>
    </w:p>
    <w:p w:rsidR="001B14C5" w:rsidRDefault="001B14C5" w:rsidP="001B14C5">
      <w:pPr>
        <w:jc w:val="center"/>
        <w:rPr>
          <w:b/>
          <w:color w:val="2E74B5" w:themeColor="accent1" w:themeShade="BF"/>
          <w:sz w:val="32"/>
        </w:rPr>
      </w:pPr>
      <w:r>
        <w:rPr>
          <w:b/>
          <w:color w:val="2E74B5" w:themeColor="accent1" w:themeShade="BF"/>
          <w:sz w:val="32"/>
        </w:rPr>
        <w:t>Dernière mise à jour : 21</w:t>
      </w:r>
      <w:r w:rsidRPr="00387A2B">
        <w:rPr>
          <w:b/>
          <w:color w:val="2E74B5" w:themeColor="accent1" w:themeShade="BF"/>
          <w:sz w:val="32"/>
        </w:rPr>
        <w:t>/01/2021</w:t>
      </w:r>
    </w:p>
    <w:p w:rsidR="001B14C5" w:rsidRPr="00387A2B" w:rsidRDefault="001B14C5" w:rsidP="001B14C5">
      <w:pPr>
        <w:jc w:val="center"/>
        <w:rPr>
          <w:b/>
          <w:color w:val="2E74B5" w:themeColor="accent1" w:themeShade="BF"/>
          <w:sz w:val="32"/>
        </w:rPr>
      </w:pPr>
      <w:r>
        <w:rPr>
          <w:b/>
          <w:color w:val="2E74B5" w:themeColor="accent1" w:themeShade="BF"/>
          <w:sz w:val="32"/>
        </w:rPr>
        <w:t>---------------------------------------------------------------------------------</w:t>
      </w:r>
    </w:p>
    <w:p w:rsidR="001B14C5" w:rsidRPr="003B7AAF" w:rsidRDefault="001B14C5" w:rsidP="001B14C5">
      <w:pPr>
        <w:pStyle w:val="Default"/>
        <w:jc w:val="both"/>
        <w:rPr>
          <w:rFonts w:asciiTheme="minorHAnsi" w:hAnsiTheme="minorHAnsi" w:cstheme="minorHAnsi"/>
          <w:bCs/>
        </w:rPr>
      </w:pPr>
      <w:r w:rsidRPr="003B7AAF">
        <w:rPr>
          <w:rFonts w:asciiTheme="minorHAnsi" w:hAnsiTheme="minorHAnsi" w:cstheme="minorHAnsi"/>
        </w:rPr>
        <w:t xml:space="preserve">De </w:t>
      </w:r>
      <w:r w:rsidRPr="003B7AAF">
        <w:rPr>
          <w:rFonts w:asciiTheme="minorHAnsi" w:hAnsiTheme="minorHAnsi" w:cstheme="minorHAnsi"/>
          <w:bCs/>
        </w:rPr>
        <w:t>nouvelles variantes du SARS-CoV-2 ont été initialement détectées au</w:t>
      </w:r>
      <w:r w:rsidRPr="003B7AAF">
        <w:rPr>
          <w:rFonts w:asciiTheme="minorHAnsi" w:hAnsiTheme="minorHAnsi" w:cstheme="minorHAnsi"/>
          <w:b/>
          <w:bCs/>
        </w:rPr>
        <w:t xml:space="preserve"> Royaume-Uni, </w:t>
      </w:r>
      <w:r w:rsidRPr="003B7AAF">
        <w:rPr>
          <w:rFonts w:asciiTheme="minorHAnsi" w:hAnsiTheme="minorHAnsi" w:cstheme="minorHAnsi"/>
          <w:bCs/>
        </w:rPr>
        <w:t>en</w:t>
      </w:r>
      <w:r w:rsidRPr="003B7AAF">
        <w:rPr>
          <w:rFonts w:asciiTheme="minorHAnsi" w:hAnsiTheme="minorHAnsi" w:cstheme="minorHAnsi"/>
          <w:b/>
          <w:bCs/>
        </w:rPr>
        <w:t xml:space="preserve"> Afrique du Sud</w:t>
      </w:r>
      <w:r w:rsidRPr="003B7AAF">
        <w:rPr>
          <w:rFonts w:asciiTheme="minorHAnsi" w:hAnsiTheme="minorHAnsi" w:cstheme="minorHAnsi"/>
          <w:bCs/>
        </w:rPr>
        <w:t xml:space="preserve">, et au </w:t>
      </w:r>
      <w:r w:rsidRPr="003B7AAF">
        <w:rPr>
          <w:rFonts w:asciiTheme="minorHAnsi" w:hAnsiTheme="minorHAnsi" w:cstheme="minorHAnsi"/>
          <w:b/>
          <w:bCs/>
        </w:rPr>
        <w:t>Brésil</w:t>
      </w:r>
      <w:r w:rsidRPr="003B7AAF">
        <w:rPr>
          <w:rFonts w:asciiTheme="minorHAnsi" w:hAnsiTheme="minorHAnsi" w:cstheme="minorHAnsi"/>
          <w:bCs/>
        </w:rPr>
        <w:t>, et sont aujourd’hui détectées dans de nombreux pays.</w:t>
      </w:r>
    </w:p>
    <w:p w:rsidR="001B14C5" w:rsidRPr="003B7AAF" w:rsidRDefault="001B14C5" w:rsidP="001B14C5">
      <w:pPr>
        <w:pStyle w:val="Default"/>
        <w:jc w:val="both"/>
        <w:rPr>
          <w:rFonts w:asciiTheme="minorHAnsi" w:hAnsiTheme="minorHAnsi" w:cstheme="minorHAnsi"/>
          <w:b/>
          <w:i/>
          <w:color w:val="0070C0"/>
          <w:u w:val="single"/>
        </w:rPr>
      </w:pPr>
    </w:p>
    <w:p w:rsidR="001B14C5" w:rsidRPr="003B7AAF" w:rsidRDefault="003B7AAF" w:rsidP="001B14C5">
      <w:pPr>
        <w:pStyle w:val="Default"/>
        <w:jc w:val="both"/>
        <w:rPr>
          <w:rFonts w:asciiTheme="minorHAnsi" w:hAnsiTheme="minorHAnsi" w:cstheme="minorHAnsi"/>
          <w:b/>
          <w:i/>
          <w:color w:val="0070C0"/>
          <w:u w:val="single"/>
        </w:rPr>
      </w:pPr>
      <w:r>
        <w:rPr>
          <w:rFonts w:asciiTheme="minorHAnsi" w:hAnsiTheme="minorHAnsi" w:cstheme="minorHAnsi"/>
          <w:b/>
          <w:i/>
          <w:color w:val="0070C0"/>
          <w:u w:val="single"/>
        </w:rPr>
        <w:t>OBJECTIFS ET ENJEUX</w:t>
      </w:r>
    </w:p>
    <w:p w:rsidR="001B14C5" w:rsidRPr="003B7AAF" w:rsidRDefault="001B14C5" w:rsidP="001B14C5">
      <w:pPr>
        <w:pStyle w:val="Default"/>
        <w:jc w:val="both"/>
        <w:rPr>
          <w:rFonts w:asciiTheme="minorHAnsi" w:hAnsiTheme="minorHAnsi" w:cstheme="minorHAnsi"/>
          <w:b/>
          <w:i/>
          <w:color w:val="0070C0"/>
          <w:u w:val="single"/>
        </w:rPr>
      </w:pPr>
    </w:p>
    <w:p w:rsidR="001B14C5" w:rsidRPr="003B7AAF" w:rsidRDefault="001B14C5" w:rsidP="001B14C5">
      <w:pPr>
        <w:pStyle w:val="Default"/>
        <w:jc w:val="both"/>
        <w:rPr>
          <w:rFonts w:asciiTheme="minorHAnsi" w:hAnsiTheme="minorHAnsi" w:cstheme="minorHAnsi"/>
        </w:rPr>
      </w:pPr>
      <w:r w:rsidRPr="003B7AAF">
        <w:rPr>
          <w:rFonts w:asciiTheme="minorHAnsi" w:hAnsiTheme="minorHAnsi" w:cstheme="minorHAnsi"/>
        </w:rPr>
        <w:t>L’enjeu principal des autorités sanitaires est d’identifier le plus précocement possible chaque patient contaminé par une variante virale pour appliquer un isolement strict, rechercher, tester et isoler leurs personnes contacts et éviter la propagation des variantes du SARS-CoV-2 sur le territoire national. Les autorités rappellent l’importance du respect immédiat de l’isolement par toute personne présentant des symptômes évocateurs, par tout cas confirmé de Covid19 et par toute personne contact d’un cas confirmé.</w:t>
      </w:r>
    </w:p>
    <w:p w:rsidR="001B14C5" w:rsidRPr="003B7AAF" w:rsidRDefault="001B14C5" w:rsidP="001B14C5">
      <w:pPr>
        <w:pStyle w:val="Default"/>
        <w:jc w:val="both"/>
        <w:rPr>
          <w:rFonts w:asciiTheme="minorHAnsi" w:hAnsiTheme="minorHAnsi" w:cstheme="minorHAnsi"/>
        </w:rPr>
      </w:pPr>
    </w:p>
    <w:p w:rsidR="004A5AE3" w:rsidRPr="003B7AAF" w:rsidRDefault="001B14C5" w:rsidP="001B14C5">
      <w:pPr>
        <w:pStyle w:val="Default"/>
        <w:jc w:val="both"/>
        <w:rPr>
          <w:rFonts w:asciiTheme="minorHAnsi" w:hAnsiTheme="minorHAnsi" w:cstheme="minorHAnsi"/>
          <w:b/>
          <w:i/>
          <w:color w:val="0070C0"/>
          <w:u w:val="single"/>
        </w:rPr>
      </w:pPr>
      <w:r w:rsidRPr="003B7AAF">
        <w:rPr>
          <w:rFonts w:asciiTheme="minorHAnsi" w:hAnsiTheme="minorHAnsi" w:cstheme="minorHAnsi"/>
          <w:b/>
          <w:i/>
          <w:color w:val="0070C0"/>
          <w:u w:val="single"/>
        </w:rPr>
        <w:t>P</w:t>
      </w:r>
      <w:r w:rsidR="003B7AAF">
        <w:rPr>
          <w:rFonts w:asciiTheme="minorHAnsi" w:hAnsiTheme="minorHAnsi" w:cstheme="minorHAnsi"/>
          <w:b/>
          <w:i/>
          <w:color w:val="0070C0"/>
          <w:u w:val="single"/>
        </w:rPr>
        <w:t>OINT DE SITUATION AU NIVEAU NATIONAL AU 21 JANVIER 2021</w:t>
      </w:r>
    </w:p>
    <w:p w:rsidR="001B14C5" w:rsidRPr="003B7AAF" w:rsidRDefault="001B14C5" w:rsidP="001B14C5">
      <w:pPr>
        <w:pStyle w:val="Default"/>
        <w:rPr>
          <w:rFonts w:asciiTheme="minorHAnsi" w:hAnsiTheme="minorHAnsi" w:cstheme="minorHAnsi"/>
        </w:rPr>
      </w:pPr>
    </w:p>
    <w:p w:rsidR="0082556C" w:rsidRPr="0082556C" w:rsidRDefault="0082556C" w:rsidP="0082556C">
      <w:pPr>
        <w:rPr>
          <w:rFonts w:cstheme="minorHAnsi"/>
          <w:color w:val="000000"/>
          <w:sz w:val="24"/>
          <w:szCs w:val="24"/>
        </w:rPr>
      </w:pPr>
      <w:r w:rsidRPr="0082556C">
        <w:rPr>
          <w:rFonts w:cstheme="minorHAnsi"/>
          <w:color w:val="000000"/>
          <w:sz w:val="24"/>
          <w:szCs w:val="24"/>
        </w:rPr>
        <w:t>Les informations concernant le nombre de cas de l’une et l’autre de ces variantes recensées en France sont publiées dans le point épidémiologique hebdomadaire disponible sur le site de Santé publique France (point mis à jour chaque semaine au fil des investigations).</w:t>
      </w:r>
    </w:p>
    <w:p w:rsidR="001B14C5" w:rsidRPr="003B7AAF" w:rsidRDefault="001B14C5" w:rsidP="003B7AAF">
      <w:pPr>
        <w:pStyle w:val="Default"/>
        <w:jc w:val="both"/>
        <w:rPr>
          <w:rFonts w:asciiTheme="minorHAnsi" w:hAnsiTheme="minorHAnsi" w:cstheme="minorHAnsi"/>
        </w:rPr>
      </w:pPr>
      <w:r w:rsidRPr="003B7AAF">
        <w:rPr>
          <w:rFonts w:asciiTheme="minorHAnsi" w:hAnsiTheme="minorHAnsi" w:cstheme="minorHAnsi"/>
        </w:rPr>
        <w:t>Au total, sont recensés en France 149 cas d’infection à des variant</w:t>
      </w:r>
      <w:r w:rsidR="0082556C">
        <w:rPr>
          <w:rFonts w:asciiTheme="minorHAnsi" w:hAnsiTheme="minorHAnsi" w:cstheme="minorHAnsi"/>
        </w:rPr>
        <w:t>e</w:t>
      </w:r>
      <w:r w:rsidRPr="003B7AAF">
        <w:rPr>
          <w:rFonts w:asciiTheme="minorHAnsi" w:hAnsiTheme="minorHAnsi" w:cstheme="minorHAnsi"/>
        </w:rPr>
        <w:t>s émergent</w:t>
      </w:r>
      <w:r w:rsidR="0082556C">
        <w:rPr>
          <w:rFonts w:asciiTheme="minorHAnsi" w:hAnsiTheme="minorHAnsi" w:cstheme="minorHAnsi"/>
        </w:rPr>
        <w:t>e</w:t>
      </w:r>
      <w:r w:rsidRPr="003B7AAF">
        <w:rPr>
          <w:rFonts w:asciiTheme="minorHAnsi" w:hAnsiTheme="minorHAnsi" w:cstheme="minorHAnsi"/>
        </w:rPr>
        <w:t xml:space="preserve">s : 136 cas du variant VOC 202012/01 (Royaume-Uni) et 13 cas du variant 501_V2 (Afrique du Sud). </w:t>
      </w:r>
    </w:p>
    <w:p w:rsidR="001B14C5" w:rsidRPr="003B7AAF" w:rsidRDefault="001B14C5" w:rsidP="003B7AAF">
      <w:pPr>
        <w:pStyle w:val="Default"/>
        <w:jc w:val="both"/>
        <w:rPr>
          <w:rFonts w:asciiTheme="minorHAnsi" w:hAnsiTheme="minorHAnsi" w:cstheme="minorHAnsi"/>
        </w:rPr>
      </w:pPr>
    </w:p>
    <w:p w:rsidR="001B14C5" w:rsidRPr="003B7AAF" w:rsidRDefault="001B14C5" w:rsidP="003B7AAF">
      <w:pPr>
        <w:pStyle w:val="Default"/>
        <w:jc w:val="both"/>
        <w:rPr>
          <w:rFonts w:asciiTheme="minorHAnsi" w:hAnsiTheme="minorHAnsi" w:cstheme="minorHAnsi"/>
        </w:rPr>
      </w:pPr>
      <w:r w:rsidRPr="003B7AAF">
        <w:rPr>
          <w:rFonts w:asciiTheme="minorHAnsi" w:hAnsiTheme="minorHAnsi" w:cstheme="minorHAnsi"/>
        </w:rPr>
        <w:t xml:space="preserve">Deux nouveaux cas du variant 501_V2 ont été recensés à La Réunion : une personne de retour de Mayotte, et une personne de retour des Comores, passée par Mayotte. </w:t>
      </w:r>
    </w:p>
    <w:p w:rsidR="001B14C5" w:rsidRPr="003B7AAF" w:rsidRDefault="001B14C5" w:rsidP="003B7AAF">
      <w:pPr>
        <w:pStyle w:val="Default"/>
        <w:jc w:val="both"/>
        <w:rPr>
          <w:rFonts w:asciiTheme="minorHAnsi" w:hAnsiTheme="minorHAnsi" w:cstheme="minorHAnsi"/>
        </w:rPr>
      </w:pPr>
    </w:p>
    <w:p w:rsidR="001B14C5" w:rsidRPr="003B7AAF" w:rsidRDefault="001B14C5" w:rsidP="003B7AAF">
      <w:pPr>
        <w:pStyle w:val="Default"/>
        <w:jc w:val="both"/>
        <w:rPr>
          <w:rFonts w:asciiTheme="minorHAnsi" w:hAnsiTheme="minorHAnsi" w:cstheme="minorHAnsi"/>
        </w:rPr>
      </w:pPr>
      <w:r w:rsidRPr="003B7AAF">
        <w:rPr>
          <w:rFonts w:asciiTheme="minorHAnsi" w:hAnsiTheme="minorHAnsi" w:cstheme="minorHAnsi"/>
        </w:rPr>
        <w:t xml:space="preserve">Un nouveau cas du variant 501_V2 a aussi été recensé en Nouvelle-Aquitaine, chez une personne en provenance d'Afrique du Sud. Ainsi, le variant 501_V2 est présent dans 6 régions de France métropolitaine. </w:t>
      </w:r>
    </w:p>
    <w:p w:rsidR="001B14C5" w:rsidRPr="003B7AAF" w:rsidRDefault="001B14C5" w:rsidP="003B7AAF">
      <w:pPr>
        <w:pStyle w:val="Default"/>
        <w:jc w:val="both"/>
        <w:rPr>
          <w:rFonts w:asciiTheme="minorHAnsi" w:hAnsiTheme="minorHAnsi" w:cstheme="minorHAnsi"/>
        </w:rPr>
      </w:pPr>
    </w:p>
    <w:p w:rsidR="001B14C5" w:rsidRPr="003B7AAF" w:rsidRDefault="001B14C5" w:rsidP="003B7AAF">
      <w:pPr>
        <w:pStyle w:val="Default"/>
        <w:jc w:val="both"/>
        <w:rPr>
          <w:rFonts w:asciiTheme="minorHAnsi" w:hAnsiTheme="minorHAnsi" w:cstheme="minorHAnsi"/>
        </w:rPr>
      </w:pPr>
      <w:r w:rsidRPr="003B7AAF">
        <w:rPr>
          <w:rFonts w:asciiTheme="minorHAnsi" w:hAnsiTheme="minorHAnsi" w:cstheme="minorHAnsi"/>
        </w:rPr>
        <w:t>L’enquête Flash réalisée par les CNR sur le territoire français sur la base des tests remontés les 7 et 8 janvier 2021 depuis 13 régions de France métropolitaine montre que la variante serait responsable d’1.4% des cas Covid-19 actuellement diagnostiqués par RT-PCR en France.</w:t>
      </w:r>
    </w:p>
    <w:p w:rsidR="0005001A" w:rsidRPr="003B7AAF" w:rsidRDefault="0005001A" w:rsidP="001B14C5">
      <w:pPr>
        <w:pStyle w:val="Default"/>
        <w:rPr>
          <w:rFonts w:asciiTheme="minorHAnsi" w:hAnsiTheme="minorHAnsi" w:cstheme="minorHAnsi"/>
          <w:color w:val="auto"/>
        </w:rPr>
      </w:pPr>
    </w:p>
    <w:p w:rsidR="0005001A" w:rsidRPr="003B7AAF" w:rsidRDefault="0005001A" w:rsidP="001B14C5">
      <w:pPr>
        <w:pStyle w:val="Default"/>
        <w:rPr>
          <w:rFonts w:asciiTheme="minorHAnsi" w:hAnsiTheme="minorHAnsi" w:cstheme="minorHAnsi"/>
          <w:b/>
          <w:i/>
          <w:color w:val="auto"/>
        </w:rPr>
      </w:pPr>
      <w:r w:rsidRPr="003B7AAF">
        <w:rPr>
          <w:rFonts w:asciiTheme="minorHAnsi" w:hAnsiTheme="minorHAnsi" w:cstheme="minorHAnsi"/>
          <w:color w:val="auto"/>
        </w:rPr>
        <w:tab/>
      </w:r>
      <w:r w:rsidRPr="003B7AAF">
        <w:rPr>
          <w:rFonts w:asciiTheme="minorHAnsi" w:hAnsiTheme="minorHAnsi" w:cstheme="minorHAnsi"/>
          <w:b/>
          <w:i/>
          <w:color w:val="auto"/>
        </w:rPr>
        <w:t>Premier cas positif en France à la variante VOC 202012/01</w:t>
      </w:r>
    </w:p>
    <w:p w:rsidR="001B14C5" w:rsidRPr="003B7AAF" w:rsidRDefault="001B14C5" w:rsidP="001B14C5">
      <w:pPr>
        <w:pStyle w:val="Default"/>
        <w:rPr>
          <w:rFonts w:asciiTheme="minorHAnsi" w:hAnsiTheme="minorHAnsi" w:cstheme="minorHAnsi"/>
          <w:color w:val="auto"/>
        </w:rPr>
      </w:pPr>
    </w:p>
    <w:p w:rsidR="0005001A" w:rsidRPr="003B7AAF" w:rsidRDefault="0005001A" w:rsidP="0005001A">
      <w:pPr>
        <w:rPr>
          <w:rFonts w:cstheme="minorHAnsi"/>
          <w:sz w:val="24"/>
          <w:szCs w:val="24"/>
        </w:rPr>
      </w:pPr>
      <w:r w:rsidRPr="003B7AAF">
        <w:rPr>
          <w:rFonts w:cstheme="minorHAnsi"/>
          <w:sz w:val="24"/>
          <w:szCs w:val="24"/>
        </w:rPr>
        <w:t>Un premier cas de contamination au variant VOC 202012/01 du SARS-CoV-2 circulant activement au Royaume-Uni a été détecté le 25 décembre 2020 au CHU de Tours après séquençage d’un test RT-PCR présentant une discordance sur la protéine S. La personne, asymptomatique pour la Covid19, a été immédiatement isolée. Les autorités sanitaires ont procédé au contact-</w:t>
      </w:r>
      <w:proofErr w:type="spellStart"/>
      <w:r w:rsidRPr="003B7AAF">
        <w:rPr>
          <w:rFonts w:cstheme="minorHAnsi"/>
          <w:sz w:val="24"/>
          <w:szCs w:val="24"/>
        </w:rPr>
        <w:t>tracing</w:t>
      </w:r>
      <w:proofErr w:type="spellEnd"/>
      <w:r w:rsidRPr="003B7AAF">
        <w:rPr>
          <w:rFonts w:cstheme="minorHAnsi"/>
          <w:sz w:val="24"/>
          <w:szCs w:val="24"/>
        </w:rPr>
        <w:t xml:space="preserve"> des professionnels de santé ayant pris en charge le patient et à la recherche de ses personnes contacts à risque, pour procéder à leur mise en isolement strict. Les 15 professionnels identifiés comme personnes contacts ont été testés négatifs à la Covid19.</w:t>
      </w:r>
    </w:p>
    <w:p w:rsidR="003B7AAF" w:rsidRDefault="0005001A" w:rsidP="003B7AAF">
      <w:pPr>
        <w:contextualSpacing/>
        <w:rPr>
          <w:rFonts w:cstheme="minorHAnsi"/>
          <w:sz w:val="24"/>
          <w:szCs w:val="24"/>
        </w:rPr>
      </w:pPr>
      <w:r w:rsidRPr="003B7AAF">
        <w:rPr>
          <w:rFonts w:cstheme="minorHAnsi"/>
          <w:sz w:val="24"/>
          <w:szCs w:val="24"/>
        </w:rPr>
        <w:lastRenderedPageBreak/>
        <w:t>Un premier cas de contamination au variant 501.V2 du SARS-CoV-2 circulant activement en Afrique du Sud a été détecté le 31/12/20 sur le territoire national, dans le département du Haut-Rhin après un séjour en Afrique du Sud. Signalé par les autorités sanitaires suisses, le séquençage au variant 501 V2 a été confirmé le 30 décembre par le Centre national de référence pour les infections virales émergentes (CRIVE Suisse) et le Centre national de référence des virus des infections respiratoires (CNR France). La personne s’est immédiatement isolée à son domicile dès l’apparition des symptômes. Les autorités sanitaires françaises ont procédé à la recherche de ses personnes contacts à risque ; aucun contact à risque n’a été identifié.</w:t>
      </w:r>
    </w:p>
    <w:p w:rsidR="003B7AAF" w:rsidRDefault="003B7AAF" w:rsidP="003B7AAF">
      <w:pPr>
        <w:contextualSpacing/>
        <w:rPr>
          <w:rFonts w:cstheme="minorHAnsi"/>
          <w:sz w:val="24"/>
          <w:szCs w:val="24"/>
        </w:rPr>
      </w:pPr>
    </w:p>
    <w:p w:rsidR="001B14C5" w:rsidRPr="003B7AAF" w:rsidRDefault="001B14C5" w:rsidP="003B7AAF">
      <w:pPr>
        <w:contextualSpacing/>
        <w:rPr>
          <w:rFonts w:cstheme="minorHAnsi"/>
          <w:sz w:val="24"/>
          <w:szCs w:val="24"/>
        </w:rPr>
      </w:pPr>
      <w:r w:rsidRPr="003B7AAF">
        <w:rPr>
          <w:rFonts w:cstheme="minorHAnsi"/>
          <w:b/>
          <w:i/>
          <w:color w:val="0070C0"/>
          <w:sz w:val="24"/>
          <w:szCs w:val="24"/>
          <w:u w:val="single"/>
        </w:rPr>
        <w:t>C</w:t>
      </w:r>
      <w:r w:rsidR="003B7AAF">
        <w:rPr>
          <w:rFonts w:cstheme="minorHAnsi"/>
          <w:b/>
          <w:i/>
          <w:color w:val="0070C0"/>
          <w:sz w:val="24"/>
          <w:szCs w:val="24"/>
          <w:u w:val="single"/>
        </w:rPr>
        <w:t>ARACTERISTIQUES</w:t>
      </w:r>
    </w:p>
    <w:p w:rsidR="003B7AAF" w:rsidRDefault="003B7AAF" w:rsidP="003B7AAF">
      <w:pPr>
        <w:contextualSpacing/>
        <w:rPr>
          <w:rFonts w:cstheme="minorHAnsi"/>
          <w:sz w:val="24"/>
          <w:szCs w:val="24"/>
        </w:rPr>
      </w:pPr>
    </w:p>
    <w:p w:rsidR="001B14C5" w:rsidRDefault="001B14C5" w:rsidP="003B7AAF">
      <w:pPr>
        <w:contextualSpacing/>
        <w:rPr>
          <w:rFonts w:cstheme="minorHAnsi"/>
          <w:sz w:val="24"/>
          <w:szCs w:val="24"/>
        </w:rPr>
      </w:pPr>
      <w:r w:rsidRPr="003B7AAF">
        <w:rPr>
          <w:rFonts w:cstheme="minorHAnsi"/>
          <w:sz w:val="24"/>
          <w:szCs w:val="24"/>
        </w:rPr>
        <w:t>Les premières données disponibles indiquent que ces variantes se caractérisent par une transmissibilité accrue par rapport à la souche majoritaire sur le territoire national, nécessitant une vigilance renforcée pour assurer leur détection et mettre en œuvre les mesures adaptées a</w:t>
      </w:r>
      <w:r w:rsidR="003B7AAF">
        <w:rPr>
          <w:rFonts w:cstheme="minorHAnsi"/>
          <w:sz w:val="24"/>
          <w:szCs w:val="24"/>
        </w:rPr>
        <w:t>u contrôle de leur propagation.</w:t>
      </w:r>
    </w:p>
    <w:p w:rsidR="003B7AAF" w:rsidRPr="003B7AAF" w:rsidRDefault="003B7AAF" w:rsidP="003B7AAF">
      <w:pPr>
        <w:contextualSpacing/>
        <w:rPr>
          <w:rFonts w:cstheme="minorHAnsi"/>
          <w:sz w:val="24"/>
          <w:szCs w:val="24"/>
        </w:rPr>
      </w:pPr>
    </w:p>
    <w:p w:rsidR="001B14C5" w:rsidRPr="003B7AAF" w:rsidRDefault="001B14C5" w:rsidP="001B14C5">
      <w:pPr>
        <w:ind w:firstLine="708"/>
        <w:rPr>
          <w:rFonts w:cstheme="minorHAnsi"/>
          <w:b/>
          <w:i/>
          <w:color w:val="7030A0"/>
          <w:sz w:val="24"/>
          <w:szCs w:val="24"/>
        </w:rPr>
      </w:pPr>
      <w:r w:rsidRPr="003B7AAF">
        <w:rPr>
          <w:rFonts w:cstheme="minorHAnsi"/>
          <w:b/>
          <w:i/>
          <w:color w:val="7030A0"/>
          <w:sz w:val="24"/>
          <w:szCs w:val="24"/>
        </w:rPr>
        <w:t>VARIANTE VOC 202012/01</w:t>
      </w:r>
    </w:p>
    <w:p w:rsidR="001B14C5" w:rsidRPr="003B7AAF" w:rsidRDefault="001B14C5" w:rsidP="001B14C5">
      <w:pPr>
        <w:rPr>
          <w:rFonts w:cstheme="minorHAnsi"/>
          <w:sz w:val="24"/>
          <w:szCs w:val="24"/>
        </w:rPr>
      </w:pPr>
      <w:r w:rsidRPr="003B7AAF">
        <w:rPr>
          <w:rFonts w:cstheme="minorHAnsi"/>
          <w:sz w:val="24"/>
          <w:szCs w:val="24"/>
        </w:rPr>
        <w:t>La variante VOC 202012/01 est définie par de multiples variations des gènes codant pour les protéines de spicule (S) ainsi que par des variations d'autres régions génomiques. Le Royaume-Uni rapporte que ces variations (notamment la délétion 69-70 dans la protéine de pointe) provoquent un résultat négatif de certains tests antigéniques et RT-PCR mono cibles, dont les amorces ciblent le gène « S ».</w:t>
      </w:r>
    </w:p>
    <w:p w:rsidR="001B14C5" w:rsidRPr="003B7AAF" w:rsidRDefault="001B14C5" w:rsidP="001B14C5">
      <w:pPr>
        <w:pStyle w:val="Default"/>
        <w:jc w:val="both"/>
        <w:rPr>
          <w:rFonts w:asciiTheme="minorHAnsi" w:hAnsiTheme="minorHAnsi" w:cstheme="minorHAnsi"/>
          <w:color w:val="auto"/>
        </w:rPr>
      </w:pPr>
      <w:r w:rsidRPr="003B7AAF">
        <w:rPr>
          <w:rFonts w:asciiTheme="minorHAnsi" w:hAnsiTheme="minorHAnsi" w:cstheme="minorHAnsi"/>
          <w:color w:val="auto"/>
        </w:rPr>
        <w:t>Les données des enquêtes épidémiologiques et virologiques britanniques ont indiqué une transmissibilité plus importante de la variante dans le Sud-Est de l’Angleterre, qui aurait progressivement remplacé les autres virus circulants, avec un potentiel estimé d'augmentation du nombre de reproduction (R) de 0,4 ou plus. Rien n'indique toutefois à ce stade que cette nouvelle variante entraîne une augmentation de la gravité de l'infection à un niveau individuel.</w:t>
      </w:r>
    </w:p>
    <w:p w:rsidR="001B14C5" w:rsidRPr="003B7AAF" w:rsidRDefault="001B14C5" w:rsidP="001B14C5">
      <w:pPr>
        <w:pStyle w:val="Default"/>
        <w:jc w:val="both"/>
        <w:rPr>
          <w:rFonts w:asciiTheme="minorHAnsi" w:hAnsiTheme="minorHAnsi" w:cstheme="minorHAnsi"/>
          <w:color w:val="auto"/>
        </w:rPr>
      </w:pPr>
    </w:p>
    <w:p w:rsidR="001B14C5" w:rsidRPr="003B7AAF" w:rsidRDefault="001B14C5" w:rsidP="001B14C5">
      <w:pPr>
        <w:ind w:firstLine="708"/>
        <w:rPr>
          <w:rFonts w:cstheme="minorHAnsi"/>
          <w:b/>
          <w:i/>
          <w:color w:val="7030A0"/>
          <w:sz w:val="24"/>
          <w:szCs w:val="24"/>
        </w:rPr>
      </w:pPr>
      <w:r w:rsidRPr="003B7AAF">
        <w:rPr>
          <w:rFonts w:cstheme="minorHAnsi"/>
          <w:b/>
          <w:i/>
          <w:color w:val="7030A0"/>
          <w:sz w:val="24"/>
          <w:szCs w:val="24"/>
        </w:rPr>
        <w:t>VARIANTE VOC 202012/01</w:t>
      </w:r>
    </w:p>
    <w:p w:rsidR="001B14C5" w:rsidRPr="003B7AAF" w:rsidRDefault="001B14C5" w:rsidP="001B14C5">
      <w:pPr>
        <w:rPr>
          <w:rFonts w:cstheme="minorHAnsi"/>
          <w:sz w:val="24"/>
          <w:szCs w:val="24"/>
        </w:rPr>
      </w:pPr>
      <w:r w:rsidRPr="003B7AAF">
        <w:rPr>
          <w:rFonts w:cstheme="minorHAnsi"/>
          <w:sz w:val="24"/>
          <w:szCs w:val="24"/>
        </w:rPr>
        <w:t xml:space="preserve">Parallèlement, une autre variante, circulant activement en Afrique du Sud, doit également être surveillée avec une attention particulière. </w:t>
      </w:r>
    </w:p>
    <w:p w:rsidR="001B14C5" w:rsidRPr="003B7AAF" w:rsidRDefault="001B14C5" w:rsidP="001B14C5">
      <w:pPr>
        <w:pStyle w:val="Default"/>
        <w:jc w:val="both"/>
        <w:rPr>
          <w:rFonts w:asciiTheme="minorHAnsi" w:hAnsiTheme="minorHAnsi" w:cstheme="minorHAnsi"/>
          <w:color w:val="auto"/>
        </w:rPr>
      </w:pPr>
      <w:r w:rsidRPr="003B7AAF">
        <w:rPr>
          <w:rFonts w:asciiTheme="minorHAnsi" w:hAnsiTheme="minorHAnsi" w:cstheme="minorHAnsi"/>
          <w:color w:val="auto"/>
        </w:rPr>
        <w:t>La variante 501Y.V2 est également définie par des mutations des gènes codant pour la protéine S mais ne génère pas la même discordance que la variante UK sur la protéine S lors de l’utilisation du test RT-PCR commercialisé par Thermo Fisher Scientific. Elle se transmet également plus rapidement. Elle domine actuellement les autres variantes circulant en Afrique du Sud.</w:t>
      </w:r>
    </w:p>
    <w:p w:rsidR="001B14C5" w:rsidRDefault="001B14C5" w:rsidP="00E35CC0">
      <w:pPr>
        <w:contextualSpacing/>
        <w:rPr>
          <w:rFonts w:cstheme="minorHAnsi"/>
          <w:sz w:val="24"/>
          <w:szCs w:val="24"/>
        </w:rPr>
      </w:pPr>
    </w:p>
    <w:p w:rsidR="00E35CC0" w:rsidRDefault="00E35CC0" w:rsidP="00E35CC0">
      <w:pPr>
        <w:contextualSpacing/>
        <w:rPr>
          <w:rFonts w:cstheme="minorHAnsi"/>
          <w:sz w:val="24"/>
          <w:szCs w:val="24"/>
        </w:rPr>
      </w:pPr>
    </w:p>
    <w:p w:rsidR="00E35CC0" w:rsidRDefault="00E35CC0" w:rsidP="00E35CC0">
      <w:pPr>
        <w:contextualSpacing/>
        <w:rPr>
          <w:rFonts w:cstheme="minorHAnsi"/>
          <w:sz w:val="24"/>
          <w:szCs w:val="24"/>
        </w:rPr>
      </w:pPr>
    </w:p>
    <w:p w:rsidR="00E35CC0" w:rsidRDefault="00E35CC0" w:rsidP="00E35CC0">
      <w:pPr>
        <w:contextualSpacing/>
        <w:rPr>
          <w:rFonts w:cstheme="minorHAnsi"/>
          <w:sz w:val="24"/>
          <w:szCs w:val="24"/>
        </w:rPr>
      </w:pPr>
    </w:p>
    <w:p w:rsidR="00E35CC0" w:rsidRDefault="00E35CC0" w:rsidP="00E35CC0">
      <w:pPr>
        <w:contextualSpacing/>
        <w:rPr>
          <w:rFonts w:cstheme="minorHAnsi"/>
          <w:sz w:val="24"/>
          <w:szCs w:val="24"/>
        </w:rPr>
      </w:pPr>
    </w:p>
    <w:p w:rsidR="00E35CC0" w:rsidRDefault="00E35CC0" w:rsidP="00E35CC0">
      <w:pPr>
        <w:contextualSpacing/>
        <w:rPr>
          <w:rFonts w:cstheme="minorHAnsi"/>
          <w:sz w:val="24"/>
          <w:szCs w:val="24"/>
        </w:rPr>
      </w:pPr>
    </w:p>
    <w:p w:rsidR="0005001A" w:rsidRPr="003B7AAF" w:rsidRDefault="0005001A">
      <w:pPr>
        <w:rPr>
          <w:rFonts w:cstheme="minorHAnsi"/>
          <w:sz w:val="24"/>
          <w:szCs w:val="24"/>
        </w:rPr>
      </w:pPr>
    </w:p>
    <w:p w:rsidR="001B14C5" w:rsidRPr="003B7AAF" w:rsidRDefault="001B14C5">
      <w:pPr>
        <w:rPr>
          <w:rFonts w:cstheme="minorHAnsi"/>
          <w:b/>
          <w:i/>
          <w:color w:val="0070C0"/>
          <w:sz w:val="24"/>
          <w:szCs w:val="24"/>
          <w:u w:val="single"/>
        </w:rPr>
      </w:pPr>
      <w:r w:rsidRPr="003B7AAF">
        <w:rPr>
          <w:rFonts w:cstheme="minorHAnsi"/>
          <w:b/>
          <w:i/>
          <w:color w:val="0070C0"/>
          <w:sz w:val="24"/>
          <w:szCs w:val="24"/>
          <w:u w:val="single"/>
        </w:rPr>
        <w:lastRenderedPageBreak/>
        <w:t>D</w:t>
      </w:r>
      <w:r w:rsidR="00F413E1">
        <w:rPr>
          <w:rFonts w:cstheme="minorHAnsi"/>
          <w:b/>
          <w:i/>
          <w:color w:val="0070C0"/>
          <w:sz w:val="24"/>
          <w:szCs w:val="24"/>
          <w:u w:val="single"/>
        </w:rPr>
        <w:t>EPISTAGE</w:t>
      </w:r>
    </w:p>
    <w:p w:rsidR="001B14C5" w:rsidRPr="003B7AAF" w:rsidRDefault="001B14C5" w:rsidP="001B14C5">
      <w:pPr>
        <w:pStyle w:val="Default"/>
        <w:jc w:val="both"/>
        <w:rPr>
          <w:rFonts w:asciiTheme="minorHAnsi" w:hAnsiTheme="minorHAnsi" w:cstheme="minorHAnsi"/>
        </w:rPr>
      </w:pPr>
      <w:r w:rsidRPr="003B7AAF">
        <w:rPr>
          <w:rFonts w:asciiTheme="minorHAnsi" w:hAnsiTheme="minorHAnsi" w:cstheme="minorHAnsi"/>
        </w:rPr>
        <w:t>Le renforcement de la stratégie tester – alerter – protéger face à ces situations doit être systématique avant la confirmation même du diagnostic de variante. L’accent doit être mis sur l’isolement des cas et de leurs personnes-contact.</w:t>
      </w:r>
    </w:p>
    <w:p w:rsidR="001B14C5" w:rsidRPr="003B7AAF" w:rsidRDefault="001B14C5" w:rsidP="001B14C5">
      <w:pPr>
        <w:pStyle w:val="Default"/>
        <w:jc w:val="both"/>
        <w:rPr>
          <w:rFonts w:asciiTheme="minorHAnsi" w:hAnsiTheme="minorHAnsi" w:cstheme="minorHAnsi"/>
        </w:rPr>
      </w:pPr>
    </w:p>
    <w:p w:rsidR="001B14C5" w:rsidRDefault="001B14C5" w:rsidP="00F413E1">
      <w:pPr>
        <w:pStyle w:val="Default"/>
        <w:jc w:val="both"/>
        <w:rPr>
          <w:rFonts w:asciiTheme="minorHAnsi" w:hAnsiTheme="minorHAnsi" w:cstheme="minorHAnsi"/>
        </w:rPr>
      </w:pPr>
      <w:r w:rsidRPr="003B7AAF">
        <w:rPr>
          <w:rFonts w:asciiTheme="minorHAnsi" w:hAnsiTheme="minorHAnsi" w:cstheme="minorHAnsi"/>
        </w:rPr>
        <w:t>Ainsi, toute personne susceptible d’être infectée par une nouvelle variante du SARS-CoV-2 devra respecter strictement l’isolement. Les professionnels de santé veilleront à sensibiliser leurs patients en ce sens et à engager, au plus tôt, le contact-</w:t>
      </w:r>
      <w:proofErr w:type="spellStart"/>
      <w:r w:rsidRPr="003B7AAF">
        <w:rPr>
          <w:rFonts w:asciiTheme="minorHAnsi" w:hAnsiTheme="minorHAnsi" w:cstheme="minorHAnsi"/>
        </w:rPr>
        <w:t>tracing</w:t>
      </w:r>
      <w:proofErr w:type="spellEnd"/>
      <w:r w:rsidRPr="003B7AAF">
        <w:rPr>
          <w:rFonts w:asciiTheme="minorHAnsi" w:hAnsiTheme="minorHAnsi" w:cstheme="minorHAnsi"/>
        </w:rPr>
        <w:t xml:space="preserve"> pour identifier les contacts à risque, lesquels devront faire l’objet d’une quarantaine stricte. A ce titre, une attention particulière sera apportée à la distribution au patient du document mentionnant les consignes liées à l’isolement.</w:t>
      </w:r>
    </w:p>
    <w:p w:rsidR="00F413E1" w:rsidRPr="003B7AAF" w:rsidRDefault="00F413E1" w:rsidP="00F413E1">
      <w:pPr>
        <w:pStyle w:val="Default"/>
        <w:jc w:val="both"/>
        <w:rPr>
          <w:rFonts w:asciiTheme="minorHAnsi" w:hAnsiTheme="minorHAnsi" w:cstheme="minorHAnsi"/>
        </w:rPr>
      </w:pPr>
    </w:p>
    <w:p w:rsidR="001B14C5" w:rsidRPr="003B7AAF" w:rsidRDefault="001B14C5" w:rsidP="0005001A">
      <w:pPr>
        <w:ind w:firstLine="708"/>
        <w:rPr>
          <w:rFonts w:cstheme="minorHAnsi"/>
          <w:b/>
          <w:i/>
          <w:color w:val="0070C0"/>
          <w:sz w:val="24"/>
          <w:szCs w:val="24"/>
        </w:rPr>
      </w:pPr>
      <w:r w:rsidRPr="003B7AAF">
        <w:rPr>
          <w:rFonts w:cstheme="minorHAnsi"/>
          <w:b/>
          <w:i/>
          <w:sz w:val="24"/>
          <w:szCs w:val="24"/>
        </w:rPr>
        <w:t>Impact des variantes sur l’efficacité de dépistage</w:t>
      </w:r>
    </w:p>
    <w:p w:rsidR="001B14C5" w:rsidRPr="003B7AAF" w:rsidRDefault="001B14C5" w:rsidP="001B14C5">
      <w:pPr>
        <w:rPr>
          <w:rFonts w:cstheme="minorHAnsi"/>
          <w:sz w:val="24"/>
          <w:szCs w:val="24"/>
        </w:rPr>
      </w:pPr>
      <w:r w:rsidRPr="003B7AAF">
        <w:rPr>
          <w:rFonts w:cstheme="minorHAnsi"/>
          <w:sz w:val="24"/>
          <w:szCs w:val="24"/>
        </w:rPr>
        <w:t>Les nouvelles variantes détectées se caractérisent par de multiples variations des gènes codant pour les protéines de spicule (S). Cette mutation a donc un impact sur les tests ciblant spécifiquement cette protéine S. Le gène codant pour la protéine N n’est lui pas impacté par des mutations, ce qui permet sa détection.</w:t>
      </w:r>
    </w:p>
    <w:p w:rsidR="001B14C5" w:rsidRPr="003B7AAF" w:rsidRDefault="001B14C5" w:rsidP="001B14C5">
      <w:pPr>
        <w:pStyle w:val="Default"/>
        <w:numPr>
          <w:ilvl w:val="0"/>
          <w:numId w:val="1"/>
        </w:numPr>
        <w:jc w:val="both"/>
        <w:rPr>
          <w:rFonts w:asciiTheme="minorHAnsi" w:hAnsiTheme="minorHAnsi" w:cstheme="minorHAnsi"/>
          <w:color w:val="auto"/>
        </w:rPr>
      </w:pPr>
      <w:r w:rsidRPr="003B7AAF">
        <w:rPr>
          <w:rFonts w:asciiTheme="minorHAnsi" w:hAnsiTheme="minorHAnsi" w:cstheme="minorHAnsi"/>
          <w:color w:val="auto"/>
        </w:rPr>
        <w:t xml:space="preserve">Concernant les tests RT-PCR </w:t>
      </w:r>
    </w:p>
    <w:p w:rsidR="001B14C5" w:rsidRPr="003B7AAF" w:rsidRDefault="001B14C5" w:rsidP="001B14C5">
      <w:pPr>
        <w:pStyle w:val="Default"/>
        <w:ind w:left="720"/>
        <w:jc w:val="both"/>
        <w:rPr>
          <w:rFonts w:asciiTheme="minorHAnsi" w:hAnsiTheme="minorHAnsi" w:cstheme="minorHAnsi"/>
          <w:color w:val="auto"/>
        </w:rPr>
      </w:pPr>
    </w:p>
    <w:p w:rsidR="001B14C5" w:rsidRPr="003B7AAF" w:rsidRDefault="001B14C5" w:rsidP="001B14C5">
      <w:pPr>
        <w:pStyle w:val="Default"/>
        <w:jc w:val="both"/>
        <w:rPr>
          <w:rFonts w:asciiTheme="minorHAnsi" w:hAnsiTheme="minorHAnsi" w:cstheme="minorHAnsi"/>
          <w:color w:val="auto"/>
        </w:rPr>
      </w:pPr>
      <w:r w:rsidRPr="003B7AAF">
        <w:rPr>
          <w:rFonts w:asciiTheme="minorHAnsi" w:hAnsiTheme="minorHAnsi" w:cstheme="minorHAnsi"/>
          <w:color w:val="auto"/>
        </w:rPr>
        <w:t xml:space="preserve">La réglementation française oblige les tests RT-PCR à avoir deux cibles au minimum, permettant ainsi de détecter des discordances si une cible a muté </w:t>
      </w:r>
      <w:r w:rsidRPr="003B7AAF">
        <w:rPr>
          <w:rFonts w:asciiTheme="minorHAnsi" w:hAnsiTheme="minorHAnsi" w:cstheme="minorHAnsi"/>
          <w:i/>
          <w:color w:val="auto"/>
        </w:rPr>
        <w:t xml:space="preserve">(Par exemple un test global positif avec une cible S négative et une cible N positive est dit discordant). </w:t>
      </w:r>
      <w:r w:rsidRPr="003B7AAF">
        <w:rPr>
          <w:rFonts w:asciiTheme="minorHAnsi" w:hAnsiTheme="minorHAnsi" w:cstheme="minorHAnsi"/>
          <w:color w:val="auto"/>
        </w:rPr>
        <w:t>De ce fait, ces tests ne présentent pas de risque de non détection de la présence du SARS-CoV-2. Toutefois, pour les tests RT-PCR incluant la détection du gène « S », une attention particulière devra être portée sur l’interprétation en cas de discordances avec les autres cibles. Cette discordance ne concerne que la variante VOC 202012/01. Des kits PCR multiplex spécifiques des variantes identifiées sont en cours de développement et devraient arriver prochainement sur le marché.</w:t>
      </w:r>
    </w:p>
    <w:p w:rsidR="001B14C5" w:rsidRPr="003B7AAF" w:rsidRDefault="001B14C5" w:rsidP="001B14C5">
      <w:pPr>
        <w:pStyle w:val="Default"/>
        <w:jc w:val="both"/>
        <w:rPr>
          <w:rFonts w:asciiTheme="minorHAnsi" w:hAnsiTheme="minorHAnsi" w:cstheme="minorHAnsi"/>
          <w:color w:val="auto"/>
        </w:rPr>
      </w:pPr>
    </w:p>
    <w:p w:rsidR="001B14C5" w:rsidRPr="003B7AAF" w:rsidRDefault="001B14C5" w:rsidP="001B14C5">
      <w:pPr>
        <w:pStyle w:val="Default"/>
        <w:numPr>
          <w:ilvl w:val="0"/>
          <w:numId w:val="1"/>
        </w:numPr>
        <w:jc w:val="both"/>
        <w:rPr>
          <w:rFonts w:asciiTheme="minorHAnsi" w:hAnsiTheme="minorHAnsi" w:cstheme="minorHAnsi"/>
          <w:color w:val="auto"/>
        </w:rPr>
      </w:pPr>
      <w:r w:rsidRPr="003B7AAF">
        <w:rPr>
          <w:rFonts w:asciiTheme="minorHAnsi" w:hAnsiTheme="minorHAnsi" w:cstheme="minorHAnsi"/>
          <w:color w:val="auto"/>
        </w:rPr>
        <w:t xml:space="preserve">Concernant les tests antigéniques </w:t>
      </w:r>
    </w:p>
    <w:p w:rsidR="001B14C5" w:rsidRPr="003B7AAF" w:rsidRDefault="001B14C5" w:rsidP="001B14C5">
      <w:pPr>
        <w:pStyle w:val="Default"/>
        <w:ind w:left="720"/>
        <w:jc w:val="both"/>
        <w:rPr>
          <w:rFonts w:asciiTheme="minorHAnsi" w:hAnsiTheme="minorHAnsi" w:cstheme="minorHAnsi"/>
          <w:color w:val="auto"/>
        </w:rPr>
      </w:pPr>
    </w:p>
    <w:p w:rsidR="00F413E1" w:rsidRPr="000B363F" w:rsidRDefault="001B14C5" w:rsidP="000B363F">
      <w:pPr>
        <w:pStyle w:val="Default"/>
        <w:jc w:val="both"/>
        <w:rPr>
          <w:rFonts w:asciiTheme="minorHAnsi" w:hAnsiTheme="minorHAnsi" w:cstheme="minorHAnsi"/>
          <w:color w:val="auto"/>
        </w:rPr>
      </w:pPr>
      <w:r w:rsidRPr="003B7AAF">
        <w:rPr>
          <w:rFonts w:asciiTheme="minorHAnsi" w:hAnsiTheme="minorHAnsi" w:cstheme="minorHAnsi"/>
          <w:color w:val="auto"/>
        </w:rPr>
        <w:t xml:space="preserve">L’identification des tests antigéniques ciblant exclusivement la protéine « S » pour lesquels cette mutation peut avoir un impact sur l’efficacité des tests a été réalisée par l’ANSM. Les tests antigéniques ciblant la protéine N ne sont pas, quant à eux, impactés, et ces derniers représentent la très large majorité des tests antigéniques utilisés. Le site Internet </w:t>
      </w:r>
      <w:hyperlink r:id="rId5" w:history="1">
        <w:r w:rsidRPr="003B7AAF">
          <w:rPr>
            <w:rFonts w:asciiTheme="minorHAnsi" w:hAnsiTheme="minorHAnsi" w:cstheme="minorHAnsi"/>
            <w:color w:val="auto"/>
          </w:rPr>
          <w:t>https://covid-19.sante.gouv.fr/tests</w:t>
        </w:r>
      </w:hyperlink>
      <w:r w:rsidRPr="003B7AAF">
        <w:rPr>
          <w:rFonts w:asciiTheme="minorHAnsi" w:hAnsiTheme="minorHAnsi" w:cstheme="minorHAnsi"/>
          <w:color w:val="auto"/>
        </w:rPr>
        <w:t xml:space="preserve"> a été actualisé pour indiquer quelle(s) protéine(s) cible chaque test. Il convient donc, dans le cadre de diagnostics individuels ou d’opérations de dépistage, de ne pas utiliser les tests antigéniques ciblant uniquement la protéine « S », au regard du risque de faux négatifs pour ces variantes. Les tests antigéniques ciblant d’autres protéines peuvent continuer à être mobilisés.</w:t>
      </w:r>
    </w:p>
    <w:p w:rsidR="000B363F" w:rsidRDefault="000B363F" w:rsidP="00F413E1">
      <w:pPr>
        <w:contextualSpacing/>
        <w:rPr>
          <w:rFonts w:cstheme="minorHAnsi"/>
          <w:b/>
          <w:i/>
          <w:color w:val="0070C0"/>
          <w:sz w:val="24"/>
          <w:szCs w:val="24"/>
          <w:u w:val="single"/>
        </w:rPr>
      </w:pPr>
    </w:p>
    <w:p w:rsidR="000B363F" w:rsidRDefault="000B363F" w:rsidP="00F413E1">
      <w:pPr>
        <w:contextualSpacing/>
        <w:rPr>
          <w:rFonts w:cstheme="minorHAnsi"/>
          <w:b/>
          <w:i/>
          <w:color w:val="0070C0"/>
          <w:sz w:val="24"/>
          <w:szCs w:val="24"/>
          <w:u w:val="single"/>
        </w:rPr>
      </w:pPr>
    </w:p>
    <w:p w:rsidR="000B363F" w:rsidRDefault="000B363F">
      <w:pPr>
        <w:jc w:val="left"/>
        <w:rPr>
          <w:rFonts w:cstheme="minorHAnsi"/>
          <w:b/>
          <w:i/>
          <w:color w:val="0070C0"/>
          <w:sz w:val="24"/>
          <w:szCs w:val="24"/>
          <w:u w:val="single"/>
        </w:rPr>
      </w:pPr>
      <w:r>
        <w:rPr>
          <w:rFonts w:cstheme="minorHAnsi"/>
          <w:b/>
          <w:i/>
          <w:color w:val="0070C0"/>
          <w:sz w:val="24"/>
          <w:szCs w:val="24"/>
          <w:u w:val="single"/>
        </w:rPr>
        <w:br w:type="page"/>
      </w:r>
    </w:p>
    <w:p w:rsidR="00F413E1" w:rsidRDefault="00F413E1" w:rsidP="00F413E1">
      <w:pPr>
        <w:contextualSpacing/>
        <w:rPr>
          <w:rFonts w:cstheme="minorHAnsi"/>
          <w:b/>
          <w:i/>
          <w:color w:val="0070C0"/>
          <w:sz w:val="24"/>
          <w:szCs w:val="24"/>
          <w:u w:val="single"/>
        </w:rPr>
      </w:pPr>
      <w:r w:rsidRPr="003B7AAF">
        <w:rPr>
          <w:rFonts w:cstheme="minorHAnsi"/>
          <w:b/>
          <w:i/>
          <w:color w:val="0070C0"/>
          <w:sz w:val="24"/>
          <w:szCs w:val="24"/>
          <w:u w:val="single"/>
        </w:rPr>
        <w:lastRenderedPageBreak/>
        <w:t>A</w:t>
      </w:r>
      <w:r>
        <w:rPr>
          <w:rFonts w:cstheme="minorHAnsi"/>
          <w:b/>
          <w:i/>
          <w:color w:val="0070C0"/>
          <w:sz w:val="24"/>
          <w:szCs w:val="24"/>
          <w:u w:val="single"/>
        </w:rPr>
        <w:t>CTEURS ET STRATEGIE</w:t>
      </w:r>
    </w:p>
    <w:p w:rsidR="00F413E1" w:rsidRDefault="00F413E1" w:rsidP="00F413E1">
      <w:pPr>
        <w:contextualSpacing/>
        <w:rPr>
          <w:rFonts w:cstheme="minorHAnsi"/>
          <w:b/>
          <w:i/>
          <w:color w:val="0070C0"/>
          <w:sz w:val="24"/>
          <w:szCs w:val="24"/>
          <w:u w:val="single"/>
        </w:rPr>
      </w:pPr>
    </w:p>
    <w:p w:rsidR="00F413E1" w:rsidRDefault="00F413E1" w:rsidP="00F413E1">
      <w:pPr>
        <w:rPr>
          <w:rFonts w:cstheme="minorHAnsi"/>
          <w:sz w:val="24"/>
          <w:szCs w:val="24"/>
        </w:rPr>
      </w:pPr>
      <w:r w:rsidRPr="003B7AAF">
        <w:rPr>
          <w:rFonts w:cstheme="minorHAnsi"/>
          <w:sz w:val="24"/>
          <w:szCs w:val="24"/>
        </w:rPr>
        <w:t xml:space="preserve">Du fait de la circulation de la variante VOC 202012/01 du SARS-CoV-2 dans plusieurs pays d’Europe, et particulièrement au Royaume-Uni, et de la circulation de la variante 501.V2 en Afrique du Sud, un système de détection et de surveillance des cas possibles d’infection ou de portage de variante virale </w:t>
      </w:r>
      <w:r>
        <w:rPr>
          <w:rFonts w:cstheme="minorHAnsi"/>
          <w:sz w:val="24"/>
          <w:szCs w:val="24"/>
        </w:rPr>
        <w:t xml:space="preserve">(avec pour objectif de casser les chaines de transmissions) </w:t>
      </w:r>
      <w:r w:rsidRPr="003B7AAF">
        <w:rPr>
          <w:rFonts w:cstheme="minorHAnsi"/>
          <w:sz w:val="24"/>
          <w:szCs w:val="24"/>
        </w:rPr>
        <w:t xml:space="preserve">a été mis en place par </w:t>
      </w:r>
      <w:r w:rsidRPr="003B7AAF">
        <w:rPr>
          <w:rFonts w:cstheme="minorHAnsi"/>
          <w:bCs/>
          <w:sz w:val="24"/>
          <w:szCs w:val="24"/>
        </w:rPr>
        <w:t>Santé publique France et le Centre national de référence, en lien avec l’ensemble des laboratoires d’analyses</w:t>
      </w:r>
      <w:r w:rsidRPr="003B7AAF">
        <w:rPr>
          <w:rFonts w:cstheme="minorHAnsi"/>
          <w:sz w:val="24"/>
          <w:szCs w:val="24"/>
        </w:rPr>
        <w:t xml:space="preserve">. </w:t>
      </w:r>
    </w:p>
    <w:p w:rsidR="00F413E1" w:rsidRPr="003B7AAF" w:rsidRDefault="00F413E1" w:rsidP="00F413E1">
      <w:pPr>
        <w:rPr>
          <w:rFonts w:cstheme="minorHAnsi"/>
          <w:sz w:val="24"/>
          <w:szCs w:val="24"/>
        </w:rPr>
      </w:pPr>
      <w:r w:rsidRPr="003B7AAF">
        <w:rPr>
          <w:rFonts w:cstheme="minorHAnsi"/>
          <w:sz w:val="24"/>
          <w:szCs w:val="24"/>
        </w:rPr>
        <w:t>Le renforcement des activités de séquençage pour la surveillance génomique du SARS-CoV-2, couplé à l’investigation systématique des cas pour mettre en œuvre les mesures de contrôle requises, sont les deux piliers de la stratégie de lutte con</w:t>
      </w:r>
      <w:r>
        <w:rPr>
          <w:rFonts w:cstheme="minorHAnsi"/>
          <w:sz w:val="24"/>
          <w:szCs w:val="24"/>
        </w:rPr>
        <w:t>tre la propagation des variantes.</w:t>
      </w:r>
    </w:p>
    <w:p w:rsidR="00F413E1" w:rsidRPr="003B7AAF" w:rsidRDefault="00F413E1" w:rsidP="00F413E1">
      <w:pPr>
        <w:rPr>
          <w:rFonts w:cstheme="minorHAnsi"/>
          <w:sz w:val="24"/>
          <w:szCs w:val="24"/>
        </w:rPr>
      </w:pPr>
      <w:r w:rsidRPr="003B7AAF">
        <w:rPr>
          <w:rFonts w:cstheme="minorHAnsi"/>
          <w:sz w:val="24"/>
          <w:szCs w:val="24"/>
        </w:rPr>
        <w:t>En France, la coordination de la surveillance génomique des virus SARS-CoV-2 relève des missions du Centre national de référence (CNR), basé à Lyon et Paris. Cette surveillance repose sur le séquençage de prélèvements représentatifs provenant des laboratoires de biologie médicale, du Réseau sentinelle, des établissements sociaux et médiaux sociaux et des hôpitaux et s’appuie sur l’ensemble des capacités de dépistage disponibles en France et dont la mobilisation est en cours.</w:t>
      </w:r>
    </w:p>
    <w:p w:rsidR="00F413E1" w:rsidRPr="003B7AAF" w:rsidRDefault="00F413E1" w:rsidP="00F413E1">
      <w:pPr>
        <w:rPr>
          <w:rFonts w:cstheme="minorHAnsi"/>
          <w:sz w:val="24"/>
          <w:szCs w:val="24"/>
        </w:rPr>
      </w:pPr>
      <w:r w:rsidRPr="003B7AAF">
        <w:rPr>
          <w:rFonts w:cstheme="minorHAnsi"/>
          <w:sz w:val="24"/>
          <w:szCs w:val="24"/>
        </w:rPr>
        <w:t>Les laboratoires doivent adresser au CNR pour séquençage, tout résultat de test PCR positif pour une personne revenant du Royaume-Uni et d’Afrique du Sud ou ayant été en contact rapproché avec une personne revenant de ces deux pays, ou tout résultat de test PCR pouvant évoquer la présence d’une variante virale.</w:t>
      </w:r>
    </w:p>
    <w:p w:rsidR="00F413E1" w:rsidRPr="003B7AAF" w:rsidRDefault="00F413E1" w:rsidP="00F413E1">
      <w:pPr>
        <w:rPr>
          <w:rFonts w:cstheme="minorHAnsi"/>
          <w:sz w:val="24"/>
          <w:szCs w:val="24"/>
        </w:rPr>
      </w:pPr>
      <w:r>
        <w:rPr>
          <w:rFonts w:cstheme="minorHAnsi"/>
          <w:sz w:val="24"/>
          <w:szCs w:val="24"/>
        </w:rPr>
        <w:t>Afin d’ê</w:t>
      </w:r>
      <w:r w:rsidRPr="003B7AAF">
        <w:rPr>
          <w:rFonts w:cstheme="minorHAnsi"/>
          <w:sz w:val="24"/>
          <w:szCs w:val="24"/>
        </w:rPr>
        <w:t xml:space="preserve">tre en capacité de détecter les variantes, des actions associant le CNR, l’ANRS Maladies Infectieuses Emergentes, l’Inserm et Santé publique France </w:t>
      </w:r>
      <w:proofErr w:type="gramStart"/>
      <w:r w:rsidRPr="003B7AAF">
        <w:rPr>
          <w:rFonts w:cstheme="minorHAnsi"/>
          <w:sz w:val="24"/>
          <w:szCs w:val="24"/>
        </w:rPr>
        <w:t>sont</w:t>
      </w:r>
      <w:proofErr w:type="gramEnd"/>
      <w:r w:rsidRPr="003B7AAF">
        <w:rPr>
          <w:rFonts w:cstheme="minorHAnsi"/>
          <w:sz w:val="24"/>
          <w:szCs w:val="24"/>
        </w:rPr>
        <w:t xml:space="preserve"> actuellement en cours pour augmenter les capacités et l’activité nationale de séquençage des virus SARS-CoV-2.</w:t>
      </w:r>
    </w:p>
    <w:p w:rsidR="00F413E1" w:rsidRDefault="00F413E1" w:rsidP="00F413E1">
      <w:pPr>
        <w:pStyle w:val="Default"/>
        <w:jc w:val="both"/>
        <w:rPr>
          <w:rFonts w:asciiTheme="minorHAnsi" w:hAnsiTheme="minorHAnsi" w:cstheme="minorHAnsi"/>
        </w:rPr>
      </w:pPr>
      <w:r w:rsidRPr="003B7AAF">
        <w:rPr>
          <w:rFonts w:asciiTheme="minorHAnsi" w:hAnsiTheme="minorHAnsi" w:cstheme="minorHAnsi"/>
        </w:rPr>
        <w:t>Si le séquençage est réalisé par un autre laboratoire que le CNR, le CNR et l’ARS doivent être tenus informés sans délais des résultats des séquençages réalisés.</w:t>
      </w:r>
    </w:p>
    <w:p w:rsidR="00F413E1" w:rsidRPr="003B7AAF" w:rsidRDefault="00F413E1" w:rsidP="00F413E1">
      <w:pPr>
        <w:pStyle w:val="Default"/>
        <w:jc w:val="both"/>
        <w:rPr>
          <w:rFonts w:asciiTheme="minorHAnsi" w:hAnsiTheme="minorHAnsi" w:cstheme="minorHAnsi"/>
        </w:rPr>
      </w:pPr>
    </w:p>
    <w:p w:rsidR="00F03151" w:rsidRPr="00F413E1" w:rsidRDefault="00F413E1" w:rsidP="00F413E1">
      <w:pPr>
        <w:ind w:firstLine="708"/>
        <w:rPr>
          <w:rFonts w:cstheme="minorHAnsi"/>
          <w:b/>
          <w:i/>
          <w:sz w:val="24"/>
          <w:szCs w:val="24"/>
        </w:rPr>
      </w:pPr>
      <w:r>
        <w:rPr>
          <w:rFonts w:cstheme="minorHAnsi"/>
          <w:b/>
          <w:i/>
          <w:sz w:val="24"/>
          <w:szCs w:val="24"/>
        </w:rPr>
        <w:t>Enquêtes flash</w:t>
      </w:r>
    </w:p>
    <w:p w:rsidR="00F413E1" w:rsidRPr="00F413E1" w:rsidRDefault="00F413E1" w:rsidP="00F413E1">
      <w:pPr>
        <w:rPr>
          <w:rFonts w:cstheme="minorHAnsi"/>
          <w:b/>
          <w:i/>
          <w:color w:val="0070C0"/>
          <w:sz w:val="24"/>
          <w:szCs w:val="24"/>
          <w:u w:val="single"/>
        </w:rPr>
      </w:pPr>
      <w:proofErr w:type="spellStart"/>
      <w:r w:rsidRPr="00F413E1">
        <w:rPr>
          <w:rFonts w:cstheme="minorHAnsi"/>
          <w:sz w:val="24"/>
          <w:szCs w:val="24"/>
        </w:rPr>
        <w:t>SpF</w:t>
      </w:r>
      <w:proofErr w:type="spellEnd"/>
      <w:r w:rsidRPr="00F413E1">
        <w:rPr>
          <w:rFonts w:cstheme="minorHAnsi"/>
          <w:sz w:val="24"/>
          <w:szCs w:val="24"/>
        </w:rPr>
        <w:t xml:space="preserve">, en lien avec les CNR, définit la stratégie de surveillance virologique, qui repose sur des </w:t>
      </w:r>
      <w:r w:rsidRPr="00F413E1">
        <w:rPr>
          <w:rFonts w:cstheme="minorHAnsi"/>
          <w:b/>
          <w:sz w:val="24"/>
          <w:szCs w:val="24"/>
        </w:rPr>
        <w:t>enquêtes « flash » régulières.</w:t>
      </w:r>
    </w:p>
    <w:p w:rsidR="00F03151" w:rsidRPr="003B7AAF" w:rsidRDefault="00F03151" w:rsidP="00F03151">
      <w:pPr>
        <w:rPr>
          <w:rFonts w:cstheme="minorHAnsi"/>
          <w:sz w:val="24"/>
          <w:szCs w:val="24"/>
        </w:rPr>
      </w:pPr>
      <w:r w:rsidRPr="003B7AAF">
        <w:rPr>
          <w:rFonts w:cstheme="minorHAnsi"/>
          <w:sz w:val="24"/>
          <w:szCs w:val="24"/>
        </w:rPr>
        <w:t xml:space="preserve">Concernant la variante VOC202012/01, une enquête flash a rapidement été mise en place par le CNR de Lyon en association avec Santé publique France et l’ANRS Maladie infectieuses émergentes, avec comme principal objectif d’estimer la circulation virale sur le territoire national. Elle consiste en un screening par RT-PCR </w:t>
      </w:r>
      <w:proofErr w:type="spellStart"/>
      <w:r w:rsidRPr="003B7AAF">
        <w:rPr>
          <w:rFonts w:cstheme="minorHAnsi"/>
          <w:sz w:val="24"/>
          <w:szCs w:val="24"/>
        </w:rPr>
        <w:t>ThermoFischer</w:t>
      </w:r>
      <w:proofErr w:type="spellEnd"/>
      <w:r w:rsidRPr="003B7AAF">
        <w:rPr>
          <w:rFonts w:cstheme="minorHAnsi"/>
          <w:sz w:val="24"/>
          <w:szCs w:val="24"/>
        </w:rPr>
        <w:t xml:space="preserve"> puis séquençage des virus isolés à partir de prélèvements traités jeudi et vendredi. Les résultats de cette enquête sont attendus en fin de semaine.</w:t>
      </w:r>
    </w:p>
    <w:p w:rsidR="00F03151" w:rsidRDefault="00F03151">
      <w:pPr>
        <w:rPr>
          <w:rFonts w:cstheme="minorHAnsi"/>
          <w:sz w:val="24"/>
          <w:szCs w:val="24"/>
        </w:rPr>
      </w:pPr>
      <w:r w:rsidRPr="003B7AAF">
        <w:rPr>
          <w:rFonts w:cstheme="minorHAnsi"/>
          <w:sz w:val="24"/>
          <w:szCs w:val="24"/>
        </w:rPr>
        <w:t>En-dehors du cadre de cette enquête, seuls les tests positifs des personnes de retour de zone d’endémie ou ayant été en contact avec des personnes en provenance de ces lieux dans les 14 jours sont systématiquement envoyés aux CNR (Lyon et Paris) pour séquençage.</w:t>
      </w:r>
    </w:p>
    <w:p w:rsidR="00F413E1" w:rsidRPr="003B7AAF" w:rsidRDefault="00F413E1">
      <w:pPr>
        <w:rPr>
          <w:rFonts w:cstheme="minorHAnsi"/>
          <w:sz w:val="24"/>
          <w:szCs w:val="24"/>
        </w:rPr>
      </w:pPr>
    </w:p>
    <w:p w:rsidR="000B363F" w:rsidRDefault="000B363F">
      <w:pPr>
        <w:jc w:val="left"/>
        <w:rPr>
          <w:rFonts w:cstheme="minorHAnsi"/>
          <w:b/>
          <w:i/>
          <w:color w:val="0070C0"/>
          <w:sz w:val="24"/>
          <w:szCs w:val="24"/>
          <w:u w:val="single"/>
        </w:rPr>
      </w:pPr>
      <w:r>
        <w:rPr>
          <w:rFonts w:cstheme="minorHAnsi"/>
          <w:b/>
          <w:i/>
          <w:color w:val="0070C0"/>
          <w:sz w:val="24"/>
          <w:szCs w:val="24"/>
          <w:u w:val="single"/>
        </w:rPr>
        <w:br w:type="page"/>
      </w:r>
    </w:p>
    <w:p w:rsidR="00F03151" w:rsidRPr="003B7AAF" w:rsidRDefault="00F03151" w:rsidP="00F03151">
      <w:pPr>
        <w:rPr>
          <w:rFonts w:cstheme="minorHAnsi"/>
          <w:b/>
          <w:i/>
          <w:color w:val="0070C0"/>
          <w:sz w:val="24"/>
          <w:szCs w:val="24"/>
          <w:u w:val="single"/>
        </w:rPr>
      </w:pPr>
      <w:r w:rsidRPr="003B7AAF">
        <w:rPr>
          <w:rFonts w:cstheme="minorHAnsi"/>
          <w:b/>
          <w:i/>
          <w:color w:val="0070C0"/>
          <w:sz w:val="24"/>
          <w:szCs w:val="24"/>
          <w:u w:val="single"/>
        </w:rPr>
        <w:lastRenderedPageBreak/>
        <w:t>C</w:t>
      </w:r>
      <w:r w:rsidR="00F413E1">
        <w:rPr>
          <w:rFonts w:cstheme="minorHAnsi"/>
          <w:b/>
          <w:i/>
          <w:color w:val="0070C0"/>
          <w:sz w:val="24"/>
          <w:szCs w:val="24"/>
          <w:u w:val="single"/>
        </w:rPr>
        <w:t>ONDUITE A TENIR ET CONSIGNES RELATIVES A LA REALISATION DU SEQUENCAGE</w:t>
      </w:r>
    </w:p>
    <w:p w:rsidR="00F03151" w:rsidRPr="003B7AAF" w:rsidRDefault="00F03151" w:rsidP="00F03151">
      <w:pPr>
        <w:pStyle w:val="Default"/>
        <w:jc w:val="both"/>
        <w:rPr>
          <w:rFonts w:asciiTheme="minorHAnsi" w:hAnsiTheme="minorHAnsi" w:cstheme="minorHAnsi"/>
        </w:rPr>
      </w:pPr>
      <w:r w:rsidRPr="003B7AAF">
        <w:rPr>
          <w:rFonts w:asciiTheme="minorHAnsi" w:hAnsiTheme="minorHAnsi" w:cstheme="minorHAnsi"/>
        </w:rPr>
        <w:t>Il convient de définir des conduits à tenir qui permettent de détecter et de réagir face à toute nouvelle variante d’importance.</w:t>
      </w:r>
    </w:p>
    <w:p w:rsidR="00F03151" w:rsidRPr="003B7AAF" w:rsidRDefault="00F03151" w:rsidP="00F03151">
      <w:pPr>
        <w:pStyle w:val="Default"/>
        <w:jc w:val="both"/>
        <w:rPr>
          <w:rFonts w:asciiTheme="minorHAnsi" w:hAnsiTheme="minorHAnsi" w:cstheme="minorHAnsi"/>
        </w:rPr>
      </w:pPr>
    </w:p>
    <w:p w:rsidR="000B363F" w:rsidRPr="00361817" w:rsidRDefault="000B363F" w:rsidP="000B363F">
      <w:pPr>
        <w:pStyle w:val="Default"/>
        <w:jc w:val="both"/>
        <w:rPr>
          <w:szCs w:val="22"/>
        </w:rPr>
      </w:pPr>
      <w:r w:rsidRPr="00361817">
        <w:rPr>
          <w:szCs w:val="22"/>
        </w:rPr>
        <w:t>Deux modalités de séquençage complémentaires sont mises en œuvre pour :</w:t>
      </w:r>
    </w:p>
    <w:p w:rsidR="000B363F" w:rsidRPr="00361817" w:rsidRDefault="000B363F" w:rsidP="000B363F">
      <w:pPr>
        <w:pStyle w:val="Default"/>
        <w:numPr>
          <w:ilvl w:val="1"/>
          <w:numId w:val="10"/>
        </w:numPr>
        <w:jc w:val="both"/>
        <w:rPr>
          <w:szCs w:val="22"/>
        </w:rPr>
      </w:pPr>
      <w:r w:rsidRPr="00361817">
        <w:rPr>
          <w:szCs w:val="22"/>
        </w:rPr>
        <w:t xml:space="preserve">Assurer </w:t>
      </w:r>
      <w:r w:rsidRPr="00361817">
        <w:rPr>
          <w:b/>
          <w:szCs w:val="22"/>
        </w:rPr>
        <w:t>la surveillance virologique</w:t>
      </w:r>
      <w:r w:rsidRPr="00361817">
        <w:rPr>
          <w:szCs w:val="22"/>
        </w:rPr>
        <w:t xml:space="preserve"> et évaluer la circulation des variantes </w:t>
      </w:r>
    </w:p>
    <w:p w:rsidR="000B363F" w:rsidRPr="00361817" w:rsidRDefault="000B363F" w:rsidP="000B363F">
      <w:pPr>
        <w:pStyle w:val="Default"/>
        <w:numPr>
          <w:ilvl w:val="1"/>
          <w:numId w:val="10"/>
        </w:numPr>
        <w:jc w:val="both"/>
        <w:rPr>
          <w:szCs w:val="22"/>
        </w:rPr>
      </w:pPr>
      <w:r w:rsidRPr="00361817">
        <w:rPr>
          <w:b/>
          <w:szCs w:val="22"/>
        </w:rPr>
        <w:t>Détecter les situations à risque de propagation des variantes</w:t>
      </w:r>
      <w:r w:rsidRPr="00361817">
        <w:rPr>
          <w:szCs w:val="22"/>
        </w:rPr>
        <w:t xml:space="preserve"> et prendre les mesures de gestion renforcées.</w:t>
      </w:r>
    </w:p>
    <w:p w:rsidR="000B363F" w:rsidRDefault="000B363F" w:rsidP="000B363F">
      <w:pPr>
        <w:pStyle w:val="Default"/>
        <w:jc w:val="both"/>
        <w:rPr>
          <w:sz w:val="22"/>
          <w:szCs w:val="22"/>
        </w:rPr>
      </w:pPr>
    </w:p>
    <w:p w:rsidR="000B363F" w:rsidRPr="00361817" w:rsidRDefault="000B363F" w:rsidP="000B363F">
      <w:pPr>
        <w:pStyle w:val="Default"/>
        <w:jc w:val="both"/>
        <w:rPr>
          <w:b/>
          <w:color w:val="5B9BD5" w:themeColor="accent1"/>
          <w:szCs w:val="22"/>
          <w:u w:val="single"/>
        </w:rPr>
      </w:pPr>
      <w:r w:rsidRPr="00361817">
        <w:rPr>
          <w:b/>
          <w:color w:val="5B9BD5" w:themeColor="accent1"/>
          <w:szCs w:val="22"/>
          <w:u w:val="single"/>
        </w:rPr>
        <w:t>Concernant les situations à risque de propagation, 3 cas de figure sont identifiés :</w:t>
      </w:r>
    </w:p>
    <w:p w:rsidR="000B363F" w:rsidRPr="00361817" w:rsidRDefault="000B363F" w:rsidP="000B363F">
      <w:pPr>
        <w:pStyle w:val="Default"/>
        <w:jc w:val="both"/>
        <w:rPr>
          <w:szCs w:val="22"/>
        </w:rPr>
      </w:pPr>
    </w:p>
    <w:p w:rsidR="000B363F" w:rsidRPr="00361817" w:rsidRDefault="000B363F" w:rsidP="000B363F">
      <w:pPr>
        <w:pStyle w:val="Default"/>
        <w:numPr>
          <w:ilvl w:val="0"/>
          <w:numId w:val="2"/>
        </w:numPr>
        <w:jc w:val="both"/>
        <w:rPr>
          <w:b/>
          <w:i/>
          <w:color w:val="538135" w:themeColor="accent6" w:themeShade="BF"/>
          <w:szCs w:val="22"/>
        </w:rPr>
      </w:pPr>
      <w:r w:rsidRPr="00361817">
        <w:rPr>
          <w:b/>
          <w:i/>
          <w:color w:val="538135" w:themeColor="accent6" w:themeShade="BF"/>
          <w:szCs w:val="22"/>
        </w:rPr>
        <w:t>S’agissant de toute personne ayant séjourné à l’étranger dans les 14 jours précédant la date des symptômes ou du prélèvement ou ayant eu un contact à risque avec une personne y ayant séjourné dans les 14 jours suivant son retour</w:t>
      </w:r>
    </w:p>
    <w:p w:rsidR="000B363F" w:rsidRPr="00361817" w:rsidRDefault="000B363F" w:rsidP="000B363F">
      <w:pPr>
        <w:pStyle w:val="Default"/>
        <w:jc w:val="both"/>
        <w:rPr>
          <w:szCs w:val="22"/>
        </w:rPr>
      </w:pPr>
    </w:p>
    <w:p w:rsidR="000B363F" w:rsidRPr="00361817" w:rsidRDefault="000B363F" w:rsidP="000B363F">
      <w:pPr>
        <w:pStyle w:val="Default"/>
        <w:numPr>
          <w:ilvl w:val="1"/>
          <w:numId w:val="10"/>
        </w:numPr>
        <w:jc w:val="both"/>
        <w:rPr>
          <w:szCs w:val="22"/>
        </w:rPr>
      </w:pPr>
      <w:r w:rsidRPr="00361817">
        <w:rPr>
          <w:szCs w:val="22"/>
        </w:rPr>
        <w:t>Laboratoires et professionnels de santé réalisant un dépistage du SARS-CoV-2 doivent</w:t>
      </w:r>
      <w:r w:rsidRPr="00361817">
        <w:rPr>
          <w:b/>
          <w:szCs w:val="22"/>
        </w:rPr>
        <w:t xml:space="preserve"> </w:t>
      </w:r>
      <w:r w:rsidRPr="00361817">
        <w:rPr>
          <w:b/>
          <w:szCs w:val="22"/>
          <w:u w:val="single"/>
        </w:rPr>
        <w:t>questionner systématiquement</w:t>
      </w:r>
      <w:r w:rsidRPr="00361817">
        <w:rPr>
          <w:b/>
          <w:szCs w:val="22"/>
        </w:rPr>
        <w:t xml:space="preserve"> toute personne venant se faire tester sur un potentiel séjour à l’étranger dans les 14 jours précédant la date des symptômes ou du prélèvement ou sur un potentiel contact à risque avec une personne ayant séjourné à l’étranger.</w:t>
      </w:r>
      <w:r w:rsidRPr="00361817">
        <w:rPr>
          <w:szCs w:val="22"/>
        </w:rPr>
        <w:t xml:space="preserve"> </w:t>
      </w:r>
    </w:p>
    <w:p w:rsidR="000B363F" w:rsidRPr="009C0BDD" w:rsidRDefault="000B363F" w:rsidP="000B363F">
      <w:pPr>
        <w:pStyle w:val="Default"/>
        <w:numPr>
          <w:ilvl w:val="0"/>
          <w:numId w:val="11"/>
        </w:numPr>
        <w:jc w:val="both"/>
        <w:rPr>
          <w:i/>
          <w:sz w:val="22"/>
          <w:szCs w:val="22"/>
        </w:rPr>
      </w:pPr>
      <w:r w:rsidRPr="009C0BDD">
        <w:rPr>
          <w:i/>
          <w:sz w:val="22"/>
          <w:szCs w:val="22"/>
        </w:rPr>
        <w:t>Si réponse positive, renseignement obligatoire de SIDEP</w:t>
      </w:r>
    </w:p>
    <w:p w:rsidR="000B363F" w:rsidRDefault="000B363F" w:rsidP="000B363F">
      <w:pPr>
        <w:pStyle w:val="Default"/>
        <w:jc w:val="both"/>
        <w:rPr>
          <w:sz w:val="22"/>
          <w:szCs w:val="22"/>
        </w:rPr>
      </w:pPr>
    </w:p>
    <w:p w:rsidR="000B363F" w:rsidRPr="00361817" w:rsidRDefault="000B363F" w:rsidP="000B363F">
      <w:pPr>
        <w:pStyle w:val="Default"/>
        <w:numPr>
          <w:ilvl w:val="1"/>
          <w:numId w:val="10"/>
        </w:numPr>
        <w:jc w:val="both"/>
        <w:rPr>
          <w:b/>
          <w:szCs w:val="22"/>
        </w:rPr>
      </w:pPr>
      <w:r w:rsidRPr="00361817">
        <w:rPr>
          <w:szCs w:val="22"/>
        </w:rPr>
        <w:t xml:space="preserve">Laboratoires et professionnels de santé doivent </w:t>
      </w:r>
      <w:r w:rsidRPr="00361817">
        <w:rPr>
          <w:b/>
          <w:szCs w:val="22"/>
        </w:rPr>
        <w:t xml:space="preserve">orienter toute personne ayant séjourné à l’étranger dans les 14 derniers jours ou ayant eu un contact à risque avec une personne y ayant séjourné et se présentant pour la réalisation d’un dépistage du SARS-CoV-2 vers la </w:t>
      </w:r>
      <w:r w:rsidRPr="00361817">
        <w:rPr>
          <w:b/>
          <w:szCs w:val="22"/>
          <w:u w:val="single"/>
        </w:rPr>
        <w:t>réalisation d’un test RT-PCR</w:t>
      </w:r>
      <w:r w:rsidRPr="00361817">
        <w:rPr>
          <w:b/>
          <w:szCs w:val="22"/>
        </w:rPr>
        <w:t xml:space="preserve"> sans préjudice de délai pour la mise en œuvre de l’isolement. </w:t>
      </w:r>
    </w:p>
    <w:p w:rsidR="000B363F" w:rsidRPr="00361817" w:rsidRDefault="000B363F" w:rsidP="000B363F">
      <w:pPr>
        <w:pStyle w:val="Default"/>
        <w:jc w:val="both"/>
        <w:rPr>
          <w:b/>
          <w:szCs w:val="22"/>
        </w:rPr>
      </w:pPr>
    </w:p>
    <w:p w:rsidR="000B363F" w:rsidRPr="00361817" w:rsidRDefault="000B363F" w:rsidP="000B363F">
      <w:pPr>
        <w:rPr>
          <w:rFonts w:cstheme="minorHAnsi"/>
          <w:color w:val="C00000"/>
          <w:sz w:val="24"/>
        </w:rPr>
      </w:pPr>
      <w:r w:rsidRPr="00361817">
        <w:rPr>
          <w:rFonts w:cstheme="minorHAnsi"/>
          <w:color w:val="C00000"/>
          <w:sz w:val="24"/>
        </w:rPr>
        <w:t xml:space="preserve">Plus globalement, il est recommandé à toute personne ayant séjourné à l’étranger dans les 14 derniers jours (et présentant des symptômes) de </w:t>
      </w:r>
      <w:r w:rsidRPr="00361817">
        <w:rPr>
          <w:rFonts w:cstheme="minorHAnsi"/>
          <w:b/>
          <w:color w:val="C00000"/>
          <w:sz w:val="24"/>
        </w:rPr>
        <w:t>se faire dépister immédiatement par un test PCR</w:t>
      </w:r>
    </w:p>
    <w:p w:rsidR="000B363F" w:rsidRPr="00361817" w:rsidRDefault="000B363F" w:rsidP="000B363F">
      <w:pPr>
        <w:pStyle w:val="Default"/>
        <w:jc w:val="both"/>
        <w:rPr>
          <w:i/>
          <w:color w:val="C45911" w:themeColor="accent2" w:themeShade="BF"/>
          <w:szCs w:val="22"/>
        </w:rPr>
      </w:pPr>
      <w:r w:rsidRPr="00361817">
        <w:rPr>
          <w:b/>
          <w:i/>
          <w:color w:val="C45911" w:themeColor="accent2" w:themeShade="BF"/>
          <w:szCs w:val="22"/>
        </w:rPr>
        <w:t>Nouvelles consignes de contact-</w:t>
      </w:r>
      <w:proofErr w:type="spellStart"/>
      <w:r w:rsidRPr="00361817">
        <w:rPr>
          <w:b/>
          <w:i/>
          <w:color w:val="C45911" w:themeColor="accent2" w:themeShade="BF"/>
          <w:szCs w:val="22"/>
        </w:rPr>
        <w:t>tracing</w:t>
      </w:r>
      <w:proofErr w:type="spellEnd"/>
      <w:r w:rsidRPr="00361817">
        <w:rPr>
          <w:b/>
          <w:i/>
          <w:color w:val="C45911" w:themeColor="accent2" w:themeShade="BF"/>
          <w:szCs w:val="22"/>
        </w:rPr>
        <w:t xml:space="preserve"> du niveau 2</w:t>
      </w:r>
    </w:p>
    <w:p w:rsidR="000B363F" w:rsidRPr="00361817" w:rsidRDefault="000B363F" w:rsidP="000B363F">
      <w:pPr>
        <w:pStyle w:val="Default"/>
        <w:numPr>
          <w:ilvl w:val="1"/>
          <w:numId w:val="10"/>
        </w:numPr>
        <w:jc w:val="both"/>
        <w:rPr>
          <w:szCs w:val="22"/>
        </w:rPr>
      </w:pPr>
      <w:r w:rsidRPr="00361817">
        <w:rPr>
          <w:szCs w:val="22"/>
        </w:rPr>
        <w:t xml:space="preserve">Tous les nouveaux cas confirmés sont </w:t>
      </w:r>
      <w:r w:rsidRPr="00361817">
        <w:rPr>
          <w:szCs w:val="22"/>
          <w:u w:val="single"/>
        </w:rPr>
        <w:t>systématiquement interrogés</w:t>
      </w:r>
      <w:r w:rsidRPr="00361817">
        <w:rPr>
          <w:szCs w:val="22"/>
        </w:rPr>
        <w:t xml:space="preserve"> sur un potentiel séjour à l’étranger dans les 14 jours précédant la date de début des signes pour les cas symptomatiques ou la date de prélèvement pour les cas asymptomatiques. Rappel de l’importance de l’isolement et du respect des mesures barrières</w:t>
      </w:r>
    </w:p>
    <w:p w:rsidR="000B363F" w:rsidRPr="00361817" w:rsidRDefault="000B363F" w:rsidP="000B363F">
      <w:pPr>
        <w:pStyle w:val="Default"/>
        <w:numPr>
          <w:ilvl w:val="1"/>
          <w:numId w:val="10"/>
        </w:numPr>
        <w:jc w:val="both"/>
        <w:rPr>
          <w:szCs w:val="22"/>
        </w:rPr>
      </w:pPr>
      <w:r w:rsidRPr="00361817">
        <w:rPr>
          <w:szCs w:val="22"/>
        </w:rPr>
        <w:t xml:space="preserve">Tous les nouveaux cas confirmés sont </w:t>
      </w:r>
      <w:r w:rsidRPr="00361817">
        <w:rPr>
          <w:szCs w:val="22"/>
          <w:u w:val="single"/>
        </w:rPr>
        <w:t>systématiquement interrogés</w:t>
      </w:r>
      <w:r w:rsidRPr="00361817">
        <w:rPr>
          <w:szCs w:val="22"/>
        </w:rPr>
        <w:t xml:space="preserve"> sur un potentiel contact à risque avec une personne ayant séjourné à l’étranger dans les 14 jours suivant son retour. Rappel de l’importance de l’isolement et des mesures barrières.</w:t>
      </w:r>
    </w:p>
    <w:p w:rsidR="000B363F" w:rsidRPr="00361817" w:rsidRDefault="000B363F" w:rsidP="000B363F">
      <w:pPr>
        <w:pStyle w:val="Default"/>
        <w:jc w:val="both"/>
        <w:rPr>
          <w:b/>
          <w:szCs w:val="22"/>
        </w:rPr>
      </w:pPr>
    </w:p>
    <w:p w:rsidR="000B363F" w:rsidRPr="00361817" w:rsidRDefault="000B363F" w:rsidP="000B363F">
      <w:pPr>
        <w:pStyle w:val="Default"/>
        <w:jc w:val="both"/>
        <w:rPr>
          <w:b/>
          <w:color w:val="C00000"/>
          <w:szCs w:val="22"/>
        </w:rPr>
      </w:pPr>
      <w:r w:rsidRPr="00361817">
        <w:rPr>
          <w:b/>
          <w:color w:val="C00000"/>
          <w:szCs w:val="22"/>
        </w:rPr>
        <w:t>Tout professionnel de santé, laboratoire de biologie médicale et centres de dépistage doit orienter exclusivement toutes les personnes ayant voyagé à l’étranger depuis moins de 14 jours vers la réalisation d’un test RT-PCR permettant le séquençage, prioritairement vers une PCR Thermo Fisher</w:t>
      </w:r>
    </w:p>
    <w:p w:rsidR="000B363F" w:rsidRPr="00361817" w:rsidRDefault="000B363F" w:rsidP="000B363F">
      <w:pPr>
        <w:pStyle w:val="Default"/>
        <w:ind w:firstLine="708"/>
        <w:jc w:val="both"/>
        <w:rPr>
          <w:i/>
          <w:szCs w:val="22"/>
        </w:rPr>
      </w:pPr>
      <w:r w:rsidRPr="00361817">
        <w:rPr>
          <w:i/>
          <w:szCs w:val="22"/>
        </w:rPr>
        <w:sym w:font="Wingdings" w:char="F0E0"/>
      </w:r>
      <w:r w:rsidRPr="00361817">
        <w:rPr>
          <w:i/>
          <w:szCs w:val="22"/>
        </w:rPr>
        <w:t xml:space="preserve"> </w:t>
      </w:r>
      <w:proofErr w:type="gramStart"/>
      <w:r w:rsidRPr="00361817">
        <w:rPr>
          <w:i/>
          <w:szCs w:val="22"/>
        </w:rPr>
        <w:t>informations</w:t>
      </w:r>
      <w:proofErr w:type="gramEnd"/>
      <w:r w:rsidRPr="00361817">
        <w:rPr>
          <w:i/>
          <w:szCs w:val="22"/>
        </w:rPr>
        <w:t xml:space="preserve"> à rentrer dans SI-DEP par les professionnels</w:t>
      </w:r>
    </w:p>
    <w:p w:rsidR="000B363F" w:rsidRPr="00361817" w:rsidRDefault="000B363F" w:rsidP="000B363F">
      <w:pPr>
        <w:pStyle w:val="Default"/>
        <w:jc w:val="both"/>
        <w:rPr>
          <w:szCs w:val="22"/>
        </w:rPr>
      </w:pPr>
      <w:r w:rsidRPr="00361817">
        <w:rPr>
          <w:szCs w:val="22"/>
        </w:rPr>
        <w:lastRenderedPageBreak/>
        <w:t>Les prélèvements positifs sont transmis aux centres habilités par le CNR ou au CNR pour séquençage.</w:t>
      </w:r>
    </w:p>
    <w:p w:rsidR="000B363F" w:rsidRPr="00361817" w:rsidRDefault="000B363F" w:rsidP="000B363F">
      <w:pPr>
        <w:pStyle w:val="Default"/>
        <w:jc w:val="both"/>
        <w:rPr>
          <w:szCs w:val="22"/>
        </w:rPr>
      </w:pPr>
    </w:p>
    <w:p w:rsidR="000B363F" w:rsidRPr="00361817" w:rsidRDefault="000B363F" w:rsidP="000B363F">
      <w:pPr>
        <w:pStyle w:val="Default"/>
        <w:jc w:val="both"/>
        <w:rPr>
          <w:b/>
          <w:i/>
          <w:color w:val="C45911" w:themeColor="accent2" w:themeShade="BF"/>
          <w:szCs w:val="22"/>
        </w:rPr>
      </w:pPr>
      <w:r w:rsidRPr="00361817">
        <w:rPr>
          <w:b/>
          <w:i/>
          <w:color w:val="C45911" w:themeColor="accent2" w:themeShade="BF"/>
          <w:szCs w:val="22"/>
        </w:rPr>
        <w:t>Voyageurs en provenance de pays extérieurs UE</w:t>
      </w:r>
    </w:p>
    <w:p w:rsidR="000B363F" w:rsidRPr="00361817" w:rsidRDefault="000B363F" w:rsidP="000B363F">
      <w:pPr>
        <w:pStyle w:val="Default"/>
        <w:numPr>
          <w:ilvl w:val="1"/>
          <w:numId w:val="10"/>
        </w:numPr>
        <w:ind w:left="709"/>
        <w:jc w:val="both"/>
        <w:rPr>
          <w:szCs w:val="22"/>
        </w:rPr>
      </w:pPr>
      <w:r w:rsidRPr="00361817">
        <w:rPr>
          <w:szCs w:val="22"/>
        </w:rPr>
        <w:t>Effectuer un test RT-PCR moins de 72H avant départ dans le pays de départ</w:t>
      </w:r>
    </w:p>
    <w:p w:rsidR="000B363F" w:rsidRPr="00361817" w:rsidRDefault="000B363F" w:rsidP="000B363F">
      <w:pPr>
        <w:pStyle w:val="Default"/>
        <w:numPr>
          <w:ilvl w:val="1"/>
          <w:numId w:val="10"/>
        </w:numPr>
        <w:ind w:left="709"/>
        <w:jc w:val="both"/>
        <w:rPr>
          <w:szCs w:val="22"/>
        </w:rPr>
      </w:pPr>
      <w:r w:rsidRPr="00361817">
        <w:rPr>
          <w:szCs w:val="22"/>
        </w:rPr>
        <w:t>S’isoler pendant 7 jours une fois arrivés sur le territoire national et réaliser un test PCR à l’issue</w:t>
      </w:r>
    </w:p>
    <w:p w:rsidR="000B363F" w:rsidRPr="00361817" w:rsidRDefault="000B363F" w:rsidP="000B363F">
      <w:pPr>
        <w:pStyle w:val="Default"/>
        <w:ind w:left="709"/>
        <w:jc w:val="both"/>
        <w:rPr>
          <w:szCs w:val="22"/>
        </w:rPr>
      </w:pPr>
    </w:p>
    <w:p w:rsidR="000B363F" w:rsidRDefault="000B363F" w:rsidP="000B363F">
      <w:pPr>
        <w:pStyle w:val="Default"/>
        <w:numPr>
          <w:ilvl w:val="0"/>
          <w:numId w:val="11"/>
        </w:numPr>
        <w:ind w:left="284"/>
        <w:jc w:val="both"/>
        <w:rPr>
          <w:szCs w:val="22"/>
        </w:rPr>
      </w:pPr>
      <w:r w:rsidRPr="00361817">
        <w:rPr>
          <w:szCs w:val="22"/>
        </w:rPr>
        <w:t xml:space="preserve">Plateformes CPAM doivent transmettre aux ARS pour la réalisation d’un </w:t>
      </w:r>
      <w:proofErr w:type="spellStart"/>
      <w:r w:rsidRPr="00361817">
        <w:rPr>
          <w:b/>
          <w:szCs w:val="22"/>
        </w:rPr>
        <w:t>tracing</w:t>
      </w:r>
      <w:proofErr w:type="spellEnd"/>
      <w:r w:rsidRPr="00361817">
        <w:rPr>
          <w:b/>
          <w:szCs w:val="22"/>
        </w:rPr>
        <w:t xml:space="preserve"> de niveau 3</w:t>
      </w:r>
      <w:r w:rsidRPr="00361817">
        <w:rPr>
          <w:szCs w:val="22"/>
        </w:rPr>
        <w:t xml:space="preserve"> les signalements de toutes les personnes en provenance du Royaume-Uni, République d’Irlande, Afrique du Sud, Mozambique et Brésil, ayant été testé positives.</w:t>
      </w:r>
    </w:p>
    <w:p w:rsidR="00361817" w:rsidRPr="00361817" w:rsidRDefault="00361817" w:rsidP="00361817">
      <w:pPr>
        <w:pStyle w:val="Default"/>
        <w:ind w:left="284"/>
        <w:jc w:val="both"/>
        <w:rPr>
          <w:szCs w:val="22"/>
        </w:rPr>
      </w:pPr>
    </w:p>
    <w:p w:rsidR="000B363F" w:rsidRPr="00361817" w:rsidRDefault="000B363F" w:rsidP="000B363F">
      <w:pPr>
        <w:pStyle w:val="Default"/>
        <w:numPr>
          <w:ilvl w:val="0"/>
          <w:numId w:val="2"/>
        </w:numPr>
        <w:jc w:val="both"/>
        <w:rPr>
          <w:b/>
          <w:i/>
          <w:color w:val="538135" w:themeColor="accent6" w:themeShade="BF"/>
          <w:szCs w:val="22"/>
        </w:rPr>
      </w:pPr>
      <w:r w:rsidRPr="00361817">
        <w:rPr>
          <w:b/>
          <w:i/>
          <w:color w:val="538135" w:themeColor="accent6" w:themeShade="BF"/>
          <w:szCs w:val="22"/>
        </w:rPr>
        <w:t>S’agissant de tout cluster, en priorité de criticité élevée, identifié par l’ARS</w:t>
      </w:r>
    </w:p>
    <w:p w:rsidR="000B363F" w:rsidRPr="00361817" w:rsidRDefault="000B363F" w:rsidP="000B363F">
      <w:pPr>
        <w:pStyle w:val="Default"/>
        <w:jc w:val="both"/>
        <w:rPr>
          <w:szCs w:val="22"/>
        </w:rPr>
      </w:pPr>
    </w:p>
    <w:p w:rsidR="000B363F" w:rsidRPr="00361817" w:rsidRDefault="000B363F" w:rsidP="000B363F">
      <w:pPr>
        <w:pStyle w:val="Default"/>
        <w:numPr>
          <w:ilvl w:val="1"/>
          <w:numId w:val="10"/>
        </w:numPr>
        <w:jc w:val="both"/>
        <w:rPr>
          <w:szCs w:val="22"/>
        </w:rPr>
      </w:pPr>
      <w:r w:rsidRPr="00361817">
        <w:rPr>
          <w:szCs w:val="22"/>
        </w:rPr>
        <w:t>Réalisation des investigations et des mesures rigoureuses de gestion habituelles</w:t>
      </w:r>
    </w:p>
    <w:p w:rsidR="000B363F" w:rsidRPr="00361817" w:rsidRDefault="000B363F" w:rsidP="000B363F">
      <w:pPr>
        <w:pStyle w:val="Default"/>
        <w:ind w:left="1320"/>
        <w:jc w:val="both"/>
        <w:rPr>
          <w:szCs w:val="22"/>
        </w:rPr>
      </w:pPr>
    </w:p>
    <w:p w:rsidR="000B363F" w:rsidRPr="00361817" w:rsidRDefault="000B363F" w:rsidP="000B363F">
      <w:pPr>
        <w:pStyle w:val="Default"/>
        <w:numPr>
          <w:ilvl w:val="1"/>
          <w:numId w:val="10"/>
        </w:numPr>
        <w:jc w:val="both"/>
        <w:rPr>
          <w:szCs w:val="22"/>
        </w:rPr>
      </w:pPr>
      <w:r w:rsidRPr="00361817">
        <w:rPr>
          <w:szCs w:val="22"/>
        </w:rPr>
        <w:t>Echantillonnage de tests RT-PCR positifs</w:t>
      </w:r>
      <w:r w:rsidRPr="00361817">
        <w:rPr>
          <w:b/>
          <w:szCs w:val="22"/>
        </w:rPr>
        <w:t xml:space="preserve">, en privilégiant les cas symptomatiques, </w:t>
      </w:r>
      <w:r w:rsidRPr="00361817">
        <w:rPr>
          <w:szCs w:val="22"/>
        </w:rPr>
        <w:t>à transmettre systématiquement à un laboratoire en capacité de réaliser un séquençage</w:t>
      </w:r>
    </w:p>
    <w:p w:rsidR="000B363F" w:rsidRPr="00361817" w:rsidRDefault="000B363F" w:rsidP="000B363F">
      <w:pPr>
        <w:pStyle w:val="Default"/>
        <w:jc w:val="both"/>
        <w:rPr>
          <w:szCs w:val="22"/>
        </w:rPr>
      </w:pPr>
    </w:p>
    <w:p w:rsidR="000B363F" w:rsidRPr="00361817" w:rsidRDefault="000B363F" w:rsidP="000B363F">
      <w:pPr>
        <w:pStyle w:val="Default"/>
        <w:numPr>
          <w:ilvl w:val="1"/>
          <w:numId w:val="10"/>
        </w:numPr>
        <w:jc w:val="both"/>
        <w:rPr>
          <w:szCs w:val="22"/>
        </w:rPr>
      </w:pPr>
      <w:r w:rsidRPr="00361817">
        <w:rPr>
          <w:b/>
          <w:szCs w:val="22"/>
        </w:rPr>
        <w:t xml:space="preserve">En </w:t>
      </w:r>
      <w:r w:rsidRPr="00361817">
        <w:rPr>
          <w:b/>
          <w:color w:val="C00000"/>
          <w:szCs w:val="22"/>
        </w:rPr>
        <w:t xml:space="preserve">cas de confirmation de la circulation d’une variante </w:t>
      </w:r>
      <w:r w:rsidRPr="00361817">
        <w:rPr>
          <w:b/>
          <w:szCs w:val="22"/>
        </w:rPr>
        <w:t xml:space="preserve">(pour </w:t>
      </w:r>
      <w:r w:rsidRPr="00361817">
        <w:rPr>
          <w:b/>
          <w:i/>
          <w:szCs w:val="22"/>
          <w:u w:val="single"/>
        </w:rPr>
        <w:t>a minima</w:t>
      </w:r>
      <w:r w:rsidRPr="00361817">
        <w:rPr>
          <w:b/>
          <w:szCs w:val="22"/>
          <w:u w:val="single"/>
        </w:rPr>
        <w:t xml:space="preserve"> 2 personnes du cluster</w:t>
      </w:r>
      <w:r w:rsidRPr="00361817">
        <w:rPr>
          <w:b/>
          <w:szCs w:val="22"/>
        </w:rPr>
        <w:t>), des mesures de gestion supplémentaires pourront être engagées, notamment de restriction des activités et des déplacements en lien avec la préfecture, après évaluation de la situation</w:t>
      </w:r>
    </w:p>
    <w:p w:rsidR="000B363F" w:rsidRPr="00087107" w:rsidRDefault="000B363F" w:rsidP="000B363F">
      <w:pPr>
        <w:pStyle w:val="Default"/>
        <w:numPr>
          <w:ilvl w:val="0"/>
          <w:numId w:val="11"/>
        </w:numPr>
        <w:ind w:left="1985"/>
        <w:jc w:val="both"/>
        <w:rPr>
          <w:i/>
          <w:sz w:val="20"/>
        </w:rPr>
      </w:pPr>
      <w:r w:rsidRPr="00087107">
        <w:rPr>
          <w:i/>
          <w:sz w:val="20"/>
        </w:rPr>
        <w:t>Concernant les dépistages collectifs permettant d’explorer certaines situations de contamination par ces variantes, ils doivent combiner l’utilisation de tests antigéniques et de tests RT-PCR, permettant la réalisation de séquençages.</w:t>
      </w:r>
    </w:p>
    <w:p w:rsidR="000B363F" w:rsidRDefault="000B363F" w:rsidP="000B363F">
      <w:pPr>
        <w:pStyle w:val="Default"/>
        <w:jc w:val="both"/>
        <w:rPr>
          <w:sz w:val="22"/>
          <w:szCs w:val="22"/>
        </w:rPr>
      </w:pPr>
      <w:r>
        <w:rPr>
          <w:sz w:val="22"/>
          <w:szCs w:val="22"/>
        </w:rPr>
        <w:t xml:space="preserve"> </w:t>
      </w:r>
    </w:p>
    <w:p w:rsidR="000B363F" w:rsidRPr="00361817" w:rsidRDefault="000B363F" w:rsidP="000B363F">
      <w:pPr>
        <w:pStyle w:val="Default"/>
        <w:jc w:val="both"/>
        <w:rPr>
          <w:szCs w:val="22"/>
        </w:rPr>
      </w:pPr>
      <w:r w:rsidRPr="00361817">
        <w:rPr>
          <w:szCs w:val="22"/>
        </w:rPr>
        <w:t xml:space="preserve">Clusters constatés ces derniers jours dans des établissements de santé </w:t>
      </w:r>
    </w:p>
    <w:p w:rsidR="000B363F" w:rsidRPr="005B1B66" w:rsidRDefault="000B363F" w:rsidP="000B363F">
      <w:pPr>
        <w:pStyle w:val="Default"/>
        <w:numPr>
          <w:ilvl w:val="0"/>
          <w:numId w:val="11"/>
        </w:numPr>
        <w:jc w:val="both"/>
        <w:rPr>
          <w:b/>
          <w:i/>
          <w:sz w:val="20"/>
          <w:szCs w:val="22"/>
        </w:rPr>
      </w:pPr>
      <w:r w:rsidRPr="005B1B66">
        <w:rPr>
          <w:b/>
          <w:i/>
          <w:sz w:val="20"/>
          <w:szCs w:val="22"/>
          <w:u w:val="single"/>
        </w:rPr>
        <w:t>Vigilance absolue</w:t>
      </w:r>
      <w:r w:rsidRPr="005B1B66">
        <w:rPr>
          <w:i/>
          <w:sz w:val="20"/>
          <w:szCs w:val="22"/>
        </w:rPr>
        <w:t xml:space="preserve"> quant au respect strict de tous les gestes barrières + </w:t>
      </w:r>
      <w:r w:rsidRPr="005B1B66">
        <w:rPr>
          <w:b/>
          <w:i/>
          <w:sz w:val="20"/>
          <w:szCs w:val="22"/>
          <w:u w:val="single"/>
        </w:rPr>
        <w:t>procédures d’isolement</w:t>
      </w:r>
      <w:r w:rsidRPr="005B1B66">
        <w:rPr>
          <w:b/>
          <w:i/>
          <w:sz w:val="20"/>
          <w:szCs w:val="22"/>
        </w:rPr>
        <w:t xml:space="preserve"> </w:t>
      </w:r>
      <w:r w:rsidRPr="005B1B66">
        <w:rPr>
          <w:i/>
          <w:sz w:val="20"/>
          <w:szCs w:val="22"/>
        </w:rPr>
        <w:t>adaptées à maintenir dans les établissements de santé</w:t>
      </w:r>
    </w:p>
    <w:p w:rsidR="000B363F" w:rsidRPr="00EF5D0A" w:rsidRDefault="000B363F" w:rsidP="000B363F">
      <w:pPr>
        <w:pStyle w:val="Default"/>
        <w:numPr>
          <w:ilvl w:val="0"/>
          <w:numId w:val="11"/>
        </w:numPr>
        <w:jc w:val="both"/>
        <w:rPr>
          <w:b/>
          <w:i/>
          <w:sz w:val="20"/>
          <w:szCs w:val="22"/>
        </w:rPr>
      </w:pPr>
      <w:r w:rsidRPr="005B1B66">
        <w:rPr>
          <w:b/>
          <w:i/>
          <w:sz w:val="20"/>
          <w:szCs w:val="22"/>
          <w:u w:val="single"/>
        </w:rPr>
        <w:t>Objectif</w:t>
      </w:r>
      <w:r w:rsidRPr="00EF5D0A">
        <w:rPr>
          <w:b/>
          <w:i/>
          <w:sz w:val="20"/>
          <w:szCs w:val="22"/>
        </w:rPr>
        <w:t xml:space="preserve"> : </w:t>
      </w:r>
      <w:r>
        <w:rPr>
          <w:b/>
          <w:i/>
          <w:sz w:val="20"/>
          <w:szCs w:val="22"/>
        </w:rPr>
        <w:t>réduire au max</w:t>
      </w:r>
      <w:r w:rsidRPr="00EF5D0A">
        <w:rPr>
          <w:b/>
          <w:i/>
          <w:sz w:val="20"/>
          <w:szCs w:val="22"/>
        </w:rPr>
        <w:t xml:space="preserve"> le risque d’apparition de clusters et de contaminations nosocomiales</w:t>
      </w:r>
    </w:p>
    <w:p w:rsidR="000B363F" w:rsidRPr="00B97F63" w:rsidRDefault="000B363F" w:rsidP="000B363F">
      <w:pPr>
        <w:pStyle w:val="Default"/>
        <w:jc w:val="both"/>
        <w:rPr>
          <w:b/>
          <w:sz w:val="22"/>
          <w:szCs w:val="22"/>
        </w:rPr>
      </w:pPr>
    </w:p>
    <w:p w:rsidR="000B363F" w:rsidRPr="00361817" w:rsidRDefault="000B363F" w:rsidP="000B363F">
      <w:pPr>
        <w:pStyle w:val="Default"/>
        <w:numPr>
          <w:ilvl w:val="0"/>
          <w:numId w:val="2"/>
        </w:numPr>
        <w:jc w:val="both"/>
        <w:rPr>
          <w:b/>
          <w:i/>
          <w:color w:val="538135" w:themeColor="accent6" w:themeShade="BF"/>
          <w:szCs w:val="22"/>
        </w:rPr>
      </w:pPr>
      <w:r w:rsidRPr="00361817">
        <w:rPr>
          <w:b/>
          <w:i/>
          <w:color w:val="538135" w:themeColor="accent6" w:themeShade="BF"/>
          <w:szCs w:val="22"/>
        </w:rPr>
        <w:t>S’agissant de toute augmentation forte, rapide et inexpliquées du taux d’incidence dans l’espace et le temps</w:t>
      </w:r>
    </w:p>
    <w:p w:rsidR="000B363F" w:rsidRPr="00361817" w:rsidRDefault="000B363F" w:rsidP="000B363F">
      <w:pPr>
        <w:pStyle w:val="Default"/>
        <w:jc w:val="both"/>
        <w:rPr>
          <w:szCs w:val="22"/>
        </w:rPr>
      </w:pPr>
    </w:p>
    <w:p w:rsidR="000B363F" w:rsidRPr="00361817" w:rsidRDefault="000B363F" w:rsidP="000B363F">
      <w:pPr>
        <w:pStyle w:val="Default"/>
        <w:numPr>
          <w:ilvl w:val="1"/>
          <w:numId w:val="10"/>
        </w:numPr>
        <w:jc w:val="both"/>
        <w:rPr>
          <w:szCs w:val="22"/>
        </w:rPr>
      </w:pPr>
      <w:r w:rsidRPr="00361817">
        <w:rPr>
          <w:szCs w:val="22"/>
        </w:rPr>
        <w:t>Une évolution inexpliquée et brutale de l’incidence dans une zone géographique délimitée ou chez les classes d’âge les plus jeunes doit conduire aux séquençages des échantillons des personnes ayant été testées positives au SARS-CoV-2 par RT-PCR dans les dernières 48 heures.</w:t>
      </w:r>
    </w:p>
    <w:p w:rsidR="000B363F" w:rsidRPr="00EF5D0A" w:rsidRDefault="000B363F" w:rsidP="000B363F">
      <w:pPr>
        <w:pStyle w:val="Default"/>
        <w:numPr>
          <w:ilvl w:val="0"/>
          <w:numId w:val="11"/>
        </w:numPr>
        <w:ind w:left="1985"/>
        <w:jc w:val="both"/>
        <w:rPr>
          <w:i/>
          <w:sz w:val="20"/>
          <w:szCs w:val="22"/>
        </w:rPr>
      </w:pPr>
      <w:r w:rsidRPr="00EF5D0A">
        <w:rPr>
          <w:i/>
          <w:sz w:val="20"/>
          <w:szCs w:val="22"/>
        </w:rPr>
        <w:t>En cas de circulation avérée d’une variante virale, les mesures de gestion précisées supra doivent être envisagées.</w:t>
      </w:r>
    </w:p>
    <w:p w:rsidR="001B14C5" w:rsidRPr="003B7AAF" w:rsidRDefault="001B14C5">
      <w:pPr>
        <w:rPr>
          <w:rFonts w:cstheme="minorHAnsi"/>
          <w:sz w:val="24"/>
          <w:szCs w:val="24"/>
        </w:rPr>
      </w:pPr>
    </w:p>
    <w:p w:rsidR="000B363F" w:rsidRDefault="000B363F">
      <w:pPr>
        <w:jc w:val="left"/>
        <w:rPr>
          <w:rFonts w:cstheme="minorHAnsi"/>
          <w:b/>
          <w:i/>
          <w:color w:val="0070C0"/>
          <w:sz w:val="24"/>
          <w:szCs w:val="24"/>
          <w:u w:val="single"/>
        </w:rPr>
      </w:pPr>
      <w:r>
        <w:rPr>
          <w:rFonts w:cstheme="minorHAnsi"/>
          <w:b/>
          <w:i/>
          <w:color w:val="0070C0"/>
          <w:sz w:val="24"/>
          <w:szCs w:val="24"/>
          <w:u w:val="single"/>
        </w:rPr>
        <w:br w:type="page"/>
      </w:r>
    </w:p>
    <w:p w:rsidR="001B14C5" w:rsidRPr="003B7AAF" w:rsidRDefault="000B363F">
      <w:pPr>
        <w:rPr>
          <w:rFonts w:cstheme="minorHAnsi"/>
          <w:b/>
          <w:i/>
          <w:color w:val="0070C0"/>
          <w:sz w:val="24"/>
          <w:szCs w:val="24"/>
          <w:u w:val="single"/>
        </w:rPr>
      </w:pPr>
      <w:r>
        <w:rPr>
          <w:rFonts w:cstheme="minorHAnsi"/>
          <w:b/>
          <w:i/>
          <w:color w:val="0070C0"/>
          <w:sz w:val="24"/>
          <w:szCs w:val="24"/>
          <w:u w:val="single"/>
        </w:rPr>
        <w:lastRenderedPageBreak/>
        <w:t>MESURES</w:t>
      </w:r>
    </w:p>
    <w:p w:rsidR="003B7AAF" w:rsidRPr="003B7AAF" w:rsidRDefault="003B7AAF" w:rsidP="003B7AAF">
      <w:pPr>
        <w:rPr>
          <w:rFonts w:cstheme="minorHAnsi"/>
          <w:sz w:val="24"/>
          <w:szCs w:val="24"/>
        </w:rPr>
      </w:pPr>
      <w:r w:rsidRPr="003B7AAF">
        <w:rPr>
          <w:rFonts w:cstheme="minorHAnsi"/>
          <w:sz w:val="24"/>
          <w:szCs w:val="24"/>
        </w:rPr>
        <w:t>L’ensemble de ces mesures a pour objectif de réduire drastiquement les flux transfrontaliers afin de nous protéger du risque de pr</w:t>
      </w:r>
      <w:r w:rsidR="00F413E1">
        <w:rPr>
          <w:rFonts w:cstheme="minorHAnsi"/>
          <w:sz w:val="24"/>
          <w:szCs w:val="24"/>
        </w:rPr>
        <w:t>opagation des souches variantes :</w:t>
      </w:r>
    </w:p>
    <w:p w:rsidR="003B7AAF" w:rsidRPr="0082556C" w:rsidRDefault="003B7AAF" w:rsidP="0082556C">
      <w:pPr>
        <w:pStyle w:val="Paragraphedeliste"/>
        <w:numPr>
          <w:ilvl w:val="0"/>
          <w:numId w:val="9"/>
        </w:numPr>
        <w:tabs>
          <w:tab w:val="left" w:pos="2250"/>
        </w:tabs>
        <w:rPr>
          <w:rFonts w:cstheme="minorHAnsi"/>
          <w:sz w:val="24"/>
          <w:szCs w:val="24"/>
        </w:rPr>
      </w:pPr>
      <w:r w:rsidRPr="0082556C">
        <w:rPr>
          <w:rFonts w:cstheme="minorHAnsi"/>
          <w:sz w:val="24"/>
          <w:szCs w:val="24"/>
        </w:rPr>
        <w:t>Durcir les conditions d’entrée sur le territoire national et renforcer les contrôles aux frontières : Présentation d’un test PCR négatif de moins de 72h obligatoire pour entrer sur le territoire national et engagement à l’isolement 7 jours</w:t>
      </w:r>
    </w:p>
    <w:p w:rsidR="003B7AAF" w:rsidRPr="003B7AAF" w:rsidRDefault="003B7AAF" w:rsidP="00F413E1">
      <w:pPr>
        <w:pStyle w:val="Paragraphedeliste"/>
        <w:numPr>
          <w:ilvl w:val="0"/>
          <w:numId w:val="5"/>
        </w:numPr>
        <w:tabs>
          <w:tab w:val="left" w:pos="2250"/>
        </w:tabs>
        <w:ind w:left="993"/>
        <w:rPr>
          <w:rFonts w:cstheme="minorHAnsi"/>
          <w:sz w:val="24"/>
          <w:szCs w:val="24"/>
        </w:rPr>
      </w:pPr>
      <w:r w:rsidRPr="003B7AAF">
        <w:rPr>
          <w:rFonts w:cstheme="minorHAnsi"/>
          <w:sz w:val="24"/>
          <w:szCs w:val="24"/>
        </w:rPr>
        <w:t>A partir du lundi 18 janvier, tous les voyageurs qui souhaitent venir en France, en provenance d’un pays extérieur à l’Union européenne, quel qu’il soit, devront effectuer un test avant de partir. Il faudra un test négatif pour embarquer dans un avion ou un bateau. De plus, les personnes concernées devront s’engager sur l’honneur à s’isoler pendant 7 jours une fois arrivées en France, puis à refaire un deuxième test PCR à l’issue</w:t>
      </w:r>
    </w:p>
    <w:p w:rsidR="003B7AAF" w:rsidRPr="003B7AAF" w:rsidRDefault="003B7AAF" w:rsidP="00F413E1">
      <w:pPr>
        <w:pStyle w:val="Paragraphedeliste"/>
        <w:numPr>
          <w:ilvl w:val="0"/>
          <w:numId w:val="5"/>
        </w:numPr>
        <w:tabs>
          <w:tab w:val="left" w:pos="2250"/>
        </w:tabs>
        <w:ind w:left="993"/>
        <w:rPr>
          <w:rFonts w:cstheme="minorHAnsi"/>
          <w:sz w:val="24"/>
          <w:szCs w:val="24"/>
        </w:rPr>
      </w:pPr>
      <w:r w:rsidRPr="003B7AAF">
        <w:rPr>
          <w:rFonts w:cstheme="minorHAnsi"/>
          <w:sz w:val="24"/>
          <w:szCs w:val="24"/>
        </w:rPr>
        <w:t>Pour les rares pays où il n’est pas possible de réaliser un test sur place, au départ, un laissez-passer consulaire pourra être accordé par les ambassades françaises, pour motif impérieux. Dans ce cas, la personne se fera tester à son arrivée en France et sera contrainte de s’isoler 7 jours dans un établissement désigné par l’Etat.</w:t>
      </w:r>
    </w:p>
    <w:p w:rsidR="003B7AAF" w:rsidRPr="00F413E1" w:rsidRDefault="003B7AAF" w:rsidP="00F413E1">
      <w:pPr>
        <w:pStyle w:val="Paragraphedeliste"/>
        <w:numPr>
          <w:ilvl w:val="0"/>
          <w:numId w:val="5"/>
        </w:numPr>
        <w:tabs>
          <w:tab w:val="left" w:pos="2250"/>
        </w:tabs>
        <w:ind w:left="993"/>
        <w:rPr>
          <w:rFonts w:cstheme="minorHAnsi"/>
          <w:sz w:val="24"/>
          <w:szCs w:val="24"/>
        </w:rPr>
      </w:pPr>
      <w:r w:rsidRPr="003B7AAF">
        <w:rPr>
          <w:rFonts w:cstheme="minorHAnsi"/>
          <w:sz w:val="24"/>
          <w:szCs w:val="24"/>
        </w:rPr>
        <w:t xml:space="preserve">Pour les déplacements en provenance d’un pays de l’UE, et notamment des pays comme l’Irlande ou le Danemark affrontés à une situation épidémique difficile, les ministres travailleront à l’élaboration d’un cadre de coordination en vue du prochain Conseil européen du 21 janvier. Ce cadre devra prévoir des </w:t>
      </w:r>
      <w:r w:rsidRPr="003B7AAF">
        <w:rPr>
          <w:rFonts w:cstheme="minorHAnsi"/>
          <w:b/>
          <w:sz w:val="24"/>
          <w:szCs w:val="24"/>
        </w:rPr>
        <w:t>exceptions</w:t>
      </w:r>
      <w:r w:rsidRPr="003B7AAF">
        <w:rPr>
          <w:rFonts w:cstheme="minorHAnsi"/>
          <w:sz w:val="24"/>
          <w:szCs w:val="24"/>
        </w:rPr>
        <w:t xml:space="preserve"> concernant les frontaliers, les transporteurs routiers ou encore les agents des compagnies de transport, dans le cadre de protocoles sanitaires spécifiques.</w:t>
      </w:r>
    </w:p>
    <w:p w:rsidR="003B7AAF" w:rsidRPr="003B7AAF" w:rsidRDefault="003B7AAF" w:rsidP="003B7AAF">
      <w:pPr>
        <w:tabs>
          <w:tab w:val="left" w:pos="2250"/>
        </w:tabs>
        <w:rPr>
          <w:rFonts w:cstheme="minorHAnsi"/>
          <w:sz w:val="24"/>
          <w:szCs w:val="24"/>
        </w:rPr>
      </w:pPr>
      <w:r w:rsidRPr="003B7AAF">
        <w:rPr>
          <w:rFonts w:cstheme="minorHAnsi"/>
          <w:sz w:val="24"/>
          <w:szCs w:val="24"/>
        </w:rPr>
        <w:t>Concernant les territoires et collectivités d’outre-mer, il y aura des mesures spécifiques :</w:t>
      </w:r>
    </w:p>
    <w:p w:rsidR="003B7AAF" w:rsidRPr="003B7AAF" w:rsidRDefault="003B7AAF" w:rsidP="003B7AAF">
      <w:pPr>
        <w:pStyle w:val="Paragraphedeliste"/>
        <w:numPr>
          <w:ilvl w:val="0"/>
          <w:numId w:val="6"/>
        </w:numPr>
        <w:tabs>
          <w:tab w:val="left" w:pos="2250"/>
        </w:tabs>
        <w:rPr>
          <w:rFonts w:cstheme="minorHAnsi"/>
          <w:sz w:val="24"/>
          <w:szCs w:val="24"/>
        </w:rPr>
      </w:pPr>
      <w:r w:rsidRPr="003B7AAF">
        <w:rPr>
          <w:rFonts w:cstheme="minorHAnsi"/>
          <w:sz w:val="24"/>
          <w:szCs w:val="24"/>
        </w:rPr>
        <w:t>La Guyane, et à travers elle, les Antilles, doivent être le plus possible protégées du variant à risque qui circule en Amazonie : le préfet prendra des mesures de restriction adaptées aux circonstances locales, le contrôle des frontières sera renforcé et des tests négatifs seront exigés pour rejoindre les Antilles et la Métropole, comme c’est déjà exigé dans l’autre sens</w:t>
      </w:r>
    </w:p>
    <w:p w:rsidR="003B7AAF" w:rsidRPr="003B7AAF" w:rsidRDefault="003B7AAF" w:rsidP="003B7AAF">
      <w:pPr>
        <w:pStyle w:val="Paragraphedeliste"/>
        <w:numPr>
          <w:ilvl w:val="0"/>
          <w:numId w:val="6"/>
        </w:numPr>
        <w:tabs>
          <w:tab w:val="left" w:pos="2250"/>
        </w:tabs>
        <w:rPr>
          <w:rFonts w:cstheme="minorHAnsi"/>
          <w:sz w:val="24"/>
          <w:szCs w:val="24"/>
        </w:rPr>
      </w:pPr>
      <w:r w:rsidRPr="003B7AAF">
        <w:rPr>
          <w:rFonts w:cstheme="minorHAnsi"/>
          <w:sz w:val="24"/>
          <w:szCs w:val="24"/>
        </w:rPr>
        <w:t>Le variant à risque d’Afrique du Sud serait déjà disséminé aux Comores. Des mesures d’urgence ont été prises dès le week-end dernier, pour tester en doublon à l’arrivée des Comores, et pour restreindre les déplacements à risque. Ces mesures sont impératives pour protéger aussi La Réunion, département peuplé de 800 000 habitants et géographiquement isolé. De la même manière que pour la Guyane, des tests négatifs seront exigés pour les vols en provenance de Mayotte ou de la Réunion vers la métropole.</w:t>
      </w:r>
    </w:p>
    <w:p w:rsidR="003B7AAF" w:rsidRPr="003B7AAF" w:rsidRDefault="003B7AAF" w:rsidP="003B7AAF">
      <w:pPr>
        <w:rPr>
          <w:rFonts w:cstheme="minorHAnsi"/>
          <w:bCs/>
          <w:sz w:val="24"/>
          <w:szCs w:val="24"/>
        </w:rPr>
      </w:pPr>
      <w:r w:rsidRPr="003B7AAF">
        <w:rPr>
          <w:rFonts w:cstheme="minorHAnsi"/>
          <w:bCs/>
          <w:sz w:val="24"/>
          <w:szCs w:val="24"/>
        </w:rPr>
        <w:t>Les mesures les plus protectrices continueront d’être mises en œuvre, en matière de dépistage comme de mesures de gestion, en particulier des dispositifs stricts d’isolement, pour remonter l’intégralité des chaînes de contamination et maîtriser la diffusion des variantes virales actuellement en cours de circulation dans le monde.</w:t>
      </w:r>
    </w:p>
    <w:p w:rsidR="003B7AAF" w:rsidRPr="003B7AAF" w:rsidRDefault="003B7AAF" w:rsidP="003B7AAF">
      <w:pPr>
        <w:ind w:firstLine="708"/>
        <w:rPr>
          <w:rFonts w:cstheme="minorHAnsi"/>
          <w:b/>
          <w:i/>
          <w:color w:val="426C6B"/>
          <w:sz w:val="24"/>
          <w:szCs w:val="24"/>
        </w:rPr>
      </w:pPr>
      <w:r w:rsidRPr="003B7AAF">
        <w:rPr>
          <w:rFonts w:cstheme="minorHAnsi"/>
          <w:b/>
          <w:i/>
          <w:sz w:val="24"/>
          <w:szCs w:val="24"/>
        </w:rPr>
        <w:t>Fermeture des écoles</w:t>
      </w:r>
    </w:p>
    <w:p w:rsidR="001B14C5" w:rsidRPr="000B363F" w:rsidRDefault="003B7AAF">
      <w:pPr>
        <w:rPr>
          <w:rFonts w:cstheme="minorHAnsi"/>
          <w:color w:val="426C6B"/>
          <w:sz w:val="24"/>
          <w:szCs w:val="24"/>
        </w:rPr>
      </w:pPr>
      <w:r w:rsidRPr="003B7AAF">
        <w:rPr>
          <w:rFonts w:cstheme="minorHAnsi"/>
          <w:sz w:val="24"/>
          <w:szCs w:val="24"/>
        </w:rPr>
        <w:t xml:space="preserve">A ce stade, il n’y a pas lieu à ce stade d’envisager une fermeture des écoles. Avec le Ministre de l’éducation nationale, nous avons organisé un programme de dépistage du virus encore </w:t>
      </w:r>
      <w:r w:rsidRPr="003B7AAF">
        <w:rPr>
          <w:rFonts w:cstheme="minorHAnsi"/>
          <w:sz w:val="24"/>
          <w:szCs w:val="24"/>
        </w:rPr>
        <w:lastRenderedPageBreak/>
        <w:t>plus puissant que celui mis en place auparavant, avec des réactions graduées. Si nous devions identifier une circulation plus importante du virus chez les enfants, nous serions en mesure de le démontrer.</w:t>
      </w:r>
    </w:p>
    <w:p w:rsidR="001B14C5" w:rsidRPr="003B7AAF" w:rsidRDefault="000B363F">
      <w:pPr>
        <w:rPr>
          <w:rFonts w:cstheme="minorHAnsi"/>
          <w:b/>
          <w:i/>
          <w:color w:val="0070C0"/>
          <w:sz w:val="24"/>
          <w:szCs w:val="24"/>
          <w:u w:val="single"/>
        </w:rPr>
      </w:pPr>
      <w:r>
        <w:rPr>
          <w:rFonts w:cstheme="minorHAnsi"/>
          <w:b/>
          <w:i/>
          <w:color w:val="0070C0"/>
          <w:sz w:val="24"/>
          <w:szCs w:val="24"/>
          <w:u w:val="single"/>
        </w:rPr>
        <w:t>IMPACT SUR LA VACCINATION</w:t>
      </w:r>
    </w:p>
    <w:p w:rsidR="001B14C5" w:rsidRPr="003B7AAF" w:rsidRDefault="001B14C5" w:rsidP="001B14C5">
      <w:pPr>
        <w:spacing w:line="256" w:lineRule="auto"/>
        <w:rPr>
          <w:rFonts w:cstheme="minorHAnsi"/>
          <w:sz w:val="24"/>
          <w:szCs w:val="24"/>
        </w:rPr>
      </w:pPr>
      <w:r w:rsidRPr="003B7AAF">
        <w:rPr>
          <w:rFonts w:cstheme="minorHAnsi"/>
          <w:sz w:val="24"/>
          <w:szCs w:val="24"/>
        </w:rPr>
        <w:t xml:space="preserve">Les vaccins à ARN messager, comme le vaccin Pfizer et le vaccin </w:t>
      </w:r>
      <w:proofErr w:type="spellStart"/>
      <w:r w:rsidRPr="003B7AAF">
        <w:rPr>
          <w:rFonts w:cstheme="minorHAnsi"/>
          <w:sz w:val="24"/>
          <w:szCs w:val="24"/>
        </w:rPr>
        <w:t>Moderna</w:t>
      </w:r>
      <w:proofErr w:type="spellEnd"/>
      <w:r w:rsidRPr="003B7AAF">
        <w:rPr>
          <w:rFonts w:cstheme="minorHAnsi"/>
          <w:sz w:val="24"/>
          <w:szCs w:val="24"/>
        </w:rPr>
        <w:t xml:space="preserve"> apparaissent d’après les observations scientifiques internationales comme actifs contre la variante, de manière comparable avec la souche traditionnelle du virus.</w:t>
      </w:r>
    </w:p>
    <w:p w:rsidR="001B14C5" w:rsidRPr="003B7AAF" w:rsidRDefault="00D22254">
      <w:pPr>
        <w:rPr>
          <w:rFonts w:cstheme="minorHAnsi"/>
          <w:b/>
          <w:i/>
          <w:color w:val="0070C0"/>
          <w:sz w:val="24"/>
          <w:szCs w:val="24"/>
          <w:u w:val="single"/>
        </w:rPr>
      </w:pPr>
      <w:r>
        <w:rPr>
          <w:rFonts w:cstheme="minorHAnsi"/>
          <w:b/>
          <w:i/>
          <w:color w:val="0070C0"/>
          <w:sz w:val="24"/>
          <w:szCs w:val="24"/>
          <w:u w:val="single"/>
        </w:rPr>
        <w:t>NOUVEL AVIS HCSP du 18 janvier 2021</w:t>
      </w:r>
    </w:p>
    <w:p w:rsidR="00D22254" w:rsidRPr="00D22254" w:rsidRDefault="00D22254" w:rsidP="00D22254">
      <w:pPr>
        <w:ind w:firstLine="708"/>
        <w:rPr>
          <w:rFonts w:eastAsia="Times New Roman" w:cstheme="minorHAnsi"/>
          <w:b/>
          <w:i/>
          <w:sz w:val="24"/>
          <w:szCs w:val="24"/>
        </w:rPr>
      </w:pPr>
      <w:r w:rsidRPr="00D22254">
        <w:rPr>
          <w:rFonts w:eastAsia="Times New Roman" w:cstheme="minorHAnsi"/>
          <w:b/>
          <w:i/>
          <w:sz w:val="24"/>
          <w:szCs w:val="24"/>
        </w:rPr>
        <w:t>Masques</w:t>
      </w:r>
    </w:p>
    <w:p w:rsidR="003B7AAF" w:rsidRPr="003B7AAF" w:rsidRDefault="000B363F" w:rsidP="000B363F">
      <w:pPr>
        <w:rPr>
          <w:rFonts w:eastAsia="Times New Roman" w:cstheme="minorHAnsi"/>
          <w:sz w:val="24"/>
          <w:szCs w:val="24"/>
        </w:rPr>
      </w:pPr>
      <w:r>
        <w:rPr>
          <w:rFonts w:eastAsia="Times New Roman" w:cstheme="minorHAnsi"/>
          <w:sz w:val="24"/>
          <w:szCs w:val="24"/>
        </w:rPr>
        <w:t>L</w:t>
      </w:r>
      <w:r w:rsidR="003B7AAF" w:rsidRPr="003B7AAF">
        <w:rPr>
          <w:rFonts w:eastAsia="Times New Roman" w:cstheme="minorHAnsi"/>
          <w:sz w:val="24"/>
          <w:szCs w:val="24"/>
        </w:rPr>
        <w:t xml:space="preserve">’avis du Haut Conseil pour la Santé Publique </w:t>
      </w:r>
      <w:r>
        <w:rPr>
          <w:rFonts w:eastAsia="Times New Roman" w:cstheme="minorHAnsi"/>
          <w:sz w:val="24"/>
          <w:szCs w:val="24"/>
        </w:rPr>
        <w:t xml:space="preserve">indique </w:t>
      </w:r>
      <w:r w:rsidR="003B7AAF" w:rsidRPr="003B7AAF">
        <w:rPr>
          <w:rFonts w:eastAsia="Times New Roman" w:cstheme="minorHAnsi"/>
          <w:sz w:val="24"/>
          <w:szCs w:val="24"/>
        </w:rPr>
        <w:t xml:space="preserve">que </w:t>
      </w:r>
      <w:r>
        <w:rPr>
          <w:rFonts w:eastAsia="Times New Roman" w:cstheme="minorHAnsi"/>
          <w:sz w:val="24"/>
          <w:szCs w:val="24"/>
        </w:rPr>
        <w:t>c</w:t>
      </w:r>
      <w:r w:rsidR="003B7AAF" w:rsidRPr="003B7AAF">
        <w:rPr>
          <w:rFonts w:eastAsia="Times New Roman" w:cstheme="minorHAnsi"/>
          <w:sz w:val="24"/>
          <w:szCs w:val="24"/>
        </w:rPr>
        <w:t>ertains masques en tissus, ceux faits main, pourraient ne pas protéger suffisamment contre ces variantes qui sont beaucoup plus contagieuses. Hormis cette catégorie de masques, l'ensemble des masques en tissu qui ont une capacité filtrante de plus de 90% (c'est à dire la quasi-totalité de ceux qui sont commercialisés en France) et tous les masques chirurgicaux demeure parfaitement efficace. La bonne chose à faire c'est donc de regarder chez vous si certains de vos masques ont été "fait mains" et de ne pas les utiliser pour l'instant, par précaution.</w:t>
      </w:r>
    </w:p>
    <w:p w:rsidR="00D22254" w:rsidRPr="00D22254" w:rsidRDefault="00D22254" w:rsidP="00D22254">
      <w:pPr>
        <w:rPr>
          <w:rFonts w:cstheme="minorHAnsi"/>
          <w:sz w:val="24"/>
        </w:rPr>
      </w:pPr>
      <w:r w:rsidRPr="00D22254">
        <w:rPr>
          <w:rFonts w:cstheme="minorHAnsi"/>
          <w:sz w:val="24"/>
        </w:rPr>
        <w:t>Devant le risque de contagion plus important des variantes récemment identifiées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L</w:t>
      </w:r>
      <w:r w:rsidRPr="00D22254">
        <w:rPr>
          <w:rFonts w:cstheme="minorHAnsi"/>
          <w:b/>
          <w:bCs/>
          <w:sz w:val="24"/>
        </w:rPr>
        <w:t xml:space="preserve">e masque porté en population générale doit répondre à une norme de filtration élevée c’est-à-dire </w:t>
      </w:r>
      <w:bookmarkStart w:id="0" w:name="_GoBack"/>
      <w:bookmarkEnd w:id="0"/>
      <w:r w:rsidRPr="00D22254">
        <w:rPr>
          <w:rFonts w:cstheme="minorHAnsi"/>
          <w:b/>
          <w:bCs/>
          <w:sz w:val="24"/>
        </w:rPr>
        <w:t>soit en tissu de catégorie 1 (AFNOR), soit de type chirurgical dès l’âge de 6 ans si possible</w:t>
      </w:r>
      <w:r>
        <w:rPr>
          <w:rFonts w:cstheme="minorHAnsi"/>
          <w:b/>
          <w:bCs/>
          <w:sz w:val="24"/>
        </w:rPr>
        <w:t>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N</w:t>
      </w:r>
      <w:r w:rsidRPr="00D22254">
        <w:rPr>
          <w:rFonts w:cstheme="minorHAnsi"/>
          <w:b/>
          <w:bCs/>
          <w:sz w:val="24"/>
        </w:rPr>
        <w:t>e plus utiliser les masques de fabrication artisanale</w:t>
      </w:r>
      <w:r>
        <w:rPr>
          <w:rFonts w:cstheme="minorHAnsi"/>
          <w:b/>
          <w:bCs/>
          <w:sz w:val="24"/>
        </w:rPr>
        <w:t>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D</w:t>
      </w:r>
      <w:r w:rsidRPr="00D22254">
        <w:rPr>
          <w:rFonts w:cstheme="minorHAnsi"/>
          <w:b/>
          <w:bCs/>
          <w:sz w:val="24"/>
        </w:rPr>
        <w:t>e porter absolument le masque sur le visage couvrant le nez, la bouche et le menton pour être efficace. Il n’est plus acceptable en cette période de porter un masque sous le menton</w:t>
      </w:r>
      <w:r>
        <w:rPr>
          <w:rFonts w:cstheme="minorHAnsi"/>
          <w:b/>
          <w:bCs/>
          <w:sz w:val="24"/>
        </w:rPr>
        <w:t>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L</w:t>
      </w:r>
      <w:r w:rsidRPr="00D22254">
        <w:rPr>
          <w:rFonts w:cstheme="minorHAnsi"/>
          <w:b/>
          <w:bCs/>
          <w:sz w:val="24"/>
        </w:rPr>
        <w:t>es masques de type FFP2 ne sont pas recommandés en population générale</w:t>
      </w:r>
      <w:r>
        <w:rPr>
          <w:rFonts w:cstheme="minorHAnsi"/>
          <w:b/>
          <w:bCs/>
          <w:sz w:val="24"/>
        </w:rPr>
        <w:t>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C</w:t>
      </w:r>
      <w:r w:rsidRPr="00D22254">
        <w:rPr>
          <w:rFonts w:cstheme="minorHAnsi"/>
          <w:b/>
          <w:bCs/>
          <w:sz w:val="24"/>
        </w:rPr>
        <w:t>es recommandations sont valables même pour les personnes vaccinées</w:t>
      </w:r>
      <w:r>
        <w:rPr>
          <w:rFonts w:cstheme="minorHAnsi"/>
          <w:b/>
          <w:bCs/>
          <w:sz w:val="24"/>
        </w:rPr>
        <w:t>.</w:t>
      </w:r>
    </w:p>
    <w:p w:rsidR="00D22254" w:rsidRPr="00D22254" w:rsidRDefault="00D22254" w:rsidP="00D22254">
      <w:pPr>
        <w:pStyle w:val="Paragraphedeliste"/>
        <w:spacing w:line="252" w:lineRule="auto"/>
        <w:rPr>
          <w:rFonts w:cstheme="minorHAnsi"/>
          <w:b/>
          <w:bCs/>
          <w:sz w:val="24"/>
        </w:rPr>
      </w:pPr>
    </w:p>
    <w:p w:rsidR="00D22254" w:rsidRPr="00D22254" w:rsidRDefault="00D22254" w:rsidP="00D22254">
      <w:pPr>
        <w:pStyle w:val="Paragraphedeliste"/>
        <w:spacing w:line="252" w:lineRule="auto"/>
        <w:ind w:left="426" w:firstLine="282"/>
        <w:rPr>
          <w:rFonts w:cstheme="minorHAnsi"/>
          <w:b/>
          <w:bCs/>
          <w:i/>
          <w:sz w:val="24"/>
        </w:rPr>
      </w:pPr>
      <w:r w:rsidRPr="00D22254">
        <w:rPr>
          <w:rFonts w:cstheme="minorHAnsi"/>
          <w:b/>
          <w:bCs/>
          <w:i/>
          <w:sz w:val="24"/>
        </w:rPr>
        <w:t xml:space="preserve">Distance </w:t>
      </w:r>
    </w:p>
    <w:p w:rsidR="00D22254" w:rsidRPr="00D22254" w:rsidRDefault="00D22254" w:rsidP="00D22254">
      <w:pPr>
        <w:rPr>
          <w:rFonts w:cstheme="minorHAnsi"/>
          <w:b/>
          <w:bCs/>
          <w:sz w:val="24"/>
        </w:rPr>
      </w:pPr>
      <w:r w:rsidRPr="00D22254">
        <w:rPr>
          <w:rFonts w:cstheme="minorHAnsi"/>
          <w:sz w:val="24"/>
        </w:rPr>
        <w:t>Devant le risque de contagion plus important des variantes récemment identifiées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L</w:t>
      </w:r>
      <w:r w:rsidRPr="00D22254">
        <w:rPr>
          <w:rFonts w:cstheme="minorHAnsi"/>
          <w:b/>
          <w:bCs/>
          <w:sz w:val="24"/>
        </w:rPr>
        <w:t>a distance de sécurité entre 2 individus doit être fixée à au moins 2 mètres au lieu de « au moins 1 mètre »</w:t>
      </w:r>
      <w:r>
        <w:rPr>
          <w:rFonts w:cstheme="minorHAnsi"/>
          <w:b/>
          <w:bCs/>
          <w:sz w:val="24"/>
        </w:rPr>
        <w:t>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R</w:t>
      </w:r>
      <w:r w:rsidRPr="00D22254">
        <w:rPr>
          <w:rFonts w:cstheme="minorHAnsi"/>
          <w:b/>
          <w:bCs/>
          <w:sz w:val="24"/>
        </w:rPr>
        <w:t>especter une distance physique de 2 mètres entre 2 personnes en milieu clos et en extérieur (hors personnes d’un</w:t>
      </w:r>
      <w:r>
        <w:rPr>
          <w:rFonts w:cstheme="minorHAnsi"/>
          <w:b/>
          <w:bCs/>
          <w:sz w:val="24"/>
        </w:rPr>
        <w:t xml:space="preserve"> même foyer familial ou groupe) ;</w:t>
      </w:r>
    </w:p>
    <w:p w:rsidR="00D22254" w:rsidRPr="00D22254" w:rsidRDefault="00D22254" w:rsidP="00D22254">
      <w:pPr>
        <w:pStyle w:val="Paragraphedeliste"/>
        <w:numPr>
          <w:ilvl w:val="0"/>
          <w:numId w:val="13"/>
        </w:numPr>
        <w:spacing w:line="252" w:lineRule="auto"/>
        <w:rPr>
          <w:rFonts w:cstheme="minorHAnsi"/>
          <w:b/>
          <w:bCs/>
          <w:sz w:val="24"/>
        </w:rPr>
      </w:pPr>
      <w:r>
        <w:rPr>
          <w:rFonts w:cstheme="minorHAnsi"/>
          <w:b/>
          <w:bCs/>
          <w:sz w:val="24"/>
        </w:rPr>
        <w:t>C</w:t>
      </w:r>
      <w:r w:rsidRPr="00D22254">
        <w:rPr>
          <w:rFonts w:cstheme="minorHAnsi"/>
          <w:b/>
          <w:bCs/>
          <w:sz w:val="24"/>
        </w:rPr>
        <w:t>es recommandations s’appliquent en cas de non port du masque</w:t>
      </w:r>
      <w:r>
        <w:rPr>
          <w:rFonts w:cstheme="minorHAnsi"/>
          <w:b/>
          <w:bCs/>
          <w:sz w:val="24"/>
        </w:rPr>
        <w:t>.</w:t>
      </w:r>
      <w:r w:rsidRPr="00D22254">
        <w:rPr>
          <w:rFonts w:cstheme="minorHAnsi"/>
          <w:b/>
          <w:bCs/>
          <w:sz w:val="24"/>
        </w:rPr>
        <w:t xml:space="preserve"> </w:t>
      </w:r>
    </w:p>
    <w:p w:rsidR="00D22254" w:rsidRPr="00D22254" w:rsidRDefault="00D22254" w:rsidP="00D22254">
      <w:pPr>
        <w:pStyle w:val="Paragraphedeliste"/>
        <w:rPr>
          <w:rFonts w:cstheme="minorHAnsi"/>
          <w:b/>
          <w:bCs/>
          <w:sz w:val="24"/>
        </w:rPr>
      </w:pPr>
    </w:p>
    <w:p w:rsidR="00D22254" w:rsidRPr="00D22254" w:rsidRDefault="00D22254" w:rsidP="00D22254">
      <w:pPr>
        <w:pStyle w:val="Paragraphedeliste"/>
        <w:spacing w:line="252" w:lineRule="auto"/>
        <w:ind w:left="426" w:firstLine="282"/>
        <w:rPr>
          <w:rFonts w:cstheme="minorHAnsi"/>
          <w:b/>
          <w:bCs/>
          <w:i/>
          <w:sz w:val="24"/>
        </w:rPr>
      </w:pPr>
      <w:r w:rsidRPr="00D22254">
        <w:rPr>
          <w:rFonts w:cstheme="minorHAnsi"/>
          <w:b/>
          <w:bCs/>
          <w:i/>
          <w:sz w:val="24"/>
        </w:rPr>
        <w:t>Aération</w:t>
      </w:r>
    </w:p>
    <w:p w:rsidR="00D22254" w:rsidRPr="00D22254" w:rsidRDefault="00D22254" w:rsidP="00D22254">
      <w:pPr>
        <w:pStyle w:val="Paragraphedeliste"/>
        <w:ind w:left="426"/>
        <w:rPr>
          <w:rFonts w:cstheme="minorHAnsi"/>
          <w:b/>
          <w:bCs/>
          <w:sz w:val="24"/>
          <w:u w:val="single"/>
        </w:rPr>
      </w:pPr>
    </w:p>
    <w:p w:rsidR="00D22254" w:rsidRPr="00D22254" w:rsidRDefault="00D22254" w:rsidP="00D22254">
      <w:pPr>
        <w:pStyle w:val="Paragraphedeliste"/>
        <w:ind w:left="142"/>
        <w:rPr>
          <w:rFonts w:cstheme="minorHAnsi"/>
          <w:sz w:val="24"/>
        </w:rPr>
      </w:pPr>
      <w:r w:rsidRPr="00D22254">
        <w:rPr>
          <w:rFonts w:cstheme="minorHAnsi"/>
          <w:sz w:val="24"/>
        </w:rPr>
        <w:t>Devant le risque de contagion plus important des variantes récemment identifiées :</w:t>
      </w:r>
    </w:p>
    <w:p w:rsidR="00D22254" w:rsidRPr="00D22254" w:rsidRDefault="00D22254" w:rsidP="00D22254">
      <w:pPr>
        <w:pStyle w:val="Paragraphedeliste"/>
        <w:ind w:left="142"/>
        <w:rPr>
          <w:rFonts w:cstheme="minorHAnsi"/>
          <w:sz w:val="24"/>
        </w:rPr>
      </w:pPr>
    </w:p>
    <w:p w:rsidR="001B14C5" w:rsidRPr="00D22254" w:rsidRDefault="00D22254" w:rsidP="00D22254">
      <w:pPr>
        <w:pStyle w:val="Paragraphedeliste"/>
        <w:numPr>
          <w:ilvl w:val="0"/>
          <w:numId w:val="13"/>
        </w:numPr>
        <w:spacing w:line="252" w:lineRule="auto"/>
        <w:rPr>
          <w:rFonts w:cstheme="minorHAnsi"/>
          <w:b/>
          <w:bCs/>
          <w:sz w:val="24"/>
        </w:rPr>
      </w:pPr>
      <w:r w:rsidRPr="00D22254">
        <w:rPr>
          <w:rFonts w:cstheme="minorHAnsi"/>
          <w:b/>
          <w:bCs/>
          <w:sz w:val="24"/>
        </w:rPr>
        <w:t>Il est nécessaire de vérifier le fonctionnement correct des ventilations et aérer les pièces le plus souvent possible au minimum toutes les heures durant quelques minutes, voire en permanence si les conditions le permettent</w:t>
      </w:r>
      <w:r>
        <w:rPr>
          <w:rFonts w:cstheme="minorHAnsi"/>
          <w:b/>
          <w:bCs/>
          <w:sz w:val="24"/>
        </w:rPr>
        <w:t>.</w:t>
      </w:r>
    </w:p>
    <w:sectPr w:rsidR="001B14C5" w:rsidRPr="00D22254" w:rsidSect="000B363F">
      <w:pgSz w:w="11906" w:h="16838"/>
      <w:pgMar w:top="1276"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racteres L4">
    <w:panose1 w:val="02000600000000000000"/>
    <w:charset w:val="00"/>
    <w:family w:val="auto"/>
    <w:pitch w:val="variable"/>
    <w:sig w:usb0="00000287" w:usb1="00000000" w:usb2="00000000" w:usb3="00000000" w:csb0="0000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920FF"/>
    <w:multiLevelType w:val="hybridMultilevel"/>
    <w:tmpl w:val="27BE0E9C"/>
    <w:lvl w:ilvl="0" w:tplc="78109AC8">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765DDB"/>
    <w:multiLevelType w:val="hybridMultilevel"/>
    <w:tmpl w:val="A67A0FDE"/>
    <w:lvl w:ilvl="0" w:tplc="0922B322">
      <w:start w:val="3"/>
      <w:numFmt w:val="bullet"/>
      <w:lvlText w:val=""/>
      <w:lvlJc w:val="left"/>
      <w:pPr>
        <w:ind w:left="1068" w:hanging="360"/>
      </w:pPr>
      <w:rPr>
        <w:rFonts w:ascii="Wingdings" w:eastAsiaTheme="minorHAnsi" w:hAnsi="Wingdings" w:cs="Calibri"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 w15:restartNumberingAfterBreak="0">
    <w:nsid w:val="0BA44C33"/>
    <w:multiLevelType w:val="hybridMultilevel"/>
    <w:tmpl w:val="D53E25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83C7532"/>
    <w:multiLevelType w:val="hybridMultilevel"/>
    <w:tmpl w:val="AC5828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F553CB0"/>
    <w:multiLevelType w:val="hybridMultilevel"/>
    <w:tmpl w:val="EFCE794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41E4D56"/>
    <w:multiLevelType w:val="hybridMultilevel"/>
    <w:tmpl w:val="700E4D1A"/>
    <w:lvl w:ilvl="0" w:tplc="9E84C6FE">
      <w:numFmt w:val="bullet"/>
      <w:lvlText w:val="-"/>
      <w:lvlJc w:val="left"/>
      <w:pPr>
        <w:ind w:left="720" w:hanging="360"/>
      </w:pPr>
      <w:rPr>
        <w:rFonts w:ascii="Calibri" w:eastAsia="Calibr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29490C5B"/>
    <w:multiLevelType w:val="hybridMultilevel"/>
    <w:tmpl w:val="4190AEBA"/>
    <w:lvl w:ilvl="0" w:tplc="E11227A0">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5E7889"/>
    <w:multiLevelType w:val="hybridMultilevel"/>
    <w:tmpl w:val="4A668BBC"/>
    <w:lvl w:ilvl="0" w:tplc="60F40752">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930291B"/>
    <w:multiLevelType w:val="hybridMultilevel"/>
    <w:tmpl w:val="885465F0"/>
    <w:lvl w:ilvl="0" w:tplc="A2F28A64">
      <w:numFmt w:val="bullet"/>
      <w:lvlText w:val=""/>
      <w:lvlJc w:val="left"/>
      <w:pPr>
        <w:ind w:left="720" w:hanging="360"/>
      </w:pPr>
      <w:rPr>
        <w:rFonts w:ascii="Wingdings" w:eastAsiaTheme="minorHAnsi" w:hAnsi="Wingdings" w:cstheme="minorHAnsi" w:hint="default"/>
        <w:b w:val="0"/>
        <w:i w:val="0"/>
        <w:color w:val="auto"/>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41E156B"/>
    <w:multiLevelType w:val="hybridMultilevel"/>
    <w:tmpl w:val="B6D6A06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69E368F0"/>
    <w:multiLevelType w:val="hybridMultilevel"/>
    <w:tmpl w:val="03C2626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C7E72C5"/>
    <w:multiLevelType w:val="hybridMultilevel"/>
    <w:tmpl w:val="D624D612"/>
    <w:lvl w:ilvl="0" w:tplc="8B7A5F70">
      <w:start w:val="2"/>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7AE91BED"/>
    <w:multiLevelType w:val="hybridMultilevel"/>
    <w:tmpl w:val="CE60DD22"/>
    <w:lvl w:ilvl="0" w:tplc="040C000B">
      <w:start w:val="1"/>
      <w:numFmt w:val="bullet"/>
      <w:lvlText w:val=""/>
      <w:lvlJc w:val="left"/>
      <w:pPr>
        <w:ind w:left="720" w:hanging="360"/>
      </w:pPr>
      <w:rPr>
        <w:rFonts w:ascii="Wingdings" w:hAnsi="Wingdings" w:hint="default"/>
      </w:rPr>
    </w:lvl>
    <w:lvl w:ilvl="1" w:tplc="1EA05068">
      <w:numFmt w:val="bullet"/>
      <w:lvlText w:val="-"/>
      <w:lvlJc w:val="left"/>
      <w:pPr>
        <w:ind w:left="1320" w:hanging="24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6"/>
  </w:num>
  <w:num w:numId="4">
    <w:abstractNumId w:val="3"/>
  </w:num>
  <w:num w:numId="5">
    <w:abstractNumId w:val="0"/>
  </w:num>
  <w:num w:numId="6">
    <w:abstractNumId w:val="11"/>
  </w:num>
  <w:num w:numId="7">
    <w:abstractNumId w:val="10"/>
  </w:num>
  <w:num w:numId="8">
    <w:abstractNumId w:val="8"/>
  </w:num>
  <w:num w:numId="9">
    <w:abstractNumId w:val="7"/>
  </w:num>
  <w:num w:numId="10">
    <w:abstractNumId w:val="12"/>
  </w:num>
  <w:num w:numId="11">
    <w:abstractNumId w:val="1"/>
  </w:num>
  <w:num w:numId="12">
    <w:abstractNumId w:val="9"/>
    <w:lvlOverride w:ilvl="0"/>
    <w:lvlOverride w:ilvl="1"/>
    <w:lvlOverride w:ilvl="2"/>
    <w:lvlOverride w:ilvl="3"/>
    <w:lvlOverride w:ilvl="4"/>
    <w:lvlOverride w:ilvl="5"/>
    <w:lvlOverride w:ilvl="6"/>
    <w:lvlOverride w:ilvl="7"/>
    <w:lvlOverride w:ilvl="8"/>
  </w:num>
  <w:num w:numId="13">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2FB"/>
    <w:rsid w:val="0005001A"/>
    <w:rsid w:val="000B363F"/>
    <w:rsid w:val="001B14C5"/>
    <w:rsid w:val="001F7F2F"/>
    <w:rsid w:val="00361817"/>
    <w:rsid w:val="003B7AAF"/>
    <w:rsid w:val="0082556C"/>
    <w:rsid w:val="008C7911"/>
    <w:rsid w:val="00A41929"/>
    <w:rsid w:val="00C212FB"/>
    <w:rsid w:val="00D22254"/>
    <w:rsid w:val="00E35CC0"/>
    <w:rsid w:val="00F03151"/>
    <w:rsid w:val="00F413E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32246"/>
  <w15:chartTrackingRefBased/>
  <w15:docId w15:val="{EFF6190B-FBFA-4DC1-A984-1761EE817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12FB"/>
    <w:pPr>
      <w:jc w:val="both"/>
    </w:pPr>
  </w:style>
  <w:style w:type="paragraph" w:styleId="Titre2">
    <w:name w:val="heading 2"/>
    <w:basedOn w:val="Normal"/>
    <w:next w:val="Normal"/>
    <w:link w:val="Titre2Car"/>
    <w:uiPriority w:val="9"/>
    <w:unhideWhenUsed/>
    <w:qFormat/>
    <w:rsid w:val="003B7AAF"/>
    <w:pPr>
      <w:keepNext/>
      <w:keepLines/>
      <w:spacing w:before="40" w:after="0"/>
      <w:outlineLvl w:val="1"/>
    </w:pPr>
    <w:rPr>
      <w:rFonts w:asciiTheme="majorHAnsi" w:eastAsiaTheme="majorEastAsia" w:hAnsiTheme="majorHAnsi" w:cstheme="majorBidi"/>
      <w:b/>
      <w:color w:val="2E74B5" w:themeColor="accent1" w:themeShade="BF"/>
      <w:sz w:val="24"/>
      <w:szCs w:val="26"/>
      <w:u w:val="single"/>
    </w:rPr>
  </w:style>
  <w:style w:type="paragraph" w:styleId="Titre3">
    <w:name w:val="heading 3"/>
    <w:basedOn w:val="Normal"/>
    <w:next w:val="Normal"/>
    <w:link w:val="Titre3Car"/>
    <w:uiPriority w:val="9"/>
    <w:semiHidden/>
    <w:unhideWhenUsed/>
    <w:qFormat/>
    <w:rsid w:val="0082556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qFormat/>
    <w:rsid w:val="001B14C5"/>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1B14C5"/>
    <w:rPr>
      <w:color w:val="0563C1" w:themeColor="hyperlink"/>
      <w:u w:val="single"/>
    </w:rPr>
  </w:style>
  <w:style w:type="paragraph" w:customStyle="1" w:styleId="Petittitre">
    <w:name w:val="Petit titre"/>
    <w:basedOn w:val="Normal"/>
    <w:link w:val="PetittitreCar"/>
    <w:rsid w:val="0005001A"/>
    <w:pPr>
      <w:spacing w:after="0" w:line="240" w:lineRule="auto"/>
    </w:pPr>
    <w:rPr>
      <w:rFonts w:asciiTheme="majorHAnsi" w:hAnsiTheme="majorHAnsi" w:cstheme="majorHAnsi"/>
      <w:b/>
      <w:color w:val="2E74B5" w:themeColor="accent1" w:themeShade="BF"/>
      <w:sz w:val="24"/>
      <w:szCs w:val="24"/>
      <w:u w:val="single"/>
    </w:rPr>
  </w:style>
  <w:style w:type="character" w:customStyle="1" w:styleId="PetittitreCar">
    <w:name w:val="Petit titre Car"/>
    <w:basedOn w:val="Policepardfaut"/>
    <w:link w:val="Petittitre"/>
    <w:rsid w:val="0005001A"/>
    <w:rPr>
      <w:rFonts w:asciiTheme="majorHAnsi" w:hAnsiTheme="majorHAnsi" w:cstheme="majorHAnsi"/>
      <w:b/>
      <w:color w:val="2E74B5" w:themeColor="accent1" w:themeShade="BF"/>
      <w:sz w:val="24"/>
      <w:szCs w:val="24"/>
      <w:u w:val="single"/>
    </w:rPr>
  </w:style>
  <w:style w:type="paragraph" w:styleId="Sansinterligne">
    <w:name w:val="No Spacing"/>
    <w:basedOn w:val="Normal"/>
    <w:uiPriority w:val="1"/>
    <w:qFormat/>
    <w:rsid w:val="0005001A"/>
    <w:pPr>
      <w:spacing w:after="0" w:line="240" w:lineRule="auto"/>
      <w:ind w:left="708"/>
    </w:pPr>
    <w:rPr>
      <w:i/>
      <w:color w:val="C00000"/>
      <w:sz w:val="18"/>
    </w:rPr>
  </w:style>
  <w:style w:type="paragraph" w:styleId="Paragraphedeliste">
    <w:name w:val="List Paragraph"/>
    <w:aliases w:val="Bullet Niv 1,Listes,Inter2,Liste couleur - Accent 12,Normal bullet 2,Bullet list,List Paragraph1,List Paragraph11,Normal bullet 21,List Paragraph111,Bullet list1,Paragraph,Bullet point 1,Paragraphe,lp1,texte de base,Puce focus,Reco,L"/>
    <w:basedOn w:val="Normal"/>
    <w:link w:val="ParagraphedelisteCar"/>
    <w:uiPriority w:val="34"/>
    <w:qFormat/>
    <w:rsid w:val="00F03151"/>
    <w:pPr>
      <w:ind w:left="720"/>
      <w:contextualSpacing/>
    </w:p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link w:val="Paragraphedeliste"/>
    <w:uiPriority w:val="34"/>
    <w:qFormat/>
    <w:rsid w:val="00F03151"/>
  </w:style>
  <w:style w:type="paragraph" w:customStyle="1" w:styleId="TITRE30">
    <w:name w:val="TITRE 3"/>
    <w:basedOn w:val="Normal"/>
    <w:link w:val="TITRE3Car0"/>
    <w:qFormat/>
    <w:rsid w:val="003B7AAF"/>
    <w:pPr>
      <w:spacing w:after="0" w:line="240" w:lineRule="auto"/>
    </w:pPr>
    <w:rPr>
      <w:rFonts w:cstheme="minorHAnsi"/>
      <w:b/>
    </w:rPr>
  </w:style>
  <w:style w:type="character" w:customStyle="1" w:styleId="TITRE3Car0">
    <w:name w:val="TITRE 3 Car"/>
    <w:basedOn w:val="Policepardfaut"/>
    <w:link w:val="TITRE30"/>
    <w:qFormat/>
    <w:rsid w:val="003B7AAF"/>
    <w:rPr>
      <w:rFonts w:cstheme="minorHAnsi"/>
      <w:b/>
    </w:rPr>
  </w:style>
  <w:style w:type="character" w:customStyle="1" w:styleId="Titre2Car">
    <w:name w:val="Titre 2 Car"/>
    <w:basedOn w:val="Policepardfaut"/>
    <w:link w:val="Titre2"/>
    <w:uiPriority w:val="9"/>
    <w:rsid w:val="003B7AAF"/>
    <w:rPr>
      <w:rFonts w:asciiTheme="majorHAnsi" w:eastAsiaTheme="majorEastAsia" w:hAnsiTheme="majorHAnsi" w:cstheme="majorBidi"/>
      <w:b/>
      <w:color w:val="2E74B5" w:themeColor="accent1" w:themeShade="BF"/>
      <w:sz w:val="24"/>
      <w:szCs w:val="26"/>
      <w:u w:val="single"/>
    </w:rPr>
  </w:style>
  <w:style w:type="character" w:customStyle="1" w:styleId="Titre3Car">
    <w:name w:val="Titre 3 Car"/>
    <w:basedOn w:val="Policepardfaut"/>
    <w:link w:val="Titre3"/>
    <w:uiPriority w:val="9"/>
    <w:semiHidden/>
    <w:rsid w:val="0082556C"/>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715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vid-19.sante.gouv.fr/tests"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8</Pages>
  <Words>3305</Words>
  <Characters>18179</Characters>
  <Application>Microsoft Office Word</Application>
  <DocSecurity>0</DocSecurity>
  <Lines>151</Lines>
  <Paragraphs>42</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PARIS, Constant (DGS/COVID-19)</cp:lastModifiedBy>
  <cp:revision>9</cp:revision>
  <dcterms:created xsi:type="dcterms:W3CDTF">2021-01-22T10:31:00Z</dcterms:created>
  <dcterms:modified xsi:type="dcterms:W3CDTF">2021-01-22T11:42:00Z</dcterms:modified>
</cp:coreProperties>
</file>