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6E87FC" w14:textId="77777777" w:rsidR="00971895" w:rsidRDefault="008107A3">
      <w:pPr>
        <w:pStyle w:val="00Body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before="0" w:after="0" w:line="275" w:lineRule="auto"/>
        <w:jc w:val="center"/>
        <w:rPr>
          <w:b/>
          <w:sz w:val="20"/>
          <w:szCs w:val="20"/>
          <w:lang w:val="fr-FR"/>
        </w:rPr>
      </w:pPr>
      <w:bookmarkStart w:id="0" w:name="_GoBack"/>
      <w:bookmarkEnd w:id="0"/>
      <w:r>
        <w:rPr>
          <w:b/>
          <w:sz w:val="20"/>
          <w:szCs w:val="20"/>
          <w:lang w:val="fr-FR"/>
        </w:rPr>
        <w:t>Instruction relative à l’a</w:t>
      </w:r>
      <w:r w:rsidR="00365BE1">
        <w:rPr>
          <w:b/>
          <w:sz w:val="20"/>
          <w:szCs w:val="20"/>
          <w:lang w:val="fr-FR"/>
        </w:rPr>
        <w:t xml:space="preserve">llocation des doses </w:t>
      </w:r>
      <w:r>
        <w:rPr>
          <w:b/>
          <w:sz w:val="20"/>
          <w:szCs w:val="20"/>
          <w:lang w:val="fr-FR"/>
        </w:rPr>
        <w:t xml:space="preserve">de vaccins </w:t>
      </w:r>
      <w:r w:rsidR="00365BE1">
        <w:rPr>
          <w:b/>
          <w:sz w:val="20"/>
          <w:szCs w:val="20"/>
          <w:lang w:val="fr-FR"/>
        </w:rPr>
        <w:t xml:space="preserve">aux centres de vaccination </w:t>
      </w:r>
    </w:p>
    <w:p w14:paraId="5E63B1FA" w14:textId="77777777" w:rsidR="00971895" w:rsidRDefault="00971895">
      <w:pPr>
        <w:pStyle w:val="00Body"/>
        <w:spacing w:before="0" w:after="0" w:line="275" w:lineRule="auto"/>
        <w:rPr>
          <w:sz w:val="20"/>
          <w:szCs w:val="20"/>
          <w:lang w:val="fr-FR"/>
        </w:rPr>
      </w:pPr>
    </w:p>
    <w:p w14:paraId="31AF9F16" w14:textId="77777777" w:rsidR="008107A3" w:rsidRDefault="008107A3" w:rsidP="008107A3">
      <w:pPr>
        <w:pStyle w:val="00Body"/>
        <w:spacing w:before="0" w:after="0" w:line="275" w:lineRule="auto"/>
        <w:jc w:val="both"/>
        <w:rPr>
          <w:sz w:val="20"/>
          <w:szCs w:val="20"/>
          <w:lang w:val="fr-FR"/>
        </w:rPr>
      </w:pPr>
      <w:r>
        <w:rPr>
          <w:sz w:val="20"/>
          <w:szCs w:val="20"/>
          <w:lang w:val="fr-FR"/>
        </w:rPr>
        <w:t>Cette instruction précise et remplace la note diffusée le 14 janvier 2021 par le cabinet du ministre de la santé aux DG d’ARS, intitulée « </w:t>
      </w:r>
      <w:r w:rsidRPr="008107A3">
        <w:rPr>
          <w:i/>
          <w:iCs/>
          <w:sz w:val="20"/>
          <w:szCs w:val="20"/>
          <w:lang w:val="fr-FR"/>
        </w:rPr>
        <w:t xml:space="preserve">Allocation des doses aux centres de vaccination : principes &amp; mise en </w:t>
      </w:r>
      <w:r w:rsidRPr="008107A3">
        <w:rPr>
          <w:rFonts w:hint="eastAsia"/>
          <w:i/>
          <w:iCs/>
          <w:sz w:val="20"/>
          <w:szCs w:val="20"/>
          <w:lang w:val="fr-FR"/>
        </w:rPr>
        <w:t>œ</w:t>
      </w:r>
      <w:r w:rsidRPr="008107A3">
        <w:rPr>
          <w:i/>
          <w:iCs/>
          <w:sz w:val="20"/>
          <w:szCs w:val="20"/>
          <w:lang w:val="fr-FR"/>
        </w:rPr>
        <w:t>uvre</w:t>
      </w:r>
      <w:r>
        <w:rPr>
          <w:sz w:val="20"/>
          <w:szCs w:val="20"/>
          <w:lang w:val="fr-FR"/>
        </w:rPr>
        <w:t> ».</w:t>
      </w:r>
    </w:p>
    <w:p w14:paraId="3976CB9C" w14:textId="77777777" w:rsidR="008107A3" w:rsidRDefault="008107A3">
      <w:pPr>
        <w:pStyle w:val="00Body"/>
        <w:spacing w:before="0" w:after="0" w:line="275" w:lineRule="auto"/>
        <w:rPr>
          <w:sz w:val="20"/>
          <w:szCs w:val="20"/>
          <w:lang w:val="fr-FR"/>
        </w:rPr>
      </w:pPr>
    </w:p>
    <w:p w14:paraId="1D6DF77E" w14:textId="77777777" w:rsidR="00971895" w:rsidRDefault="00365BE1">
      <w:pPr>
        <w:pStyle w:val="00Body"/>
        <w:numPr>
          <w:ilvl w:val="0"/>
          <w:numId w:val="46"/>
        </w:numPr>
        <w:spacing w:before="0" w:after="0" w:line="275" w:lineRule="auto"/>
        <w:ind w:left="284" w:hanging="284"/>
        <w:rPr>
          <w:b/>
          <w:sz w:val="20"/>
          <w:szCs w:val="20"/>
          <w:u w:val="single"/>
          <w:lang w:val="fr-FR"/>
        </w:rPr>
      </w:pPr>
      <w:r>
        <w:rPr>
          <w:b/>
          <w:sz w:val="20"/>
          <w:szCs w:val="20"/>
          <w:u w:val="single"/>
          <w:lang w:val="fr-FR"/>
        </w:rPr>
        <w:t xml:space="preserve">Principes généraux d’allocation des doses </w:t>
      </w:r>
      <w:r w:rsidR="008107A3">
        <w:rPr>
          <w:b/>
          <w:sz w:val="20"/>
          <w:szCs w:val="20"/>
          <w:u w:val="single"/>
          <w:lang w:val="fr-FR"/>
        </w:rPr>
        <w:t>de vaccins</w:t>
      </w:r>
      <w:r>
        <w:rPr>
          <w:b/>
          <w:sz w:val="20"/>
          <w:szCs w:val="20"/>
          <w:u w:val="single"/>
          <w:lang w:val="fr-FR"/>
        </w:rPr>
        <w:t xml:space="preserve"> aux ARS</w:t>
      </w:r>
    </w:p>
    <w:p w14:paraId="1EBC4BC1" w14:textId="77777777" w:rsidR="00971895" w:rsidRDefault="00971895">
      <w:pPr>
        <w:pStyle w:val="00Body"/>
        <w:spacing w:before="0" w:after="0" w:line="275" w:lineRule="auto"/>
        <w:rPr>
          <w:sz w:val="20"/>
          <w:szCs w:val="20"/>
          <w:lang w:val="fr-FR"/>
        </w:rPr>
      </w:pPr>
    </w:p>
    <w:p w14:paraId="38B300AF" w14:textId="4F129905" w:rsidR="00971895" w:rsidRDefault="00365BE1">
      <w:pPr>
        <w:pStyle w:val="00Body"/>
        <w:numPr>
          <w:ilvl w:val="0"/>
          <w:numId w:val="47"/>
        </w:numPr>
        <w:spacing w:before="0" w:after="0" w:line="275" w:lineRule="auto"/>
        <w:ind w:left="284" w:hanging="284"/>
        <w:jc w:val="both"/>
        <w:rPr>
          <w:sz w:val="20"/>
          <w:szCs w:val="20"/>
          <w:lang w:val="fr-FR"/>
        </w:rPr>
      </w:pPr>
      <w:r>
        <w:rPr>
          <w:sz w:val="20"/>
          <w:szCs w:val="20"/>
          <w:lang w:val="fr-FR"/>
        </w:rPr>
        <w:t>Le calendrier de livraison communiqué par Pfizer en nombre de doses jusqu’à fin mars (</w:t>
      </w:r>
      <w:r w:rsidR="006D1562">
        <w:rPr>
          <w:sz w:val="20"/>
          <w:szCs w:val="20"/>
          <w:lang w:val="fr-FR"/>
        </w:rPr>
        <w:t>amendé</w:t>
      </w:r>
      <w:r w:rsidR="0007053C">
        <w:rPr>
          <w:sz w:val="20"/>
          <w:szCs w:val="20"/>
          <w:lang w:val="fr-FR"/>
        </w:rPr>
        <w:t xml:space="preserve"> du fait des </w:t>
      </w:r>
      <w:r w:rsidR="006D1562">
        <w:rPr>
          <w:sz w:val="20"/>
          <w:szCs w:val="20"/>
          <w:lang w:val="fr-FR"/>
        </w:rPr>
        <w:t>modifications</w:t>
      </w:r>
      <w:r w:rsidR="0007053C">
        <w:rPr>
          <w:sz w:val="20"/>
          <w:szCs w:val="20"/>
          <w:lang w:val="fr-FR"/>
        </w:rPr>
        <w:t xml:space="preserve"> de volumes de livraisons opérés par</w:t>
      </w:r>
      <w:r w:rsidR="00D81BA1">
        <w:rPr>
          <w:sz w:val="20"/>
          <w:szCs w:val="20"/>
          <w:lang w:val="fr-FR"/>
        </w:rPr>
        <w:t xml:space="preserve"> Pfizer</w:t>
      </w:r>
      <w:r>
        <w:rPr>
          <w:sz w:val="20"/>
          <w:szCs w:val="20"/>
          <w:lang w:val="fr-FR"/>
        </w:rPr>
        <w:t>) est le suivant :</w:t>
      </w:r>
    </w:p>
    <w:p w14:paraId="462DFDAF" w14:textId="77777777" w:rsidR="00971895" w:rsidRDefault="00365BE1">
      <w:pPr>
        <w:pStyle w:val="00Body"/>
        <w:spacing w:before="0" w:after="0" w:line="275" w:lineRule="auto"/>
        <w:rPr>
          <w:noProof/>
          <w:sz w:val="20"/>
          <w:lang w:val="fr-FR" w:eastAsia="fr-FR"/>
        </w:rPr>
      </w:pPr>
      <w:r>
        <w:rPr>
          <w:lang w:val="fr-FR"/>
        </w:rPr>
        <w:t xml:space="preserve"> </w:t>
      </w:r>
    </w:p>
    <w:p w14:paraId="6D6A00AF" w14:textId="77777777" w:rsidR="00D224B7" w:rsidRDefault="00D224B7">
      <w:pPr>
        <w:pStyle w:val="00Body"/>
        <w:spacing w:before="0" w:after="0" w:line="275" w:lineRule="auto"/>
        <w:rPr>
          <w:sz w:val="20"/>
          <w:szCs w:val="20"/>
          <w:lang w:val="fr-FR"/>
        </w:rPr>
      </w:pPr>
      <w:r w:rsidRPr="00D224B7">
        <w:rPr>
          <w:noProof/>
          <w:lang w:val="fr-FR" w:eastAsia="fr-FR"/>
        </w:rPr>
        <w:drawing>
          <wp:inline distT="0" distB="0" distL="0" distR="0" wp14:anchorId="4D2EE1D7" wp14:editId="1A9AE0B5">
            <wp:extent cx="5760085" cy="414655"/>
            <wp:effectExtent l="0" t="0" r="0" b="444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85" cy="414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A918D0" w14:textId="77777777" w:rsidR="00D81BA1" w:rsidRPr="00D81BA1" w:rsidRDefault="00D81BA1">
      <w:pPr>
        <w:pStyle w:val="00Body"/>
        <w:spacing w:before="0" w:after="0" w:line="275" w:lineRule="auto"/>
        <w:rPr>
          <w:bCs/>
          <w:sz w:val="20"/>
          <w:szCs w:val="20"/>
          <w:lang w:val="fr-FR"/>
        </w:rPr>
      </w:pPr>
    </w:p>
    <w:p w14:paraId="702991F1" w14:textId="6DCF4429" w:rsidR="00D81BA1" w:rsidRDefault="00314402" w:rsidP="00D81BA1">
      <w:pPr>
        <w:pStyle w:val="00Body"/>
        <w:numPr>
          <w:ilvl w:val="0"/>
          <w:numId w:val="47"/>
        </w:numPr>
        <w:spacing w:before="0" w:after="0" w:line="275" w:lineRule="auto"/>
        <w:ind w:left="284" w:hanging="284"/>
        <w:jc w:val="both"/>
        <w:rPr>
          <w:bCs/>
          <w:sz w:val="20"/>
          <w:szCs w:val="20"/>
          <w:lang w:val="fr-FR"/>
        </w:rPr>
      </w:pPr>
      <w:r w:rsidRPr="00314402">
        <w:rPr>
          <w:b/>
          <w:sz w:val="20"/>
          <w:szCs w:val="20"/>
          <w:lang w:val="fr-FR"/>
        </w:rPr>
        <w:t>Ces volumes prévisionnels ont connu deux modifications significatives</w:t>
      </w:r>
      <w:r>
        <w:rPr>
          <w:bCs/>
          <w:sz w:val="20"/>
          <w:szCs w:val="20"/>
          <w:lang w:val="fr-FR"/>
        </w:rPr>
        <w:t xml:space="preserve"> par différence avec </w:t>
      </w:r>
      <w:r w:rsidR="006D1562">
        <w:rPr>
          <w:bCs/>
          <w:sz w:val="20"/>
          <w:szCs w:val="20"/>
          <w:lang w:val="fr-FR"/>
        </w:rPr>
        <w:t xml:space="preserve">l’envoi précédent </w:t>
      </w:r>
      <w:r>
        <w:rPr>
          <w:bCs/>
          <w:sz w:val="20"/>
          <w:szCs w:val="20"/>
          <w:lang w:val="fr-FR"/>
        </w:rPr>
        <w:t>du 14 janvier :</w:t>
      </w:r>
    </w:p>
    <w:p w14:paraId="05D0B51A" w14:textId="4477392C" w:rsidR="00314402" w:rsidRDefault="00314402" w:rsidP="00314402">
      <w:pPr>
        <w:pStyle w:val="00Body"/>
        <w:numPr>
          <w:ilvl w:val="0"/>
          <w:numId w:val="48"/>
        </w:numPr>
        <w:spacing w:before="0" w:after="0" w:line="275" w:lineRule="auto"/>
        <w:ind w:left="567" w:hanging="284"/>
        <w:jc w:val="both"/>
        <w:rPr>
          <w:sz w:val="20"/>
          <w:szCs w:val="20"/>
          <w:lang w:val="fr-FR"/>
        </w:rPr>
      </w:pPr>
      <w:r>
        <w:rPr>
          <w:sz w:val="20"/>
          <w:szCs w:val="20"/>
          <w:lang w:val="fr-FR"/>
        </w:rPr>
        <w:t xml:space="preserve">La livraison du 18 janvier a été </w:t>
      </w:r>
      <w:r w:rsidR="006D1562">
        <w:rPr>
          <w:sz w:val="20"/>
          <w:szCs w:val="20"/>
          <w:lang w:val="fr-FR"/>
        </w:rPr>
        <w:t>réduite</w:t>
      </w:r>
      <w:r>
        <w:rPr>
          <w:sz w:val="20"/>
          <w:szCs w:val="20"/>
          <w:lang w:val="fr-FR"/>
        </w:rPr>
        <w:t xml:space="preserve"> de ~200 000 doses : l’impact de cette baisse a été absorbé à court terme par la réduction du stock destiné au flux A, qui doit être désormais reconstitué. Cela conduit à une réduction du volume disponible pour le flux B de ~50 000 doses par semaine pendant les 4 prochaines semaines ;</w:t>
      </w:r>
    </w:p>
    <w:p w14:paraId="32C06550" w14:textId="57EE884E" w:rsidR="00314402" w:rsidRPr="00314402" w:rsidRDefault="00314402" w:rsidP="00314402">
      <w:pPr>
        <w:pStyle w:val="00Body"/>
        <w:numPr>
          <w:ilvl w:val="0"/>
          <w:numId w:val="48"/>
        </w:numPr>
        <w:spacing w:before="0" w:after="0" w:line="275" w:lineRule="auto"/>
        <w:ind w:left="567" w:hanging="284"/>
        <w:jc w:val="both"/>
        <w:rPr>
          <w:sz w:val="20"/>
          <w:szCs w:val="20"/>
          <w:lang w:val="fr-FR"/>
        </w:rPr>
      </w:pPr>
      <w:r>
        <w:rPr>
          <w:sz w:val="20"/>
          <w:szCs w:val="20"/>
          <w:lang w:val="fr-FR"/>
        </w:rPr>
        <w:t xml:space="preserve">Les livraisons Pfizer sont désormais calculées sur la base de 6 doses par flacon, aboutissant à une réduction de 20% </w:t>
      </w:r>
      <w:r w:rsidR="006D1562">
        <w:rPr>
          <w:sz w:val="20"/>
          <w:szCs w:val="20"/>
          <w:lang w:val="fr-FR"/>
        </w:rPr>
        <w:t xml:space="preserve">du nombre de flacons </w:t>
      </w:r>
      <w:r>
        <w:rPr>
          <w:sz w:val="20"/>
          <w:szCs w:val="20"/>
          <w:lang w:val="fr-FR"/>
        </w:rPr>
        <w:t xml:space="preserve">(soit ~100 000 doses par semaine), </w:t>
      </w:r>
      <w:r w:rsidR="006D1562">
        <w:rPr>
          <w:sz w:val="20"/>
          <w:szCs w:val="20"/>
          <w:lang w:val="fr-FR"/>
        </w:rPr>
        <w:t>rendant indispensable l’extraction de la sixième dose</w:t>
      </w:r>
      <w:r>
        <w:rPr>
          <w:sz w:val="20"/>
          <w:szCs w:val="20"/>
          <w:lang w:val="fr-FR"/>
        </w:rPr>
        <w:t xml:space="preserve">.  </w:t>
      </w:r>
    </w:p>
    <w:p w14:paraId="19FB70C0" w14:textId="77777777" w:rsidR="00D81BA1" w:rsidRDefault="00D81BA1" w:rsidP="00160C78">
      <w:pPr>
        <w:pStyle w:val="00Body"/>
        <w:spacing w:before="0" w:after="0" w:line="275" w:lineRule="auto"/>
        <w:rPr>
          <w:b/>
          <w:sz w:val="20"/>
          <w:szCs w:val="20"/>
          <w:u w:val="single"/>
          <w:lang w:val="fr-FR"/>
        </w:rPr>
      </w:pPr>
    </w:p>
    <w:p w14:paraId="5E21428D" w14:textId="77777777" w:rsidR="00971895" w:rsidRDefault="00365BE1">
      <w:pPr>
        <w:pStyle w:val="00Body"/>
        <w:numPr>
          <w:ilvl w:val="0"/>
          <w:numId w:val="47"/>
        </w:numPr>
        <w:spacing w:before="0" w:after="0" w:line="275" w:lineRule="auto"/>
        <w:ind w:left="284" w:hanging="284"/>
        <w:jc w:val="both"/>
        <w:rPr>
          <w:b/>
          <w:sz w:val="20"/>
          <w:szCs w:val="20"/>
          <w:lang w:val="fr-FR"/>
        </w:rPr>
      </w:pPr>
      <w:r>
        <w:rPr>
          <w:b/>
          <w:sz w:val="20"/>
          <w:szCs w:val="20"/>
          <w:lang w:val="fr-FR"/>
        </w:rPr>
        <w:t>L’allocation des doses suit la logique suivante :</w:t>
      </w:r>
    </w:p>
    <w:p w14:paraId="3D02FC08" w14:textId="78DC4EDB" w:rsidR="00971895" w:rsidRDefault="00365BE1">
      <w:pPr>
        <w:pStyle w:val="00Body"/>
        <w:numPr>
          <w:ilvl w:val="0"/>
          <w:numId w:val="48"/>
        </w:numPr>
        <w:spacing w:before="0" w:after="0" w:line="275" w:lineRule="auto"/>
        <w:ind w:left="567" w:hanging="284"/>
        <w:jc w:val="both"/>
        <w:rPr>
          <w:sz w:val="20"/>
          <w:szCs w:val="20"/>
          <w:lang w:val="fr-FR"/>
        </w:rPr>
      </w:pPr>
      <w:r>
        <w:rPr>
          <w:sz w:val="20"/>
          <w:szCs w:val="20"/>
          <w:lang w:val="fr-FR"/>
        </w:rPr>
        <w:t>En premier lieu, réservation des doses nécessaires pour servir les établissements du flux A</w:t>
      </w:r>
      <w:r w:rsidR="00D224B7">
        <w:rPr>
          <w:sz w:val="20"/>
          <w:szCs w:val="20"/>
          <w:lang w:val="fr-FR"/>
        </w:rPr>
        <w:t>. Ces quantités ont été</w:t>
      </w:r>
      <w:r>
        <w:rPr>
          <w:sz w:val="20"/>
          <w:szCs w:val="20"/>
          <w:lang w:val="fr-FR"/>
        </w:rPr>
        <w:t xml:space="preserve"> </w:t>
      </w:r>
      <w:r w:rsidR="00D224B7">
        <w:rPr>
          <w:sz w:val="20"/>
          <w:szCs w:val="20"/>
          <w:lang w:val="fr-FR"/>
        </w:rPr>
        <w:t xml:space="preserve">réduites à ce qui est strictement nécessaire au regard des taux d’adhésion actuellement constatés (~800 000 doses au total) </w:t>
      </w:r>
      <w:r>
        <w:rPr>
          <w:sz w:val="20"/>
          <w:szCs w:val="20"/>
          <w:lang w:val="fr-FR"/>
        </w:rPr>
        <w:t>;</w:t>
      </w:r>
    </w:p>
    <w:p w14:paraId="368B8C75" w14:textId="05868874" w:rsidR="00D224B7" w:rsidRDefault="00365BE1">
      <w:pPr>
        <w:pStyle w:val="00Body"/>
        <w:numPr>
          <w:ilvl w:val="0"/>
          <w:numId w:val="48"/>
        </w:numPr>
        <w:spacing w:before="0" w:after="0" w:line="275" w:lineRule="auto"/>
        <w:ind w:left="567" w:hanging="284"/>
        <w:jc w:val="both"/>
        <w:rPr>
          <w:sz w:val="20"/>
          <w:szCs w:val="20"/>
          <w:lang w:val="fr-FR"/>
        </w:rPr>
      </w:pPr>
      <w:r>
        <w:rPr>
          <w:sz w:val="20"/>
          <w:szCs w:val="20"/>
          <w:lang w:val="fr-FR"/>
        </w:rPr>
        <w:t xml:space="preserve">Puis allocation du solde aux établissements pivots </w:t>
      </w:r>
      <w:r w:rsidR="00D224B7">
        <w:rPr>
          <w:sz w:val="20"/>
          <w:szCs w:val="20"/>
          <w:lang w:val="fr-FR"/>
        </w:rPr>
        <w:t xml:space="preserve">au travers d’une dotation initiale </w:t>
      </w:r>
      <w:r>
        <w:rPr>
          <w:sz w:val="20"/>
          <w:szCs w:val="20"/>
          <w:lang w:val="fr-FR"/>
        </w:rPr>
        <w:t>fixe</w:t>
      </w:r>
      <w:r w:rsidR="00D224B7">
        <w:rPr>
          <w:sz w:val="20"/>
          <w:szCs w:val="20"/>
          <w:lang w:val="fr-FR"/>
        </w:rPr>
        <w:t xml:space="preserve"> (modulo les variations Pfizer)</w:t>
      </w:r>
      <w:r>
        <w:rPr>
          <w:sz w:val="20"/>
          <w:szCs w:val="20"/>
          <w:lang w:val="fr-FR"/>
        </w:rPr>
        <w:t xml:space="preserve">, donnant aux établissements </w:t>
      </w:r>
      <w:r w:rsidR="00D224B7">
        <w:rPr>
          <w:sz w:val="20"/>
          <w:szCs w:val="20"/>
          <w:lang w:val="fr-FR"/>
        </w:rPr>
        <w:t>la visibilité dont ils ont besoin</w:t>
      </w:r>
      <w:r w:rsidR="00314402">
        <w:rPr>
          <w:sz w:val="20"/>
          <w:szCs w:val="20"/>
          <w:lang w:val="fr-FR"/>
        </w:rPr>
        <w:t> ;</w:t>
      </w:r>
    </w:p>
    <w:p w14:paraId="22983E45" w14:textId="2B0F67F1" w:rsidR="00971895" w:rsidRDefault="00314402">
      <w:pPr>
        <w:pStyle w:val="00Body"/>
        <w:numPr>
          <w:ilvl w:val="0"/>
          <w:numId w:val="48"/>
        </w:numPr>
        <w:spacing w:before="0" w:after="0" w:line="275" w:lineRule="auto"/>
        <w:ind w:left="567" w:hanging="284"/>
        <w:jc w:val="both"/>
        <w:rPr>
          <w:sz w:val="20"/>
          <w:szCs w:val="20"/>
          <w:lang w:val="fr-FR"/>
        </w:rPr>
      </w:pPr>
      <w:r>
        <w:rPr>
          <w:sz w:val="20"/>
          <w:szCs w:val="20"/>
          <w:lang w:val="fr-FR"/>
        </w:rPr>
        <w:t xml:space="preserve">Enfin, constitution d’une </w:t>
      </w:r>
      <w:r w:rsidR="00D81BA1">
        <w:rPr>
          <w:sz w:val="20"/>
          <w:szCs w:val="20"/>
          <w:lang w:val="fr-FR"/>
        </w:rPr>
        <w:t xml:space="preserve">réserve </w:t>
      </w:r>
      <w:r w:rsidR="006D1562">
        <w:rPr>
          <w:sz w:val="20"/>
          <w:szCs w:val="20"/>
          <w:lang w:val="fr-FR"/>
        </w:rPr>
        <w:t xml:space="preserve">nationale </w:t>
      </w:r>
      <w:r>
        <w:rPr>
          <w:sz w:val="20"/>
          <w:szCs w:val="20"/>
          <w:lang w:val="fr-FR"/>
        </w:rPr>
        <w:t xml:space="preserve">destinée (i) à absorber d’éventuelles baisses Pfizer et (ii) à abonder dès que possible </w:t>
      </w:r>
      <w:r w:rsidR="00365BE1">
        <w:rPr>
          <w:sz w:val="20"/>
          <w:szCs w:val="20"/>
          <w:lang w:val="fr-FR"/>
        </w:rPr>
        <w:t xml:space="preserve">une dotation complémentaire </w:t>
      </w:r>
      <w:r>
        <w:rPr>
          <w:sz w:val="20"/>
          <w:szCs w:val="20"/>
          <w:lang w:val="fr-FR"/>
        </w:rPr>
        <w:t>(objectif à terme : ~10% des livraisons du flux B) à la disposition des ARS pour équilibrer offre et demande</w:t>
      </w:r>
      <w:r w:rsidR="00365BE1">
        <w:rPr>
          <w:sz w:val="20"/>
          <w:szCs w:val="20"/>
          <w:lang w:val="fr-FR"/>
        </w:rPr>
        <w:t xml:space="preserve">. </w:t>
      </w:r>
    </w:p>
    <w:p w14:paraId="4599A7C5" w14:textId="77777777" w:rsidR="00971895" w:rsidRPr="00160C78" w:rsidRDefault="00971895" w:rsidP="00160C78">
      <w:pPr>
        <w:pStyle w:val="00Body"/>
        <w:spacing w:before="0" w:after="0" w:line="275" w:lineRule="auto"/>
        <w:rPr>
          <w:b/>
          <w:sz w:val="20"/>
          <w:szCs w:val="20"/>
          <w:u w:val="single"/>
          <w:lang w:val="fr-FR"/>
        </w:rPr>
      </w:pPr>
    </w:p>
    <w:p w14:paraId="32C60E14" w14:textId="77777777" w:rsidR="00971895" w:rsidRDefault="00365BE1">
      <w:pPr>
        <w:pStyle w:val="00Body"/>
        <w:numPr>
          <w:ilvl w:val="0"/>
          <w:numId w:val="47"/>
        </w:numPr>
        <w:spacing w:before="0" w:after="0" w:line="275" w:lineRule="auto"/>
        <w:ind w:left="284" w:hanging="284"/>
        <w:jc w:val="both"/>
        <w:rPr>
          <w:sz w:val="20"/>
          <w:szCs w:val="20"/>
          <w:lang w:val="fr-FR"/>
        </w:rPr>
      </w:pPr>
      <w:r>
        <w:rPr>
          <w:b/>
          <w:sz w:val="20"/>
          <w:szCs w:val="20"/>
          <w:lang w:val="fr-FR"/>
        </w:rPr>
        <w:t xml:space="preserve">La ventilation des doses entre régions / départements </w:t>
      </w:r>
      <w:r w:rsidR="00314402">
        <w:rPr>
          <w:b/>
          <w:sz w:val="20"/>
          <w:szCs w:val="20"/>
          <w:lang w:val="fr-FR"/>
        </w:rPr>
        <w:t xml:space="preserve">est </w:t>
      </w:r>
      <w:r>
        <w:rPr>
          <w:b/>
          <w:sz w:val="20"/>
          <w:szCs w:val="20"/>
          <w:lang w:val="fr-FR"/>
        </w:rPr>
        <w:t xml:space="preserve">réalisée </w:t>
      </w:r>
      <w:r w:rsidR="00314402">
        <w:rPr>
          <w:b/>
          <w:sz w:val="20"/>
          <w:szCs w:val="20"/>
          <w:lang w:val="fr-FR"/>
        </w:rPr>
        <w:t xml:space="preserve">à compter du 25 janvier proportionnellement à la population cible </w:t>
      </w:r>
      <w:r w:rsidR="00314402">
        <w:rPr>
          <w:sz w:val="20"/>
          <w:szCs w:val="20"/>
          <w:lang w:val="fr-FR"/>
        </w:rPr>
        <w:t>(</w:t>
      </w:r>
      <w:r>
        <w:rPr>
          <w:sz w:val="20"/>
          <w:szCs w:val="20"/>
          <w:lang w:val="fr-FR"/>
        </w:rPr>
        <w:t>75 ans</w:t>
      </w:r>
      <w:r w:rsidR="00314402">
        <w:rPr>
          <w:sz w:val="20"/>
          <w:szCs w:val="20"/>
          <w:lang w:val="fr-FR"/>
        </w:rPr>
        <w:t xml:space="preserve"> + et professionnels de santé à risque). La clé de répartition figure dans les fichiers </w:t>
      </w:r>
      <w:r w:rsidR="00160C78">
        <w:rPr>
          <w:sz w:val="20"/>
          <w:szCs w:val="20"/>
          <w:lang w:val="fr-FR"/>
        </w:rPr>
        <w:t>d’allocation des doses diffusés à chaque ARS ce 14 janvier.</w:t>
      </w:r>
    </w:p>
    <w:p w14:paraId="7316E31D" w14:textId="77777777" w:rsidR="00971895" w:rsidRDefault="00971895">
      <w:pPr>
        <w:pStyle w:val="00Body"/>
        <w:spacing w:before="0" w:after="0" w:line="275" w:lineRule="auto"/>
        <w:ind w:left="284"/>
        <w:jc w:val="both"/>
        <w:rPr>
          <w:sz w:val="20"/>
          <w:szCs w:val="20"/>
          <w:lang w:val="fr-FR"/>
        </w:rPr>
      </w:pPr>
    </w:p>
    <w:p w14:paraId="5013C52C" w14:textId="77777777" w:rsidR="00286135" w:rsidRDefault="00286135" w:rsidP="00286135">
      <w:pPr>
        <w:pStyle w:val="00Body"/>
        <w:numPr>
          <w:ilvl w:val="0"/>
          <w:numId w:val="46"/>
        </w:numPr>
        <w:spacing w:before="0" w:after="0" w:line="275" w:lineRule="auto"/>
        <w:ind w:left="284" w:hanging="284"/>
        <w:rPr>
          <w:b/>
          <w:sz w:val="20"/>
          <w:szCs w:val="20"/>
          <w:u w:val="single"/>
          <w:lang w:val="fr-FR"/>
        </w:rPr>
      </w:pPr>
      <w:r>
        <w:rPr>
          <w:b/>
          <w:sz w:val="20"/>
          <w:szCs w:val="20"/>
          <w:u w:val="single"/>
          <w:lang w:val="fr-FR"/>
        </w:rPr>
        <w:t>Allocation de doses Moderna</w:t>
      </w:r>
    </w:p>
    <w:p w14:paraId="218009B8" w14:textId="77777777" w:rsidR="00286135" w:rsidRDefault="00286135">
      <w:pPr>
        <w:pStyle w:val="00Body"/>
        <w:spacing w:before="0" w:after="0" w:line="275" w:lineRule="auto"/>
        <w:ind w:left="284"/>
        <w:jc w:val="both"/>
        <w:rPr>
          <w:sz w:val="20"/>
          <w:szCs w:val="20"/>
          <w:lang w:val="fr-FR"/>
        </w:rPr>
      </w:pPr>
    </w:p>
    <w:p w14:paraId="48019E6D" w14:textId="77777777" w:rsidR="00971895" w:rsidRPr="00160C78" w:rsidRDefault="00286135">
      <w:pPr>
        <w:pStyle w:val="00Body"/>
        <w:numPr>
          <w:ilvl w:val="0"/>
          <w:numId w:val="47"/>
        </w:numPr>
        <w:spacing w:before="0" w:after="0" w:line="275" w:lineRule="auto"/>
        <w:ind w:left="284" w:hanging="284"/>
        <w:jc w:val="both"/>
        <w:rPr>
          <w:sz w:val="20"/>
          <w:szCs w:val="20"/>
          <w:lang w:val="fr-FR"/>
        </w:rPr>
      </w:pPr>
      <w:r>
        <w:rPr>
          <w:b/>
          <w:bCs/>
          <w:sz w:val="20"/>
          <w:szCs w:val="20"/>
          <w:lang w:val="fr-FR"/>
        </w:rPr>
        <w:t>Les</w:t>
      </w:r>
      <w:r w:rsidR="00365BE1" w:rsidRPr="0040318B">
        <w:rPr>
          <w:b/>
          <w:bCs/>
          <w:sz w:val="20"/>
          <w:szCs w:val="20"/>
          <w:lang w:val="fr-FR"/>
        </w:rPr>
        <w:t xml:space="preserve"> dotations Pfizer </w:t>
      </w:r>
      <w:r w:rsidR="0040318B">
        <w:rPr>
          <w:b/>
          <w:bCs/>
          <w:sz w:val="20"/>
          <w:szCs w:val="20"/>
          <w:lang w:val="fr-FR"/>
        </w:rPr>
        <w:t>sont progressivement</w:t>
      </w:r>
      <w:r w:rsidR="00365BE1" w:rsidRPr="0040318B">
        <w:rPr>
          <w:b/>
          <w:bCs/>
          <w:sz w:val="20"/>
          <w:szCs w:val="20"/>
          <w:lang w:val="fr-FR"/>
        </w:rPr>
        <w:t xml:space="preserve"> complétées par des dotations Moderna</w:t>
      </w:r>
      <w:r w:rsidR="00365BE1" w:rsidRPr="00160C78">
        <w:rPr>
          <w:sz w:val="20"/>
          <w:szCs w:val="20"/>
          <w:lang w:val="fr-FR"/>
        </w:rPr>
        <w:t xml:space="preserve"> </w:t>
      </w:r>
      <w:r w:rsidR="0040318B">
        <w:rPr>
          <w:sz w:val="20"/>
          <w:szCs w:val="20"/>
          <w:lang w:val="fr-FR"/>
        </w:rPr>
        <w:t>selon</w:t>
      </w:r>
      <w:r w:rsidR="00160C78" w:rsidRPr="00160C78">
        <w:rPr>
          <w:sz w:val="20"/>
          <w:szCs w:val="20"/>
          <w:lang w:val="fr-FR"/>
        </w:rPr>
        <w:t xml:space="preserve"> le calendrier suivant : </w:t>
      </w:r>
    </w:p>
    <w:p w14:paraId="0127997D" w14:textId="4AA4B47B" w:rsidR="00971895" w:rsidRPr="00160C78" w:rsidRDefault="00365BE1">
      <w:pPr>
        <w:pStyle w:val="00Body"/>
        <w:numPr>
          <w:ilvl w:val="0"/>
          <w:numId w:val="48"/>
        </w:numPr>
        <w:spacing w:before="0" w:after="0" w:line="275" w:lineRule="auto"/>
        <w:ind w:left="567" w:hanging="284"/>
        <w:jc w:val="both"/>
        <w:rPr>
          <w:sz w:val="20"/>
          <w:szCs w:val="20"/>
          <w:lang w:val="fr-FR"/>
        </w:rPr>
      </w:pPr>
      <w:r w:rsidRPr="00160C78">
        <w:rPr>
          <w:sz w:val="20"/>
          <w:szCs w:val="20"/>
          <w:lang w:val="fr-FR"/>
        </w:rPr>
        <w:t>Janvier : 126 000 doses </w:t>
      </w:r>
      <w:r w:rsidR="00160C78" w:rsidRPr="00160C78">
        <w:rPr>
          <w:sz w:val="20"/>
          <w:szCs w:val="20"/>
          <w:lang w:val="fr-FR"/>
        </w:rPr>
        <w:t xml:space="preserve">(52 000 </w:t>
      </w:r>
      <w:r w:rsidR="006D1562">
        <w:rPr>
          <w:sz w:val="20"/>
          <w:szCs w:val="20"/>
          <w:lang w:val="fr-FR"/>
        </w:rPr>
        <w:t xml:space="preserve">le </w:t>
      </w:r>
      <w:r w:rsidR="0040318B">
        <w:rPr>
          <w:sz w:val="20"/>
          <w:szCs w:val="20"/>
          <w:lang w:val="fr-FR"/>
        </w:rPr>
        <w:t>1</w:t>
      </w:r>
      <w:r w:rsidR="00F613B1">
        <w:rPr>
          <w:sz w:val="20"/>
          <w:szCs w:val="20"/>
          <w:lang w:val="fr-FR"/>
        </w:rPr>
        <w:t>1</w:t>
      </w:r>
      <w:r w:rsidR="006D1562">
        <w:rPr>
          <w:sz w:val="20"/>
          <w:szCs w:val="20"/>
          <w:lang w:val="fr-FR"/>
        </w:rPr>
        <w:t xml:space="preserve"> janvier</w:t>
      </w:r>
      <w:r w:rsidR="0040318B">
        <w:rPr>
          <w:sz w:val="20"/>
          <w:szCs w:val="20"/>
          <w:lang w:val="fr-FR"/>
        </w:rPr>
        <w:t xml:space="preserve">, </w:t>
      </w:r>
      <w:r w:rsidR="00160C78" w:rsidRPr="00160C78">
        <w:rPr>
          <w:sz w:val="20"/>
          <w:szCs w:val="20"/>
          <w:lang w:val="fr-FR"/>
        </w:rPr>
        <w:t>7</w:t>
      </w:r>
      <w:r w:rsidR="0040318B">
        <w:rPr>
          <w:sz w:val="20"/>
          <w:szCs w:val="20"/>
          <w:lang w:val="fr-FR"/>
        </w:rPr>
        <w:t>4 </w:t>
      </w:r>
      <w:r w:rsidR="00160C78" w:rsidRPr="00160C78">
        <w:rPr>
          <w:sz w:val="20"/>
          <w:szCs w:val="20"/>
          <w:lang w:val="fr-FR"/>
        </w:rPr>
        <w:t>000</w:t>
      </w:r>
      <w:r w:rsidR="0040318B">
        <w:rPr>
          <w:sz w:val="20"/>
          <w:szCs w:val="20"/>
          <w:lang w:val="fr-FR"/>
        </w:rPr>
        <w:t xml:space="preserve"> </w:t>
      </w:r>
      <w:r w:rsidR="006D1562">
        <w:rPr>
          <w:sz w:val="20"/>
          <w:szCs w:val="20"/>
          <w:lang w:val="fr-FR"/>
        </w:rPr>
        <w:t xml:space="preserve">le </w:t>
      </w:r>
      <w:r w:rsidR="0007053C">
        <w:rPr>
          <w:sz w:val="20"/>
          <w:szCs w:val="20"/>
          <w:lang w:val="fr-FR"/>
        </w:rPr>
        <w:t>30</w:t>
      </w:r>
      <w:r w:rsidR="006D1562">
        <w:rPr>
          <w:sz w:val="20"/>
          <w:szCs w:val="20"/>
          <w:lang w:val="fr-FR"/>
        </w:rPr>
        <w:t xml:space="preserve"> janvier</w:t>
      </w:r>
      <w:r w:rsidR="00160C78" w:rsidRPr="00160C78">
        <w:rPr>
          <w:sz w:val="20"/>
          <w:szCs w:val="20"/>
          <w:lang w:val="fr-FR"/>
        </w:rPr>
        <w:t xml:space="preserve">) </w:t>
      </w:r>
      <w:r w:rsidRPr="00160C78">
        <w:rPr>
          <w:sz w:val="20"/>
          <w:szCs w:val="20"/>
          <w:lang w:val="fr-FR"/>
        </w:rPr>
        <w:t>;</w:t>
      </w:r>
    </w:p>
    <w:p w14:paraId="6737F460" w14:textId="7D0FF7B1" w:rsidR="00971895" w:rsidRPr="00160C78" w:rsidRDefault="00365BE1">
      <w:pPr>
        <w:pStyle w:val="00Body"/>
        <w:numPr>
          <w:ilvl w:val="0"/>
          <w:numId w:val="48"/>
        </w:numPr>
        <w:spacing w:before="0" w:after="0" w:line="275" w:lineRule="auto"/>
        <w:ind w:left="567" w:hanging="284"/>
        <w:jc w:val="both"/>
        <w:rPr>
          <w:sz w:val="20"/>
          <w:szCs w:val="20"/>
          <w:lang w:val="fr-FR"/>
        </w:rPr>
      </w:pPr>
      <w:r w:rsidRPr="00160C78">
        <w:rPr>
          <w:sz w:val="20"/>
          <w:szCs w:val="20"/>
          <w:lang w:val="fr-FR"/>
        </w:rPr>
        <w:t>Février : 724 000 doses </w:t>
      </w:r>
      <w:r w:rsidR="00160C78" w:rsidRPr="00160C78">
        <w:rPr>
          <w:sz w:val="20"/>
          <w:szCs w:val="20"/>
          <w:lang w:val="fr-FR"/>
        </w:rPr>
        <w:t>(18</w:t>
      </w:r>
      <w:r w:rsidR="0040318B">
        <w:rPr>
          <w:sz w:val="20"/>
          <w:szCs w:val="20"/>
          <w:lang w:val="fr-FR"/>
        </w:rPr>
        <w:t>2</w:t>
      </w:r>
      <w:r w:rsidR="00160C78" w:rsidRPr="00160C78">
        <w:rPr>
          <w:sz w:val="20"/>
          <w:szCs w:val="20"/>
          <w:lang w:val="fr-FR"/>
        </w:rPr>
        <w:t xml:space="preserve"> 000 </w:t>
      </w:r>
      <w:r w:rsidR="0040318B">
        <w:rPr>
          <w:sz w:val="20"/>
          <w:szCs w:val="20"/>
          <w:lang w:val="fr-FR"/>
        </w:rPr>
        <w:t>dans la semaine du 1</w:t>
      </w:r>
      <w:r w:rsidR="006D1562" w:rsidRPr="006D1562">
        <w:rPr>
          <w:sz w:val="20"/>
          <w:szCs w:val="20"/>
          <w:vertAlign w:val="superscript"/>
          <w:lang w:val="fr-FR"/>
        </w:rPr>
        <w:t>er</w:t>
      </w:r>
      <w:r w:rsidR="006D1562">
        <w:rPr>
          <w:sz w:val="20"/>
          <w:szCs w:val="20"/>
          <w:lang w:val="fr-FR"/>
        </w:rPr>
        <w:t xml:space="preserve"> février</w:t>
      </w:r>
      <w:r w:rsidR="0040318B">
        <w:rPr>
          <w:sz w:val="20"/>
          <w:szCs w:val="20"/>
          <w:lang w:val="fr-FR"/>
        </w:rPr>
        <w:t>, 542 000 dans la semaine du 15</w:t>
      </w:r>
      <w:r w:rsidR="006D1562">
        <w:rPr>
          <w:sz w:val="20"/>
          <w:szCs w:val="20"/>
          <w:lang w:val="fr-FR"/>
        </w:rPr>
        <w:t xml:space="preserve"> février</w:t>
      </w:r>
      <w:r w:rsidR="0040318B">
        <w:rPr>
          <w:sz w:val="20"/>
          <w:szCs w:val="20"/>
          <w:lang w:val="fr-FR"/>
        </w:rPr>
        <w:t>) ;</w:t>
      </w:r>
    </w:p>
    <w:p w14:paraId="68A6E7E8" w14:textId="6AFECDB2" w:rsidR="00971895" w:rsidRDefault="00365BE1">
      <w:pPr>
        <w:pStyle w:val="00Body"/>
        <w:numPr>
          <w:ilvl w:val="0"/>
          <w:numId w:val="48"/>
        </w:numPr>
        <w:spacing w:before="0" w:after="0" w:line="275" w:lineRule="auto"/>
        <w:ind w:left="567" w:hanging="284"/>
        <w:jc w:val="both"/>
        <w:rPr>
          <w:sz w:val="20"/>
          <w:szCs w:val="20"/>
          <w:lang w:val="fr-FR"/>
        </w:rPr>
      </w:pPr>
      <w:r w:rsidRPr="00160C78">
        <w:rPr>
          <w:sz w:val="20"/>
          <w:szCs w:val="20"/>
          <w:lang w:val="fr-FR"/>
        </w:rPr>
        <w:t>Mars : 630 000 doses</w:t>
      </w:r>
      <w:r w:rsidR="006D1562">
        <w:rPr>
          <w:sz w:val="20"/>
          <w:szCs w:val="20"/>
          <w:lang w:val="fr-FR"/>
        </w:rPr>
        <w:t xml:space="preserve"> (à confirmer)</w:t>
      </w:r>
      <w:r w:rsidRPr="00160C78">
        <w:rPr>
          <w:sz w:val="20"/>
          <w:szCs w:val="20"/>
          <w:lang w:val="fr-FR"/>
        </w:rPr>
        <w:t>.</w:t>
      </w:r>
    </w:p>
    <w:p w14:paraId="661B9D33" w14:textId="77777777" w:rsidR="00286135" w:rsidRDefault="00286135" w:rsidP="00286135">
      <w:pPr>
        <w:pStyle w:val="00Body"/>
        <w:spacing w:before="0" w:after="0" w:line="275" w:lineRule="auto"/>
        <w:ind w:left="567"/>
        <w:jc w:val="both"/>
        <w:rPr>
          <w:sz w:val="20"/>
          <w:szCs w:val="20"/>
          <w:lang w:val="fr-FR"/>
        </w:rPr>
      </w:pPr>
    </w:p>
    <w:p w14:paraId="4C6A9946" w14:textId="60956D41" w:rsidR="0040318B" w:rsidRDefault="0040318B" w:rsidP="00286135">
      <w:pPr>
        <w:pStyle w:val="00Body"/>
        <w:numPr>
          <w:ilvl w:val="0"/>
          <w:numId w:val="47"/>
        </w:numPr>
        <w:spacing w:before="0" w:after="0" w:line="275" w:lineRule="auto"/>
        <w:ind w:left="284" w:hanging="284"/>
        <w:jc w:val="both"/>
        <w:rPr>
          <w:sz w:val="20"/>
          <w:szCs w:val="20"/>
          <w:lang w:val="fr-FR"/>
        </w:rPr>
      </w:pPr>
      <w:r>
        <w:rPr>
          <w:sz w:val="20"/>
          <w:szCs w:val="20"/>
          <w:lang w:val="fr-FR"/>
        </w:rPr>
        <w:t>Les dotations Moderna de février permett</w:t>
      </w:r>
      <w:r w:rsidR="006D1562">
        <w:rPr>
          <w:sz w:val="20"/>
          <w:szCs w:val="20"/>
          <w:lang w:val="fr-FR"/>
        </w:rPr>
        <w:t xml:space="preserve">ront </w:t>
      </w:r>
      <w:r>
        <w:rPr>
          <w:sz w:val="20"/>
          <w:szCs w:val="20"/>
          <w:lang w:val="fr-FR"/>
        </w:rPr>
        <w:t xml:space="preserve">d’ouvrir de nouveaux premiers rendez dans toute la France. </w:t>
      </w:r>
    </w:p>
    <w:p w14:paraId="3086F3EA" w14:textId="77777777" w:rsidR="00286135" w:rsidRDefault="00286135" w:rsidP="00286135">
      <w:pPr>
        <w:pStyle w:val="00Body"/>
        <w:spacing w:before="0" w:after="0" w:line="275" w:lineRule="auto"/>
        <w:ind w:left="284"/>
        <w:jc w:val="both"/>
        <w:rPr>
          <w:sz w:val="20"/>
          <w:szCs w:val="20"/>
          <w:lang w:val="fr-FR"/>
        </w:rPr>
      </w:pPr>
    </w:p>
    <w:p w14:paraId="4448178C" w14:textId="415C674F" w:rsidR="00286135" w:rsidRPr="00160C78" w:rsidRDefault="00286135" w:rsidP="00286135">
      <w:pPr>
        <w:pStyle w:val="00Body"/>
        <w:numPr>
          <w:ilvl w:val="0"/>
          <w:numId w:val="47"/>
        </w:numPr>
        <w:spacing w:before="0" w:after="0" w:line="275" w:lineRule="auto"/>
        <w:ind w:left="284" w:hanging="284"/>
        <w:jc w:val="both"/>
        <w:rPr>
          <w:sz w:val="20"/>
          <w:szCs w:val="20"/>
          <w:lang w:val="fr-FR"/>
        </w:rPr>
      </w:pPr>
      <w:r>
        <w:rPr>
          <w:sz w:val="20"/>
          <w:szCs w:val="20"/>
          <w:lang w:val="fr-FR"/>
        </w:rPr>
        <w:t>La ventilation de la dotation Moderna par établissement pivot, et le nombre d</w:t>
      </w:r>
      <w:r w:rsidR="006D1562">
        <w:rPr>
          <w:sz w:val="20"/>
          <w:szCs w:val="20"/>
          <w:lang w:val="fr-FR"/>
        </w:rPr>
        <w:t xml:space="preserve">e premières / deuxièmes </w:t>
      </w:r>
      <w:r>
        <w:rPr>
          <w:sz w:val="20"/>
          <w:szCs w:val="20"/>
          <w:lang w:val="fr-FR"/>
        </w:rPr>
        <w:t>injections correspondant seront communiqué</w:t>
      </w:r>
      <w:r w:rsidR="006D1562">
        <w:rPr>
          <w:sz w:val="20"/>
          <w:szCs w:val="20"/>
          <w:lang w:val="fr-FR"/>
        </w:rPr>
        <w:t>s</w:t>
      </w:r>
      <w:r>
        <w:rPr>
          <w:sz w:val="20"/>
          <w:szCs w:val="20"/>
          <w:lang w:val="fr-FR"/>
        </w:rPr>
        <w:t xml:space="preserve"> au début de la semaine du 25 janvier. </w:t>
      </w:r>
    </w:p>
    <w:p w14:paraId="1CBC30E6" w14:textId="77777777" w:rsidR="00971895" w:rsidRDefault="00971895">
      <w:pPr>
        <w:pStyle w:val="00Body"/>
        <w:spacing w:before="0" w:after="0" w:line="275" w:lineRule="auto"/>
        <w:jc w:val="center"/>
        <w:rPr>
          <w:sz w:val="20"/>
          <w:szCs w:val="20"/>
          <w:lang w:val="fr-FR"/>
        </w:rPr>
      </w:pPr>
    </w:p>
    <w:p w14:paraId="04C69CB3" w14:textId="77777777" w:rsidR="006D1562" w:rsidRDefault="006D1562">
      <w:pPr>
        <w:spacing w:after="160" w:line="259" w:lineRule="auto"/>
        <w:rPr>
          <w:b/>
          <w:sz w:val="20"/>
          <w:szCs w:val="20"/>
          <w:u w:val="single"/>
          <w:lang w:val="fr-FR"/>
        </w:rPr>
      </w:pPr>
      <w:r>
        <w:rPr>
          <w:b/>
          <w:sz w:val="20"/>
          <w:szCs w:val="20"/>
          <w:u w:val="single"/>
          <w:lang w:val="fr-FR"/>
        </w:rPr>
        <w:br w:type="page"/>
      </w:r>
    </w:p>
    <w:p w14:paraId="7AACB5A0" w14:textId="076D3CEA" w:rsidR="00971895" w:rsidRDefault="00365BE1">
      <w:pPr>
        <w:pStyle w:val="00Body"/>
        <w:numPr>
          <w:ilvl w:val="0"/>
          <w:numId w:val="46"/>
        </w:numPr>
        <w:spacing w:before="0" w:after="0" w:line="275" w:lineRule="auto"/>
        <w:ind w:left="284" w:hanging="284"/>
        <w:rPr>
          <w:b/>
          <w:sz w:val="20"/>
          <w:szCs w:val="20"/>
          <w:u w:val="single"/>
          <w:lang w:val="fr-FR"/>
        </w:rPr>
      </w:pPr>
      <w:r>
        <w:rPr>
          <w:b/>
          <w:sz w:val="20"/>
          <w:szCs w:val="20"/>
          <w:u w:val="single"/>
          <w:lang w:val="fr-FR"/>
        </w:rPr>
        <w:lastRenderedPageBreak/>
        <w:t>Ventilation des doses reçues par chaque ARS entre ses centres de vaccination</w:t>
      </w:r>
    </w:p>
    <w:p w14:paraId="4EC0C5AB" w14:textId="77777777" w:rsidR="00971895" w:rsidRDefault="00971895">
      <w:pPr>
        <w:pStyle w:val="00Body"/>
        <w:spacing w:before="0" w:after="0" w:line="275" w:lineRule="auto"/>
        <w:rPr>
          <w:sz w:val="20"/>
          <w:szCs w:val="20"/>
          <w:lang w:val="fr-FR"/>
        </w:rPr>
      </w:pPr>
    </w:p>
    <w:p w14:paraId="546C056A" w14:textId="77777777" w:rsidR="00971895" w:rsidRDefault="00365BE1">
      <w:pPr>
        <w:pStyle w:val="00Body"/>
        <w:numPr>
          <w:ilvl w:val="0"/>
          <w:numId w:val="47"/>
        </w:numPr>
        <w:spacing w:before="0" w:after="0" w:line="275" w:lineRule="auto"/>
        <w:ind w:left="284" w:hanging="284"/>
        <w:jc w:val="both"/>
        <w:rPr>
          <w:sz w:val="20"/>
          <w:szCs w:val="20"/>
          <w:lang w:val="fr-FR"/>
        </w:rPr>
      </w:pPr>
      <w:r>
        <w:rPr>
          <w:sz w:val="20"/>
          <w:szCs w:val="20"/>
          <w:lang w:val="fr-FR"/>
        </w:rPr>
        <w:t>La ventilation des doses reçues par chaque établissement vers les centres de vaccination qu’il dessert relève des ARS</w:t>
      </w:r>
      <w:r w:rsidR="0007053C">
        <w:rPr>
          <w:sz w:val="20"/>
          <w:szCs w:val="20"/>
          <w:lang w:val="fr-FR"/>
        </w:rPr>
        <w:t xml:space="preserve"> et de leurs directions départementales en lien avec les cellules territoriales vaccination</w:t>
      </w:r>
      <w:r>
        <w:rPr>
          <w:sz w:val="20"/>
          <w:szCs w:val="20"/>
          <w:lang w:val="fr-FR"/>
        </w:rPr>
        <w:t>.</w:t>
      </w:r>
    </w:p>
    <w:p w14:paraId="4F189A9C" w14:textId="77777777" w:rsidR="00971895" w:rsidRDefault="00971895">
      <w:pPr>
        <w:pStyle w:val="00Body"/>
        <w:spacing w:before="0" w:after="0" w:line="275" w:lineRule="auto"/>
        <w:ind w:left="284"/>
        <w:jc w:val="both"/>
        <w:rPr>
          <w:sz w:val="20"/>
          <w:szCs w:val="20"/>
          <w:lang w:val="fr-FR"/>
        </w:rPr>
      </w:pPr>
    </w:p>
    <w:p w14:paraId="7DF02A1C" w14:textId="77777777" w:rsidR="00971895" w:rsidRDefault="00365BE1">
      <w:pPr>
        <w:pStyle w:val="00Body"/>
        <w:numPr>
          <w:ilvl w:val="0"/>
          <w:numId w:val="47"/>
        </w:numPr>
        <w:spacing w:before="0" w:after="0" w:line="275" w:lineRule="auto"/>
        <w:ind w:left="284" w:hanging="284"/>
        <w:jc w:val="both"/>
        <w:rPr>
          <w:sz w:val="20"/>
          <w:szCs w:val="20"/>
          <w:lang w:val="fr-FR"/>
        </w:rPr>
      </w:pPr>
      <w:r>
        <w:rPr>
          <w:sz w:val="20"/>
          <w:szCs w:val="20"/>
          <w:lang w:val="fr-FR"/>
        </w:rPr>
        <w:t xml:space="preserve">Les ARS </w:t>
      </w:r>
      <w:r w:rsidR="00160C78">
        <w:rPr>
          <w:sz w:val="20"/>
          <w:szCs w:val="20"/>
          <w:lang w:val="fr-FR"/>
        </w:rPr>
        <w:t xml:space="preserve">ont reçu le 14 janvier </w:t>
      </w:r>
      <w:r>
        <w:rPr>
          <w:sz w:val="20"/>
          <w:szCs w:val="20"/>
          <w:lang w:val="fr-FR"/>
        </w:rPr>
        <w:t xml:space="preserve">pour revue et validation, les informations suivantes sur un horizon de </w:t>
      </w:r>
      <w:r w:rsidR="0040318B">
        <w:rPr>
          <w:sz w:val="20"/>
          <w:szCs w:val="20"/>
          <w:lang w:val="fr-FR"/>
        </w:rPr>
        <w:t>6</w:t>
      </w:r>
      <w:r>
        <w:rPr>
          <w:sz w:val="20"/>
          <w:szCs w:val="20"/>
          <w:lang w:val="fr-FR"/>
        </w:rPr>
        <w:t xml:space="preserve"> semaines </w:t>
      </w:r>
      <w:r w:rsidR="0040318B">
        <w:rPr>
          <w:sz w:val="20"/>
          <w:szCs w:val="20"/>
          <w:lang w:val="fr-FR"/>
        </w:rPr>
        <w:t xml:space="preserve">(semaines du 18 janvier au 22 février) </w:t>
      </w:r>
      <w:r>
        <w:rPr>
          <w:sz w:val="20"/>
          <w:szCs w:val="20"/>
          <w:lang w:val="fr-FR"/>
        </w:rPr>
        <w:t>:</w:t>
      </w:r>
    </w:p>
    <w:p w14:paraId="018C7367" w14:textId="77777777" w:rsidR="00971895" w:rsidRDefault="00365BE1">
      <w:pPr>
        <w:pStyle w:val="00Body"/>
        <w:numPr>
          <w:ilvl w:val="0"/>
          <w:numId w:val="48"/>
        </w:numPr>
        <w:spacing w:before="0" w:after="0" w:line="275" w:lineRule="auto"/>
        <w:ind w:left="567" w:hanging="284"/>
        <w:jc w:val="both"/>
        <w:rPr>
          <w:sz w:val="20"/>
          <w:szCs w:val="20"/>
          <w:lang w:val="fr-FR"/>
        </w:rPr>
      </w:pPr>
      <w:r>
        <w:rPr>
          <w:sz w:val="20"/>
          <w:szCs w:val="20"/>
          <w:lang w:val="fr-FR"/>
        </w:rPr>
        <w:t>Les quantités prévues en livraison</w:t>
      </w:r>
      <w:r w:rsidR="0040318B">
        <w:rPr>
          <w:sz w:val="20"/>
          <w:szCs w:val="20"/>
          <w:lang w:val="fr-FR"/>
        </w:rPr>
        <w:t xml:space="preserve"> </w:t>
      </w:r>
      <w:r>
        <w:rPr>
          <w:sz w:val="20"/>
          <w:szCs w:val="20"/>
          <w:lang w:val="fr-FR"/>
        </w:rPr>
        <w:t>;</w:t>
      </w:r>
    </w:p>
    <w:p w14:paraId="0433FA62" w14:textId="77777777" w:rsidR="00971895" w:rsidRDefault="00365BE1">
      <w:pPr>
        <w:pStyle w:val="00Body"/>
        <w:numPr>
          <w:ilvl w:val="0"/>
          <w:numId w:val="48"/>
        </w:numPr>
        <w:spacing w:before="0" w:after="0" w:line="275" w:lineRule="auto"/>
        <w:ind w:left="567" w:hanging="284"/>
        <w:jc w:val="both"/>
        <w:rPr>
          <w:sz w:val="20"/>
          <w:szCs w:val="20"/>
          <w:lang w:val="fr-FR"/>
        </w:rPr>
      </w:pPr>
      <w:r>
        <w:rPr>
          <w:sz w:val="20"/>
          <w:szCs w:val="20"/>
          <w:lang w:val="fr-FR"/>
        </w:rPr>
        <w:t>Le nombre de premières injections à réaliser ;</w:t>
      </w:r>
    </w:p>
    <w:p w14:paraId="59192B69" w14:textId="77777777" w:rsidR="00971895" w:rsidRDefault="00365BE1">
      <w:pPr>
        <w:pStyle w:val="00Body"/>
        <w:numPr>
          <w:ilvl w:val="0"/>
          <w:numId w:val="48"/>
        </w:numPr>
        <w:spacing w:before="0" w:after="0" w:line="275" w:lineRule="auto"/>
        <w:ind w:left="567" w:hanging="284"/>
        <w:jc w:val="both"/>
        <w:rPr>
          <w:sz w:val="20"/>
          <w:szCs w:val="20"/>
          <w:lang w:val="fr-FR"/>
        </w:rPr>
      </w:pPr>
      <w:r>
        <w:rPr>
          <w:sz w:val="20"/>
          <w:szCs w:val="20"/>
          <w:lang w:val="fr-FR"/>
        </w:rPr>
        <w:t>Le nombre de secondes injections à réaliser.</w:t>
      </w:r>
    </w:p>
    <w:p w14:paraId="35A34E1E" w14:textId="77777777" w:rsidR="002B6E79" w:rsidRDefault="002B6E79" w:rsidP="002B6E79">
      <w:pPr>
        <w:pStyle w:val="00Body"/>
        <w:spacing w:before="0" w:after="0" w:line="275" w:lineRule="auto"/>
        <w:ind w:left="284"/>
        <w:jc w:val="both"/>
        <w:rPr>
          <w:sz w:val="20"/>
          <w:szCs w:val="20"/>
          <w:lang w:val="fr-FR"/>
        </w:rPr>
      </w:pPr>
    </w:p>
    <w:p w14:paraId="54F8AFDC" w14:textId="77777777" w:rsidR="0040318B" w:rsidRDefault="0040318B">
      <w:pPr>
        <w:pStyle w:val="00Body"/>
        <w:numPr>
          <w:ilvl w:val="0"/>
          <w:numId w:val="47"/>
        </w:numPr>
        <w:spacing w:before="0" w:after="0" w:line="275" w:lineRule="auto"/>
        <w:ind w:left="284" w:hanging="284"/>
        <w:jc w:val="both"/>
        <w:rPr>
          <w:sz w:val="20"/>
          <w:szCs w:val="20"/>
          <w:lang w:val="fr-FR"/>
        </w:rPr>
      </w:pPr>
      <w:r>
        <w:rPr>
          <w:sz w:val="20"/>
          <w:szCs w:val="20"/>
          <w:lang w:val="fr-FR"/>
        </w:rPr>
        <w:t>Il était clairement indiqué</w:t>
      </w:r>
      <w:r w:rsidR="002B6E79">
        <w:rPr>
          <w:sz w:val="20"/>
          <w:szCs w:val="20"/>
          <w:lang w:val="fr-FR"/>
        </w:rPr>
        <w:t xml:space="preserve"> dans la note du 14 janvier</w:t>
      </w:r>
      <w:r>
        <w:rPr>
          <w:sz w:val="20"/>
          <w:szCs w:val="20"/>
          <w:lang w:val="fr-FR"/>
        </w:rPr>
        <w:t xml:space="preserve">, et il est rappelé : </w:t>
      </w:r>
    </w:p>
    <w:p w14:paraId="637F7864" w14:textId="77777777" w:rsidR="0040318B" w:rsidRDefault="0040318B" w:rsidP="0040318B">
      <w:pPr>
        <w:pStyle w:val="00Body"/>
        <w:numPr>
          <w:ilvl w:val="0"/>
          <w:numId w:val="48"/>
        </w:numPr>
        <w:spacing w:before="0" w:after="0" w:line="275" w:lineRule="auto"/>
        <w:ind w:left="567" w:hanging="284"/>
        <w:jc w:val="both"/>
        <w:rPr>
          <w:sz w:val="20"/>
          <w:szCs w:val="20"/>
          <w:lang w:val="fr-FR"/>
        </w:rPr>
      </w:pPr>
      <w:r>
        <w:rPr>
          <w:sz w:val="20"/>
          <w:szCs w:val="20"/>
          <w:lang w:val="fr-FR"/>
        </w:rPr>
        <w:t xml:space="preserve">Que le nombre d’injections indiqué pour chaque semaine constitue </w:t>
      </w:r>
      <w:r w:rsidRPr="002B6E79">
        <w:rPr>
          <w:sz w:val="20"/>
          <w:szCs w:val="20"/>
          <w:u w:val="single"/>
          <w:lang w:val="fr-FR"/>
        </w:rPr>
        <w:t>un maximum à ne dépasser en aucun cas</w:t>
      </w:r>
      <w:r>
        <w:rPr>
          <w:sz w:val="20"/>
          <w:szCs w:val="20"/>
          <w:lang w:val="fr-FR"/>
        </w:rPr>
        <w:t>, sauf à mettre en péril les deuxièmes injections ;</w:t>
      </w:r>
    </w:p>
    <w:p w14:paraId="2C3A7CA1" w14:textId="54A4CED2" w:rsidR="00971895" w:rsidRDefault="0040318B" w:rsidP="0040318B">
      <w:pPr>
        <w:pStyle w:val="00Body"/>
        <w:numPr>
          <w:ilvl w:val="0"/>
          <w:numId w:val="48"/>
        </w:numPr>
        <w:spacing w:before="0" w:after="0" w:line="275" w:lineRule="auto"/>
        <w:ind w:left="567" w:hanging="284"/>
        <w:jc w:val="both"/>
        <w:rPr>
          <w:sz w:val="20"/>
          <w:szCs w:val="20"/>
          <w:lang w:val="fr-FR"/>
        </w:rPr>
      </w:pPr>
      <w:r>
        <w:rPr>
          <w:sz w:val="20"/>
          <w:szCs w:val="20"/>
          <w:lang w:val="fr-FR"/>
        </w:rPr>
        <w:t xml:space="preserve">Que ce nombre d’injections </w:t>
      </w:r>
      <w:r w:rsidR="00365BE1">
        <w:rPr>
          <w:sz w:val="20"/>
          <w:szCs w:val="20"/>
          <w:lang w:val="fr-FR"/>
        </w:rPr>
        <w:t xml:space="preserve">correspond à l’activité de </w:t>
      </w:r>
      <w:r w:rsidR="00365BE1" w:rsidRPr="002B6E79">
        <w:rPr>
          <w:sz w:val="20"/>
          <w:szCs w:val="20"/>
          <w:u w:val="single"/>
          <w:lang w:val="fr-FR"/>
        </w:rPr>
        <w:t xml:space="preserve">l’ensemble des centres de vaccination desservis par l’établissement pivot ou </w:t>
      </w:r>
      <w:r w:rsidR="0007053C">
        <w:rPr>
          <w:sz w:val="20"/>
          <w:szCs w:val="20"/>
          <w:u w:val="single"/>
          <w:lang w:val="fr-FR"/>
        </w:rPr>
        <w:t xml:space="preserve">de </w:t>
      </w:r>
      <w:r w:rsidR="002B6E79">
        <w:rPr>
          <w:sz w:val="20"/>
          <w:szCs w:val="20"/>
          <w:u w:val="single"/>
          <w:lang w:val="fr-FR"/>
        </w:rPr>
        <w:t>tout</w:t>
      </w:r>
      <w:r w:rsidR="00365BE1" w:rsidRPr="002B6E79">
        <w:rPr>
          <w:sz w:val="20"/>
          <w:szCs w:val="20"/>
          <w:u w:val="single"/>
          <w:lang w:val="fr-FR"/>
        </w:rPr>
        <w:t xml:space="preserve"> autre lieu desservi par lui</w:t>
      </w:r>
      <w:r w:rsidR="00365BE1">
        <w:rPr>
          <w:sz w:val="20"/>
          <w:szCs w:val="20"/>
          <w:lang w:val="fr-FR"/>
        </w:rPr>
        <w:t xml:space="preserve"> (autre établissement, clinique, personnels ou patients de l’établissement, EHPAD </w:t>
      </w:r>
      <w:r w:rsidR="00E10015">
        <w:rPr>
          <w:sz w:val="20"/>
          <w:szCs w:val="20"/>
          <w:lang w:val="fr-FR"/>
        </w:rPr>
        <w:t>et autres établissements desservis par le</w:t>
      </w:r>
      <w:r w:rsidR="00365BE1">
        <w:rPr>
          <w:sz w:val="20"/>
          <w:szCs w:val="20"/>
          <w:lang w:val="fr-FR"/>
        </w:rPr>
        <w:t xml:space="preserve"> flux B). </w:t>
      </w:r>
    </w:p>
    <w:p w14:paraId="5ACC0055" w14:textId="77777777" w:rsidR="0040318B" w:rsidRDefault="0040318B" w:rsidP="0040318B">
      <w:pPr>
        <w:pStyle w:val="00Body"/>
        <w:spacing w:before="0" w:after="0" w:line="275" w:lineRule="auto"/>
        <w:ind w:left="283"/>
        <w:jc w:val="both"/>
        <w:rPr>
          <w:sz w:val="20"/>
          <w:szCs w:val="20"/>
          <w:lang w:val="fr-FR"/>
        </w:rPr>
      </w:pPr>
    </w:p>
    <w:p w14:paraId="5F35A088" w14:textId="77777777" w:rsidR="0040318B" w:rsidRPr="002B6E79" w:rsidRDefault="0040318B">
      <w:pPr>
        <w:pStyle w:val="00Body"/>
        <w:numPr>
          <w:ilvl w:val="0"/>
          <w:numId w:val="47"/>
        </w:numPr>
        <w:spacing w:before="0" w:after="0" w:line="275" w:lineRule="auto"/>
        <w:ind w:left="284" w:hanging="284"/>
        <w:jc w:val="both"/>
        <w:rPr>
          <w:sz w:val="20"/>
          <w:szCs w:val="20"/>
          <w:lang w:val="fr-FR"/>
        </w:rPr>
      </w:pPr>
      <w:r w:rsidRPr="002B6E79">
        <w:rPr>
          <w:sz w:val="20"/>
          <w:szCs w:val="20"/>
          <w:lang w:val="fr-FR"/>
        </w:rPr>
        <w:t xml:space="preserve">Ces instructions très précises faisaient </w:t>
      </w:r>
      <w:r w:rsidR="002B6E79">
        <w:rPr>
          <w:sz w:val="20"/>
          <w:szCs w:val="20"/>
          <w:lang w:val="fr-FR"/>
        </w:rPr>
        <w:t>ainsi</w:t>
      </w:r>
      <w:r w:rsidR="002B6E79" w:rsidRPr="002B6E79">
        <w:rPr>
          <w:sz w:val="20"/>
          <w:szCs w:val="20"/>
          <w:lang w:val="fr-FR"/>
        </w:rPr>
        <w:t xml:space="preserve"> </w:t>
      </w:r>
      <w:r w:rsidRPr="002B6E79">
        <w:rPr>
          <w:sz w:val="20"/>
          <w:szCs w:val="20"/>
          <w:lang w:val="fr-FR"/>
        </w:rPr>
        <w:t>obstacle</w:t>
      </w:r>
      <w:r w:rsidR="002B6E79" w:rsidRPr="002B6E79">
        <w:rPr>
          <w:sz w:val="20"/>
          <w:szCs w:val="20"/>
          <w:lang w:val="fr-FR"/>
        </w:rPr>
        <w:t xml:space="preserve"> au fait de </w:t>
      </w:r>
      <w:r w:rsidRPr="002B6E79">
        <w:rPr>
          <w:sz w:val="20"/>
          <w:szCs w:val="20"/>
          <w:lang w:val="fr-FR"/>
        </w:rPr>
        <w:t>:</w:t>
      </w:r>
    </w:p>
    <w:p w14:paraId="275C7193" w14:textId="77777777" w:rsidR="0040318B" w:rsidRDefault="002B6E79" w:rsidP="0040318B">
      <w:pPr>
        <w:pStyle w:val="00Body"/>
        <w:numPr>
          <w:ilvl w:val="0"/>
          <w:numId w:val="48"/>
        </w:numPr>
        <w:spacing w:before="0" w:after="0" w:line="275" w:lineRule="auto"/>
        <w:ind w:left="567" w:hanging="284"/>
        <w:jc w:val="both"/>
        <w:rPr>
          <w:sz w:val="20"/>
          <w:szCs w:val="20"/>
          <w:lang w:val="fr-FR"/>
        </w:rPr>
      </w:pPr>
      <w:r>
        <w:rPr>
          <w:sz w:val="20"/>
          <w:szCs w:val="20"/>
          <w:lang w:val="fr-FR"/>
        </w:rPr>
        <w:t>Fixer un nombre de rendez-vous supérieur au volume d’injections indiqué pour chaque semaine;</w:t>
      </w:r>
    </w:p>
    <w:p w14:paraId="207DEB06" w14:textId="519F22CF" w:rsidR="002B6E79" w:rsidRDefault="002B6E79" w:rsidP="0040318B">
      <w:pPr>
        <w:pStyle w:val="00Body"/>
        <w:numPr>
          <w:ilvl w:val="0"/>
          <w:numId w:val="48"/>
        </w:numPr>
        <w:spacing w:before="0" w:after="0" w:line="275" w:lineRule="auto"/>
        <w:ind w:left="567" w:hanging="284"/>
        <w:jc w:val="both"/>
        <w:rPr>
          <w:sz w:val="20"/>
          <w:szCs w:val="20"/>
          <w:lang w:val="fr-FR"/>
        </w:rPr>
      </w:pPr>
      <w:r>
        <w:rPr>
          <w:sz w:val="20"/>
          <w:szCs w:val="20"/>
          <w:lang w:val="fr-FR"/>
        </w:rPr>
        <w:t xml:space="preserve">Fixer un nombre de rendez-vous qui ne tiendrait pas compte des autres vaccinations prévues (par exemple, traduire 5 000 premières injections possibles en 5 000 rendez-vous ouverts aux plus de 75 ans, sans tenir compte des vaccinations prévues dans les EHPAD </w:t>
      </w:r>
      <w:r w:rsidR="00E10015">
        <w:rPr>
          <w:sz w:val="20"/>
          <w:szCs w:val="20"/>
          <w:lang w:val="fr-FR"/>
        </w:rPr>
        <w:t xml:space="preserve">et autres établissements desservis par le </w:t>
      </w:r>
      <w:r>
        <w:rPr>
          <w:sz w:val="20"/>
          <w:szCs w:val="20"/>
          <w:lang w:val="fr-FR"/>
        </w:rPr>
        <w:t>flux B) ;</w:t>
      </w:r>
    </w:p>
    <w:p w14:paraId="19ADF7C2" w14:textId="4346C8C7" w:rsidR="002B6E79" w:rsidRDefault="002B6E79" w:rsidP="0040318B">
      <w:pPr>
        <w:pStyle w:val="00Body"/>
        <w:numPr>
          <w:ilvl w:val="0"/>
          <w:numId w:val="48"/>
        </w:numPr>
        <w:spacing w:before="0" w:after="0" w:line="275" w:lineRule="auto"/>
        <w:ind w:left="567" w:hanging="284"/>
        <w:jc w:val="both"/>
        <w:rPr>
          <w:sz w:val="20"/>
          <w:szCs w:val="20"/>
          <w:lang w:val="fr-FR"/>
        </w:rPr>
      </w:pPr>
      <w:r>
        <w:rPr>
          <w:sz w:val="20"/>
          <w:szCs w:val="20"/>
          <w:lang w:val="fr-FR"/>
        </w:rPr>
        <w:t xml:space="preserve">Elaborer un plan de vaccination puisant largement dans les stocks </w:t>
      </w:r>
      <w:r w:rsidR="0007053C">
        <w:rPr>
          <w:sz w:val="20"/>
          <w:szCs w:val="20"/>
          <w:lang w:val="fr-FR"/>
        </w:rPr>
        <w:t xml:space="preserve">dès les premiers jours </w:t>
      </w:r>
      <w:r>
        <w:rPr>
          <w:sz w:val="20"/>
          <w:szCs w:val="20"/>
          <w:lang w:val="fr-FR"/>
        </w:rPr>
        <w:t xml:space="preserve">sans tenir compte du fait que les </w:t>
      </w:r>
      <w:r w:rsidR="00F613B1">
        <w:rPr>
          <w:sz w:val="20"/>
          <w:szCs w:val="20"/>
          <w:lang w:val="fr-FR"/>
        </w:rPr>
        <w:t>deuxièmes</w:t>
      </w:r>
      <w:r>
        <w:rPr>
          <w:sz w:val="20"/>
          <w:szCs w:val="20"/>
          <w:lang w:val="fr-FR"/>
        </w:rPr>
        <w:t xml:space="preserve"> injections </w:t>
      </w:r>
      <w:r w:rsidR="00F613B1">
        <w:rPr>
          <w:sz w:val="20"/>
          <w:szCs w:val="20"/>
          <w:lang w:val="fr-FR"/>
        </w:rPr>
        <w:t xml:space="preserve">devront </w:t>
      </w:r>
      <w:r>
        <w:rPr>
          <w:sz w:val="20"/>
          <w:szCs w:val="20"/>
          <w:lang w:val="fr-FR"/>
        </w:rPr>
        <w:t xml:space="preserve">être réalisées 4 semaines plus tard. </w:t>
      </w:r>
    </w:p>
    <w:p w14:paraId="42069841" w14:textId="77777777" w:rsidR="00971895" w:rsidRDefault="00971895">
      <w:pPr>
        <w:pStyle w:val="00Body"/>
        <w:spacing w:before="0" w:after="0" w:line="275" w:lineRule="auto"/>
        <w:ind w:left="284"/>
        <w:rPr>
          <w:b/>
          <w:sz w:val="20"/>
          <w:szCs w:val="20"/>
          <w:u w:val="single"/>
          <w:lang w:val="fr-FR"/>
        </w:rPr>
      </w:pPr>
    </w:p>
    <w:p w14:paraId="120BDA18" w14:textId="0D91564F" w:rsidR="008A6F43" w:rsidRDefault="0007053C" w:rsidP="002B6E79">
      <w:pPr>
        <w:pStyle w:val="00Body"/>
        <w:numPr>
          <w:ilvl w:val="0"/>
          <w:numId w:val="47"/>
        </w:numPr>
        <w:spacing w:before="0" w:after="0" w:line="275" w:lineRule="auto"/>
        <w:ind w:left="284" w:hanging="284"/>
        <w:jc w:val="both"/>
        <w:rPr>
          <w:sz w:val="20"/>
          <w:szCs w:val="20"/>
          <w:lang w:val="fr-FR"/>
        </w:rPr>
      </w:pPr>
      <w:r>
        <w:rPr>
          <w:sz w:val="20"/>
          <w:szCs w:val="20"/>
          <w:lang w:val="fr-FR"/>
        </w:rPr>
        <w:t>Un</w:t>
      </w:r>
      <w:r w:rsidR="002B6E79">
        <w:rPr>
          <w:sz w:val="20"/>
          <w:szCs w:val="20"/>
          <w:lang w:val="fr-FR"/>
        </w:rPr>
        <w:t xml:space="preserve"> fichier mis à jour est communiqué ce 21 janvier. Il </w:t>
      </w:r>
      <w:r w:rsidR="008A6F43">
        <w:rPr>
          <w:sz w:val="20"/>
          <w:szCs w:val="20"/>
          <w:lang w:val="fr-FR"/>
        </w:rPr>
        <w:t>intègre notamment les changements liés :</w:t>
      </w:r>
    </w:p>
    <w:p w14:paraId="6BBA9472" w14:textId="77777777" w:rsidR="002B6E79" w:rsidRDefault="008A6F43" w:rsidP="008A6F43">
      <w:pPr>
        <w:pStyle w:val="00Body"/>
        <w:numPr>
          <w:ilvl w:val="0"/>
          <w:numId w:val="48"/>
        </w:numPr>
        <w:spacing w:before="0" w:after="0" w:line="275" w:lineRule="auto"/>
        <w:ind w:left="567" w:hanging="284"/>
        <w:jc w:val="both"/>
        <w:rPr>
          <w:sz w:val="20"/>
          <w:szCs w:val="20"/>
          <w:lang w:val="fr-FR"/>
        </w:rPr>
      </w:pPr>
      <w:r>
        <w:rPr>
          <w:sz w:val="20"/>
          <w:szCs w:val="20"/>
          <w:lang w:val="fr-FR"/>
        </w:rPr>
        <w:t>Aux baisses Pfizer évoquées supra ;</w:t>
      </w:r>
    </w:p>
    <w:p w14:paraId="6FDDCF6C" w14:textId="597AF4AE" w:rsidR="008A6F43" w:rsidRDefault="008A6F43" w:rsidP="008A6F43">
      <w:pPr>
        <w:pStyle w:val="00Body"/>
        <w:numPr>
          <w:ilvl w:val="0"/>
          <w:numId w:val="48"/>
        </w:numPr>
        <w:spacing w:before="0" w:after="0" w:line="275" w:lineRule="auto"/>
        <w:ind w:left="567" w:hanging="284"/>
        <w:jc w:val="both"/>
        <w:rPr>
          <w:sz w:val="20"/>
          <w:szCs w:val="20"/>
          <w:lang w:val="fr-FR"/>
        </w:rPr>
      </w:pPr>
      <w:r>
        <w:rPr>
          <w:sz w:val="20"/>
          <w:szCs w:val="20"/>
          <w:lang w:val="fr-FR"/>
        </w:rPr>
        <w:t>Aux dépassements observés dans un nombre limité de départements, qui force</w:t>
      </w:r>
      <w:r w:rsidR="00F613B1">
        <w:rPr>
          <w:sz w:val="20"/>
          <w:szCs w:val="20"/>
          <w:lang w:val="fr-FR"/>
        </w:rPr>
        <w:t>nt</w:t>
      </w:r>
      <w:r>
        <w:rPr>
          <w:sz w:val="20"/>
          <w:szCs w:val="20"/>
          <w:lang w:val="fr-FR"/>
        </w:rPr>
        <w:t xml:space="preserve"> à avancer le nombre de premières injections dans ces départements (aboutissant à des volumes de premières injections plus faibles dans les semaines</w:t>
      </w:r>
      <w:r w:rsidR="00F613B1">
        <w:rPr>
          <w:sz w:val="20"/>
          <w:szCs w:val="20"/>
          <w:lang w:val="fr-FR"/>
        </w:rPr>
        <w:t xml:space="preserve"> suivantes</w:t>
      </w:r>
      <w:r>
        <w:rPr>
          <w:sz w:val="20"/>
          <w:szCs w:val="20"/>
          <w:lang w:val="fr-FR"/>
        </w:rPr>
        <w:t xml:space="preserve">). </w:t>
      </w:r>
    </w:p>
    <w:p w14:paraId="2B6B65BC" w14:textId="77777777" w:rsidR="00AE1DC2" w:rsidRDefault="00AE1DC2" w:rsidP="00AE1DC2">
      <w:pPr>
        <w:pStyle w:val="00Body"/>
        <w:spacing w:before="0" w:after="0" w:line="275" w:lineRule="auto"/>
        <w:rPr>
          <w:b/>
          <w:sz w:val="20"/>
          <w:szCs w:val="20"/>
          <w:u w:val="single"/>
          <w:lang w:val="fr-FR"/>
        </w:rPr>
      </w:pPr>
    </w:p>
    <w:p w14:paraId="522AAEBE" w14:textId="3FF71171" w:rsidR="00AE1DC2" w:rsidRDefault="00AE1DC2" w:rsidP="00AE1DC2">
      <w:pPr>
        <w:pStyle w:val="00Body"/>
        <w:numPr>
          <w:ilvl w:val="0"/>
          <w:numId w:val="47"/>
        </w:numPr>
        <w:spacing w:before="0" w:after="0" w:line="275" w:lineRule="auto"/>
        <w:ind w:left="284" w:hanging="284"/>
        <w:jc w:val="both"/>
        <w:rPr>
          <w:sz w:val="20"/>
          <w:szCs w:val="20"/>
          <w:lang w:val="fr-FR"/>
        </w:rPr>
      </w:pPr>
      <w:r>
        <w:rPr>
          <w:sz w:val="20"/>
          <w:szCs w:val="20"/>
          <w:lang w:val="fr-FR"/>
        </w:rPr>
        <w:t xml:space="preserve">Comme dans les fichiers diffusés le 14 janvier, chaque ARS dispose </w:t>
      </w:r>
      <w:r w:rsidR="00F613B1">
        <w:rPr>
          <w:sz w:val="20"/>
          <w:szCs w:val="20"/>
          <w:lang w:val="fr-FR"/>
        </w:rPr>
        <w:t>donc</w:t>
      </w:r>
      <w:r>
        <w:rPr>
          <w:sz w:val="20"/>
          <w:szCs w:val="20"/>
          <w:lang w:val="fr-FR"/>
        </w:rPr>
        <w:t> </w:t>
      </w:r>
      <w:r w:rsidR="00F613B1">
        <w:rPr>
          <w:sz w:val="20"/>
          <w:szCs w:val="20"/>
          <w:lang w:val="fr-FR"/>
        </w:rPr>
        <w:t xml:space="preserve">de la visibilité </w:t>
      </w:r>
      <w:r>
        <w:rPr>
          <w:sz w:val="20"/>
          <w:szCs w:val="20"/>
          <w:lang w:val="fr-FR"/>
        </w:rPr>
        <w:t>:</w:t>
      </w:r>
    </w:p>
    <w:p w14:paraId="4A7E99DF" w14:textId="3B9FD3C8" w:rsidR="00AE1DC2" w:rsidRDefault="00F613B1" w:rsidP="00AE1DC2">
      <w:pPr>
        <w:pStyle w:val="00Body"/>
        <w:numPr>
          <w:ilvl w:val="0"/>
          <w:numId w:val="48"/>
        </w:numPr>
        <w:spacing w:before="0" w:after="0" w:line="275" w:lineRule="auto"/>
        <w:ind w:left="567" w:hanging="284"/>
        <w:jc w:val="both"/>
        <w:rPr>
          <w:sz w:val="20"/>
          <w:szCs w:val="20"/>
          <w:lang w:val="fr-FR"/>
        </w:rPr>
      </w:pPr>
      <w:r>
        <w:rPr>
          <w:sz w:val="20"/>
          <w:szCs w:val="20"/>
          <w:lang w:val="fr-FR"/>
        </w:rPr>
        <w:t>S</w:t>
      </w:r>
      <w:r w:rsidR="00AE1DC2">
        <w:rPr>
          <w:sz w:val="20"/>
          <w:szCs w:val="20"/>
          <w:lang w:val="fr-FR"/>
        </w:rPr>
        <w:t>ur ses livraisons de vaccins Pfizer ;</w:t>
      </w:r>
    </w:p>
    <w:p w14:paraId="75E1DA99" w14:textId="57DE03B3" w:rsidR="00AE1DC2" w:rsidRDefault="00AE1DC2" w:rsidP="00AE1DC2">
      <w:pPr>
        <w:pStyle w:val="00Body"/>
        <w:numPr>
          <w:ilvl w:val="0"/>
          <w:numId w:val="48"/>
        </w:numPr>
        <w:spacing w:before="0" w:after="0" w:line="275" w:lineRule="auto"/>
        <w:ind w:left="567" w:hanging="284"/>
        <w:jc w:val="both"/>
        <w:rPr>
          <w:sz w:val="20"/>
          <w:szCs w:val="20"/>
          <w:lang w:val="fr-FR"/>
        </w:rPr>
      </w:pPr>
      <w:r>
        <w:rPr>
          <w:sz w:val="20"/>
          <w:szCs w:val="20"/>
          <w:lang w:val="fr-FR"/>
        </w:rPr>
        <w:t>Sur le volume de premières injections qu’</w:t>
      </w:r>
      <w:r w:rsidR="00F613B1">
        <w:rPr>
          <w:sz w:val="20"/>
          <w:szCs w:val="20"/>
          <w:lang w:val="fr-FR"/>
        </w:rPr>
        <w:t>elle</w:t>
      </w:r>
      <w:r>
        <w:rPr>
          <w:sz w:val="20"/>
          <w:szCs w:val="20"/>
          <w:lang w:val="fr-FR"/>
        </w:rPr>
        <w:t xml:space="preserve"> peut programmer ;</w:t>
      </w:r>
    </w:p>
    <w:p w14:paraId="748C1092" w14:textId="7B40E0C9" w:rsidR="00AE1DC2" w:rsidRDefault="00AE1DC2" w:rsidP="00AE1DC2">
      <w:pPr>
        <w:pStyle w:val="00Body"/>
        <w:numPr>
          <w:ilvl w:val="0"/>
          <w:numId w:val="48"/>
        </w:numPr>
        <w:spacing w:before="0" w:after="0" w:line="275" w:lineRule="auto"/>
        <w:ind w:left="567" w:hanging="284"/>
        <w:jc w:val="both"/>
        <w:rPr>
          <w:sz w:val="20"/>
          <w:szCs w:val="20"/>
          <w:lang w:val="fr-FR"/>
        </w:rPr>
      </w:pPr>
      <w:r>
        <w:rPr>
          <w:sz w:val="20"/>
          <w:szCs w:val="20"/>
          <w:lang w:val="fr-FR"/>
        </w:rPr>
        <w:t>Sur le volume de deuxièmes injections qui en découle.</w:t>
      </w:r>
    </w:p>
    <w:p w14:paraId="3C64ADF2" w14:textId="77777777" w:rsidR="00AE1DC2" w:rsidRDefault="00AE1DC2" w:rsidP="00AE1DC2">
      <w:pPr>
        <w:pStyle w:val="00Body"/>
        <w:spacing w:before="0" w:after="0" w:line="275" w:lineRule="auto"/>
        <w:ind w:left="567"/>
        <w:jc w:val="both"/>
        <w:rPr>
          <w:sz w:val="20"/>
          <w:szCs w:val="20"/>
          <w:lang w:val="fr-FR"/>
        </w:rPr>
      </w:pPr>
    </w:p>
    <w:p w14:paraId="7D71EEF5" w14:textId="48397254" w:rsidR="00AE1DC2" w:rsidRDefault="00AE1DC2" w:rsidP="00AE1DC2">
      <w:pPr>
        <w:pStyle w:val="00Body"/>
        <w:numPr>
          <w:ilvl w:val="0"/>
          <w:numId w:val="47"/>
        </w:numPr>
        <w:spacing w:before="0" w:after="0" w:line="275" w:lineRule="auto"/>
        <w:ind w:left="284" w:hanging="284"/>
        <w:jc w:val="both"/>
        <w:rPr>
          <w:sz w:val="20"/>
          <w:szCs w:val="20"/>
          <w:lang w:val="fr-FR"/>
        </w:rPr>
      </w:pPr>
      <w:r w:rsidRPr="00AE1DC2">
        <w:rPr>
          <w:b/>
          <w:bCs/>
          <w:sz w:val="20"/>
          <w:szCs w:val="20"/>
          <w:lang w:val="fr-FR"/>
        </w:rPr>
        <w:t xml:space="preserve">Chaque ARS doit </w:t>
      </w:r>
      <w:r w:rsidR="0007053C">
        <w:rPr>
          <w:b/>
          <w:bCs/>
          <w:sz w:val="20"/>
          <w:szCs w:val="20"/>
          <w:lang w:val="fr-FR"/>
        </w:rPr>
        <w:t>re-</w:t>
      </w:r>
      <w:r w:rsidRPr="00AE1DC2">
        <w:rPr>
          <w:b/>
          <w:bCs/>
          <w:sz w:val="20"/>
          <w:szCs w:val="20"/>
          <w:lang w:val="fr-FR"/>
        </w:rPr>
        <w:t xml:space="preserve">ventiler </w:t>
      </w:r>
      <w:r w:rsidR="00F613B1" w:rsidRPr="00AE1DC2">
        <w:rPr>
          <w:b/>
          <w:bCs/>
          <w:sz w:val="20"/>
          <w:szCs w:val="20"/>
          <w:lang w:val="fr-FR"/>
        </w:rPr>
        <w:t xml:space="preserve">par centre de vaccination </w:t>
      </w:r>
      <w:r w:rsidRPr="00AE1DC2">
        <w:rPr>
          <w:b/>
          <w:bCs/>
          <w:sz w:val="20"/>
          <w:szCs w:val="20"/>
          <w:lang w:val="fr-FR"/>
        </w:rPr>
        <w:t xml:space="preserve">le volume de premières injections </w:t>
      </w:r>
      <w:r w:rsidR="00F613B1">
        <w:rPr>
          <w:b/>
          <w:bCs/>
          <w:sz w:val="20"/>
          <w:szCs w:val="20"/>
          <w:lang w:val="fr-FR"/>
        </w:rPr>
        <w:t xml:space="preserve">alloué à </w:t>
      </w:r>
      <w:r w:rsidRPr="00AE1DC2">
        <w:rPr>
          <w:b/>
          <w:bCs/>
          <w:sz w:val="20"/>
          <w:szCs w:val="20"/>
          <w:lang w:val="fr-FR"/>
        </w:rPr>
        <w:t xml:space="preserve">chaque établissement </w:t>
      </w:r>
      <w:r w:rsidR="00F613B1">
        <w:rPr>
          <w:b/>
          <w:bCs/>
          <w:sz w:val="20"/>
          <w:szCs w:val="20"/>
          <w:lang w:val="fr-FR"/>
        </w:rPr>
        <w:t>pivot</w:t>
      </w:r>
      <w:r>
        <w:rPr>
          <w:sz w:val="20"/>
          <w:szCs w:val="20"/>
          <w:lang w:val="fr-FR"/>
        </w:rPr>
        <w:t xml:space="preserve">, après avoir retranché les volumes nécessaires </w:t>
      </w:r>
      <w:r w:rsidR="00F613B1">
        <w:rPr>
          <w:sz w:val="20"/>
          <w:szCs w:val="20"/>
          <w:lang w:val="fr-FR"/>
        </w:rPr>
        <w:t xml:space="preserve">(i) </w:t>
      </w:r>
      <w:r>
        <w:rPr>
          <w:sz w:val="20"/>
          <w:szCs w:val="20"/>
          <w:lang w:val="fr-FR"/>
        </w:rPr>
        <w:t xml:space="preserve">à la couverture des EHPAD </w:t>
      </w:r>
      <w:r w:rsidR="00E10015">
        <w:rPr>
          <w:sz w:val="20"/>
          <w:szCs w:val="20"/>
          <w:lang w:val="fr-FR"/>
        </w:rPr>
        <w:t xml:space="preserve">et autres établissements relevant </w:t>
      </w:r>
      <w:r>
        <w:rPr>
          <w:sz w:val="20"/>
          <w:szCs w:val="20"/>
          <w:lang w:val="fr-FR"/>
        </w:rPr>
        <w:t xml:space="preserve">du flux B et </w:t>
      </w:r>
      <w:r w:rsidR="00F613B1">
        <w:rPr>
          <w:sz w:val="20"/>
          <w:szCs w:val="20"/>
          <w:lang w:val="fr-FR"/>
        </w:rPr>
        <w:t xml:space="preserve">(ii) </w:t>
      </w:r>
      <w:r>
        <w:rPr>
          <w:sz w:val="20"/>
          <w:szCs w:val="20"/>
          <w:lang w:val="fr-FR"/>
        </w:rPr>
        <w:t xml:space="preserve">aux autres publics hors rendez-vous. En aucun cas, la somme des allocations des centres et des volumes hors rendez-vous ne peut dépasser le nombre maximum de premières injections autorisées. </w:t>
      </w:r>
    </w:p>
    <w:p w14:paraId="16E9293D" w14:textId="77777777" w:rsidR="00AE1DC2" w:rsidRDefault="00AE1DC2" w:rsidP="00AE1DC2">
      <w:pPr>
        <w:pStyle w:val="00Body"/>
        <w:spacing w:before="0" w:after="0" w:line="275" w:lineRule="auto"/>
        <w:ind w:left="284"/>
        <w:jc w:val="both"/>
        <w:rPr>
          <w:sz w:val="20"/>
          <w:szCs w:val="20"/>
          <w:lang w:val="fr-FR"/>
        </w:rPr>
      </w:pPr>
    </w:p>
    <w:p w14:paraId="09DFC2EF" w14:textId="67A116B1" w:rsidR="00AE1DC2" w:rsidRDefault="00AE1DC2" w:rsidP="00AE1DC2">
      <w:pPr>
        <w:pStyle w:val="00Body"/>
        <w:numPr>
          <w:ilvl w:val="0"/>
          <w:numId w:val="47"/>
        </w:numPr>
        <w:spacing w:before="0" w:after="0" w:line="275" w:lineRule="auto"/>
        <w:ind w:left="284" w:hanging="284"/>
        <w:jc w:val="both"/>
        <w:rPr>
          <w:sz w:val="20"/>
          <w:szCs w:val="20"/>
          <w:lang w:val="fr-FR"/>
        </w:rPr>
      </w:pPr>
      <w:r>
        <w:rPr>
          <w:sz w:val="20"/>
          <w:szCs w:val="20"/>
          <w:lang w:val="fr-FR"/>
        </w:rPr>
        <w:t>Chaque semaine, le fichier mis à jour sera transmis aux ARS pour revue et validation définitive avant le mercredi. Il revient ensuite à chaque ARS</w:t>
      </w:r>
      <w:r w:rsidR="0007053C">
        <w:rPr>
          <w:sz w:val="20"/>
          <w:szCs w:val="20"/>
          <w:lang w:val="fr-FR"/>
        </w:rPr>
        <w:t xml:space="preserve"> au niveau départemental</w:t>
      </w:r>
      <w:r>
        <w:rPr>
          <w:sz w:val="20"/>
          <w:szCs w:val="20"/>
          <w:lang w:val="fr-FR"/>
        </w:rPr>
        <w:t xml:space="preserve"> d’indiquer sa ventilation par centre dans l’outil AtlaSanté chaque jeudi soir au plus tard. </w:t>
      </w:r>
      <w:r w:rsidR="0007053C">
        <w:rPr>
          <w:sz w:val="20"/>
          <w:szCs w:val="20"/>
          <w:lang w:val="fr-FR"/>
        </w:rPr>
        <w:t xml:space="preserve">Le niveau départemental doit, pour ce faire, réunir les responsables de centres afin de leur présenter cette ventilation. </w:t>
      </w:r>
      <w:r w:rsidR="007D5440">
        <w:rPr>
          <w:sz w:val="20"/>
          <w:szCs w:val="20"/>
          <w:lang w:val="fr-FR"/>
        </w:rPr>
        <w:t>Cette ventilation doit notamment permettre d’offrir une transparence très large sur :</w:t>
      </w:r>
    </w:p>
    <w:p w14:paraId="68460005" w14:textId="210A57A7" w:rsidR="007D5440" w:rsidRDefault="007D5440" w:rsidP="007D5440">
      <w:pPr>
        <w:pStyle w:val="00Body"/>
        <w:numPr>
          <w:ilvl w:val="0"/>
          <w:numId w:val="48"/>
        </w:numPr>
        <w:spacing w:before="0" w:after="0" w:line="275" w:lineRule="auto"/>
        <w:ind w:left="567" w:hanging="284"/>
        <w:jc w:val="both"/>
        <w:rPr>
          <w:sz w:val="20"/>
          <w:szCs w:val="20"/>
          <w:lang w:val="fr-FR"/>
        </w:rPr>
      </w:pPr>
      <w:r>
        <w:rPr>
          <w:sz w:val="20"/>
          <w:szCs w:val="20"/>
          <w:lang w:val="fr-FR"/>
        </w:rPr>
        <w:t>Le nombre de doses alloué</w:t>
      </w:r>
      <w:r w:rsidR="00F613B1">
        <w:rPr>
          <w:sz w:val="20"/>
          <w:szCs w:val="20"/>
          <w:lang w:val="fr-FR"/>
        </w:rPr>
        <w:t>es</w:t>
      </w:r>
      <w:r>
        <w:rPr>
          <w:sz w:val="20"/>
          <w:szCs w:val="20"/>
          <w:lang w:val="fr-FR"/>
        </w:rPr>
        <w:t xml:space="preserve"> à chaque établissement pivot ;</w:t>
      </w:r>
    </w:p>
    <w:p w14:paraId="607BBEAB" w14:textId="092F7086" w:rsidR="007D5440" w:rsidRDefault="007D5440" w:rsidP="007D5440">
      <w:pPr>
        <w:pStyle w:val="00Body"/>
        <w:numPr>
          <w:ilvl w:val="0"/>
          <w:numId w:val="48"/>
        </w:numPr>
        <w:spacing w:before="0" w:after="0" w:line="275" w:lineRule="auto"/>
        <w:ind w:left="567" w:hanging="284"/>
        <w:jc w:val="both"/>
        <w:rPr>
          <w:sz w:val="20"/>
          <w:szCs w:val="20"/>
          <w:lang w:val="fr-FR"/>
        </w:rPr>
      </w:pPr>
      <w:r>
        <w:rPr>
          <w:sz w:val="20"/>
          <w:szCs w:val="20"/>
          <w:lang w:val="fr-FR"/>
        </w:rPr>
        <w:t>La ventilation de ces doses par centre</w:t>
      </w:r>
      <w:r w:rsidR="0007053C">
        <w:rPr>
          <w:sz w:val="20"/>
          <w:szCs w:val="20"/>
          <w:lang w:val="fr-FR"/>
        </w:rPr>
        <w:t xml:space="preserve"> ou autre lie</w:t>
      </w:r>
      <w:r w:rsidR="00F613B1">
        <w:rPr>
          <w:sz w:val="20"/>
          <w:szCs w:val="20"/>
          <w:lang w:val="fr-FR"/>
        </w:rPr>
        <w:t>u</w:t>
      </w:r>
      <w:r w:rsidR="0007053C">
        <w:rPr>
          <w:sz w:val="20"/>
          <w:szCs w:val="20"/>
          <w:lang w:val="fr-FR"/>
        </w:rPr>
        <w:t xml:space="preserve"> de vaccination (sites mobiles, EHPAD du flux B, autres établissements de santé)</w:t>
      </w:r>
      <w:r>
        <w:rPr>
          <w:sz w:val="20"/>
          <w:szCs w:val="20"/>
          <w:lang w:val="fr-FR"/>
        </w:rPr>
        <w:t>.</w:t>
      </w:r>
    </w:p>
    <w:p w14:paraId="064E93D2" w14:textId="77777777" w:rsidR="007D5440" w:rsidRPr="00AE1DC2" w:rsidRDefault="007D5440" w:rsidP="007D5440">
      <w:pPr>
        <w:pStyle w:val="00Body"/>
        <w:spacing w:before="0" w:after="0" w:line="275" w:lineRule="auto"/>
        <w:ind w:left="284"/>
        <w:jc w:val="both"/>
        <w:rPr>
          <w:sz w:val="20"/>
          <w:szCs w:val="20"/>
          <w:lang w:val="fr-FR"/>
        </w:rPr>
      </w:pPr>
    </w:p>
    <w:p w14:paraId="0F898FC5" w14:textId="77777777" w:rsidR="008A6F43" w:rsidRDefault="007D5440">
      <w:pPr>
        <w:pStyle w:val="00Body"/>
        <w:numPr>
          <w:ilvl w:val="0"/>
          <w:numId w:val="46"/>
        </w:numPr>
        <w:spacing w:before="0" w:after="0" w:line="275" w:lineRule="auto"/>
        <w:ind w:left="284" w:hanging="284"/>
        <w:rPr>
          <w:b/>
          <w:sz w:val="20"/>
          <w:szCs w:val="20"/>
          <w:u w:val="single"/>
          <w:lang w:val="fr-FR"/>
        </w:rPr>
      </w:pPr>
      <w:r>
        <w:rPr>
          <w:b/>
          <w:sz w:val="20"/>
          <w:szCs w:val="20"/>
          <w:u w:val="single"/>
          <w:lang w:val="fr-FR"/>
        </w:rPr>
        <w:lastRenderedPageBreak/>
        <w:t>Actions à engager immédiatement pour renforcer la fiabilité du modèle utilisé</w:t>
      </w:r>
    </w:p>
    <w:p w14:paraId="2B5D400D" w14:textId="77777777" w:rsidR="008A6F43" w:rsidRDefault="008A6F43" w:rsidP="008A6F43">
      <w:pPr>
        <w:pStyle w:val="00Body"/>
        <w:spacing w:before="0" w:after="0" w:line="275" w:lineRule="auto"/>
        <w:rPr>
          <w:b/>
          <w:sz w:val="20"/>
          <w:szCs w:val="20"/>
          <w:u w:val="single"/>
          <w:lang w:val="fr-FR"/>
        </w:rPr>
      </w:pPr>
    </w:p>
    <w:p w14:paraId="336EF124" w14:textId="3C416987" w:rsidR="008A6F43" w:rsidRDefault="008A6F43" w:rsidP="008A6F43">
      <w:pPr>
        <w:pStyle w:val="00Body"/>
        <w:numPr>
          <w:ilvl w:val="0"/>
          <w:numId w:val="47"/>
        </w:numPr>
        <w:spacing w:before="0" w:after="0" w:line="275" w:lineRule="auto"/>
        <w:ind w:left="284" w:hanging="284"/>
        <w:jc w:val="both"/>
        <w:rPr>
          <w:sz w:val="20"/>
          <w:szCs w:val="20"/>
          <w:lang w:val="fr-FR"/>
        </w:rPr>
      </w:pPr>
      <w:r>
        <w:rPr>
          <w:sz w:val="20"/>
          <w:szCs w:val="20"/>
          <w:lang w:val="fr-FR"/>
        </w:rPr>
        <w:t xml:space="preserve">Le modèle utilisé vise à </w:t>
      </w:r>
      <w:r w:rsidR="00F613B1">
        <w:rPr>
          <w:sz w:val="20"/>
          <w:szCs w:val="20"/>
          <w:lang w:val="fr-FR"/>
        </w:rPr>
        <w:t xml:space="preserve">maximiser le volume </w:t>
      </w:r>
      <w:r>
        <w:rPr>
          <w:sz w:val="20"/>
          <w:szCs w:val="20"/>
          <w:lang w:val="fr-FR"/>
        </w:rPr>
        <w:t>de premières injections sans jamais menacer les deuxièmes injections, sur la base :</w:t>
      </w:r>
    </w:p>
    <w:p w14:paraId="4225B151" w14:textId="77777777" w:rsidR="008A6F43" w:rsidRDefault="008A6F43" w:rsidP="008A6F43">
      <w:pPr>
        <w:pStyle w:val="00Body"/>
        <w:numPr>
          <w:ilvl w:val="0"/>
          <w:numId w:val="48"/>
        </w:numPr>
        <w:spacing w:before="0" w:after="0" w:line="275" w:lineRule="auto"/>
        <w:ind w:left="567" w:hanging="284"/>
        <w:jc w:val="both"/>
        <w:rPr>
          <w:sz w:val="20"/>
          <w:szCs w:val="20"/>
          <w:lang w:val="fr-FR"/>
        </w:rPr>
      </w:pPr>
      <w:r>
        <w:rPr>
          <w:sz w:val="20"/>
          <w:szCs w:val="20"/>
          <w:lang w:val="fr-FR"/>
        </w:rPr>
        <w:t>Du stock connu dans chaque établissement pivot ;</w:t>
      </w:r>
    </w:p>
    <w:p w14:paraId="3B1055F4" w14:textId="77777777" w:rsidR="008A6F43" w:rsidRDefault="008A6F43" w:rsidP="008A6F43">
      <w:pPr>
        <w:pStyle w:val="00Body"/>
        <w:numPr>
          <w:ilvl w:val="0"/>
          <w:numId w:val="48"/>
        </w:numPr>
        <w:spacing w:before="0" w:after="0" w:line="275" w:lineRule="auto"/>
        <w:ind w:left="567" w:hanging="284"/>
        <w:jc w:val="both"/>
        <w:rPr>
          <w:sz w:val="20"/>
          <w:szCs w:val="20"/>
          <w:lang w:val="fr-FR"/>
        </w:rPr>
      </w:pPr>
      <w:r>
        <w:rPr>
          <w:sz w:val="20"/>
          <w:szCs w:val="20"/>
          <w:lang w:val="fr-FR"/>
        </w:rPr>
        <w:t>Des flux prévisionnels à destination de chaque établissement pivot.</w:t>
      </w:r>
    </w:p>
    <w:p w14:paraId="7CBE5032" w14:textId="77777777" w:rsidR="008A6F43" w:rsidRDefault="008A6F43" w:rsidP="008A6F43">
      <w:pPr>
        <w:pStyle w:val="00Body"/>
        <w:spacing w:before="0" w:after="0" w:line="275" w:lineRule="auto"/>
        <w:jc w:val="both"/>
        <w:rPr>
          <w:sz w:val="20"/>
          <w:szCs w:val="20"/>
          <w:lang w:val="fr-FR"/>
        </w:rPr>
      </w:pPr>
    </w:p>
    <w:p w14:paraId="2C179736" w14:textId="2D115D4D" w:rsidR="008A6F43" w:rsidRDefault="00D50656" w:rsidP="008A6F43">
      <w:pPr>
        <w:pStyle w:val="00Body"/>
        <w:numPr>
          <w:ilvl w:val="0"/>
          <w:numId w:val="47"/>
        </w:numPr>
        <w:spacing w:before="0" w:after="0" w:line="275" w:lineRule="auto"/>
        <w:ind w:left="284" w:hanging="284"/>
        <w:jc w:val="both"/>
        <w:rPr>
          <w:sz w:val="20"/>
          <w:szCs w:val="20"/>
          <w:lang w:val="fr-FR"/>
        </w:rPr>
      </w:pPr>
      <w:r>
        <w:rPr>
          <w:sz w:val="20"/>
          <w:szCs w:val="20"/>
          <w:lang w:val="fr-FR"/>
        </w:rPr>
        <w:t xml:space="preserve">Ce modèle </w:t>
      </w:r>
      <w:r w:rsidR="008A6F43">
        <w:rPr>
          <w:sz w:val="20"/>
          <w:szCs w:val="20"/>
          <w:lang w:val="fr-FR"/>
        </w:rPr>
        <w:t>doit être mis à jour chaque semaine pour tenir compte </w:t>
      </w:r>
      <w:r w:rsidR="00AE1DC2">
        <w:rPr>
          <w:sz w:val="20"/>
          <w:szCs w:val="20"/>
          <w:lang w:val="fr-FR"/>
        </w:rPr>
        <w:t>du niveau réel des stocks et des vaccinations effectivement réalisées dans chaque département.</w:t>
      </w:r>
    </w:p>
    <w:p w14:paraId="2010AEA3" w14:textId="77777777" w:rsidR="00AE1DC2" w:rsidRDefault="00AE1DC2" w:rsidP="00AE1DC2">
      <w:pPr>
        <w:pStyle w:val="00Body"/>
        <w:spacing w:before="0" w:after="0" w:line="275" w:lineRule="auto"/>
        <w:ind w:left="284"/>
        <w:jc w:val="both"/>
        <w:rPr>
          <w:sz w:val="20"/>
          <w:szCs w:val="20"/>
          <w:lang w:val="fr-FR"/>
        </w:rPr>
      </w:pPr>
    </w:p>
    <w:p w14:paraId="3B0869A6" w14:textId="77777777" w:rsidR="00AE1DC2" w:rsidRDefault="00AE1DC2" w:rsidP="008A6F43">
      <w:pPr>
        <w:pStyle w:val="00Body"/>
        <w:numPr>
          <w:ilvl w:val="0"/>
          <w:numId w:val="47"/>
        </w:numPr>
        <w:spacing w:before="0" w:after="0" w:line="275" w:lineRule="auto"/>
        <w:ind w:left="284" w:hanging="284"/>
        <w:jc w:val="both"/>
        <w:rPr>
          <w:sz w:val="20"/>
          <w:szCs w:val="20"/>
          <w:lang w:val="fr-FR"/>
        </w:rPr>
      </w:pPr>
      <w:r>
        <w:rPr>
          <w:sz w:val="20"/>
          <w:szCs w:val="20"/>
          <w:lang w:val="fr-FR"/>
        </w:rPr>
        <w:t>Or,</w:t>
      </w:r>
    </w:p>
    <w:p w14:paraId="4CC9D541" w14:textId="08ED2A96" w:rsidR="008A6F43" w:rsidRDefault="00AE1DC2" w:rsidP="008A6F43">
      <w:pPr>
        <w:pStyle w:val="00Body"/>
        <w:numPr>
          <w:ilvl w:val="0"/>
          <w:numId w:val="48"/>
        </w:numPr>
        <w:spacing w:before="0" w:after="0" w:line="275" w:lineRule="auto"/>
        <w:ind w:left="567" w:hanging="284"/>
        <w:jc w:val="both"/>
        <w:rPr>
          <w:sz w:val="20"/>
          <w:szCs w:val="20"/>
          <w:lang w:val="fr-FR"/>
        </w:rPr>
      </w:pPr>
      <w:r w:rsidRPr="00AE1DC2">
        <w:rPr>
          <w:sz w:val="20"/>
          <w:szCs w:val="20"/>
          <w:u w:val="single"/>
          <w:lang w:val="fr-FR"/>
        </w:rPr>
        <w:t xml:space="preserve">Les données de stock remontées </w:t>
      </w:r>
      <w:r w:rsidR="008A6F43" w:rsidRPr="00AE1DC2">
        <w:rPr>
          <w:sz w:val="20"/>
          <w:szCs w:val="20"/>
          <w:u w:val="single"/>
          <w:lang w:val="fr-FR"/>
        </w:rPr>
        <w:t>sur l’outil e-</w:t>
      </w:r>
      <w:r w:rsidR="00D50656">
        <w:rPr>
          <w:sz w:val="20"/>
          <w:szCs w:val="20"/>
          <w:u w:val="single"/>
          <w:lang w:val="fr-FR"/>
        </w:rPr>
        <w:t>d</w:t>
      </w:r>
      <w:r w:rsidR="008A6F43" w:rsidRPr="00AE1DC2">
        <w:rPr>
          <w:sz w:val="20"/>
          <w:szCs w:val="20"/>
          <w:u w:val="single"/>
          <w:lang w:val="fr-FR"/>
        </w:rPr>
        <w:t>ispostock sont encore très hétérogènes et ne correspondent pas toujours à la réalité</w:t>
      </w:r>
      <w:r w:rsidR="008A6F43">
        <w:rPr>
          <w:sz w:val="20"/>
          <w:szCs w:val="20"/>
          <w:lang w:val="fr-FR"/>
        </w:rPr>
        <w:t>.</w:t>
      </w:r>
      <w:r>
        <w:rPr>
          <w:sz w:val="20"/>
          <w:szCs w:val="20"/>
          <w:lang w:val="fr-FR"/>
        </w:rPr>
        <w:t xml:space="preserve"> Comme indiqué dans la note du 14 janvier,</w:t>
      </w:r>
      <w:r w:rsidR="008A6F43">
        <w:rPr>
          <w:sz w:val="20"/>
          <w:szCs w:val="20"/>
          <w:lang w:val="fr-FR"/>
        </w:rPr>
        <w:t xml:space="preserve"> </w:t>
      </w:r>
      <w:r>
        <w:rPr>
          <w:sz w:val="20"/>
          <w:szCs w:val="20"/>
          <w:lang w:val="fr-FR"/>
        </w:rPr>
        <w:t xml:space="preserve">il revient aux ARS de s’assurer que ces remontées sont réalisées (i) chaque soir, (ii) suivant la méthodologie uniforme </w:t>
      </w:r>
      <w:r w:rsidR="00D50656">
        <w:rPr>
          <w:sz w:val="20"/>
          <w:szCs w:val="20"/>
          <w:lang w:val="fr-FR"/>
        </w:rPr>
        <w:t xml:space="preserve">qui sera à nouveau rappelée avant la fin de la semaine </w:t>
      </w:r>
      <w:r>
        <w:rPr>
          <w:sz w:val="20"/>
          <w:szCs w:val="20"/>
          <w:lang w:val="fr-FR"/>
        </w:rPr>
        <w:t>et (iii) reflètent strictement la réalité des stocks de chaque établissement ;</w:t>
      </w:r>
    </w:p>
    <w:p w14:paraId="7606F12E" w14:textId="21F401B3" w:rsidR="00AE1DC2" w:rsidRDefault="00AE1DC2" w:rsidP="008A6F43">
      <w:pPr>
        <w:pStyle w:val="00Body"/>
        <w:numPr>
          <w:ilvl w:val="0"/>
          <w:numId w:val="48"/>
        </w:numPr>
        <w:spacing w:before="0" w:after="0" w:line="275" w:lineRule="auto"/>
        <w:ind w:left="567" w:hanging="284"/>
        <w:jc w:val="both"/>
        <w:rPr>
          <w:sz w:val="20"/>
          <w:szCs w:val="20"/>
          <w:lang w:val="fr-FR"/>
        </w:rPr>
      </w:pPr>
      <w:r w:rsidRPr="00AE1DC2">
        <w:rPr>
          <w:sz w:val="20"/>
          <w:szCs w:val="20"/>
          <w:u w:val="single"/>
          <w:lang w:val="fr-FR"/>
        </w:rPr>
        <w:t>Les données de vaccination par département ne sont toujours pas exploitables</w:t>
      </w:r>
      <w:r>
        <w:rPr>
          <w:sz w:val="20"/>
          <w:szCs w:val="20"/>
          <w:lang w:val="fr-FR"/>
        </w:rPr>
        <w:t>, en raison du retard pris par certains établissements dans le renseignement de l’outil Vaccin</w:t>
      </w:r>
      <w:r w:rsidR="00D50656">
        <w:rPr>
          <w:sz w:val="20"/>
          <w:szCs w:val="20"/>
          <w:lang w:val="fr-FR"/>
        </w:rPr>
        <w:t xml:space="preserve"> </w:t>
      </w:r>
      <w:r>
        <w:rPr>
          <w:sz w:val="20"/>
          <w:szCs w:val="20"/>
          <w:lang w:val="fr-FR"/>
        </w:rPr>
        <w:t xml:space="preserve">Covid. Il revient également aux DG d’ARS de s’assurer que 100% des vaccinations sont bien retracées chaque jour dans cet outil. </w:t>
      </w:r>
    </w:p>
    <w:p w14:paraId="035F785C" w14:textId="77777777" w:rsidR="00AE1DC2" w:rsidRPr="008A6F43" w:rsidRDefault="00AE1DC2" w:rsidP="00AE1DC2">
      <w:pPr>
        <w:pStyle w:val="00Body"/>
        <w:spacing w:before="0" w:after="0" w:line="275" w:lineRule="auto"/>
        <w:ind w:left="567"/>
        <w:jc w:val="both"/>
        <w:rPr>
          <w:sz w:val="20"/>
          <w:szCs w:val="20"/>
          <w:lang w:val="fr-FR"/>
        </w:rPr>
      </w:pPr>
    </w:p>
    <w:p w14:paraId="009924A3" w14:textId="77777777" w:rsidR="000A0E55" w:rsidRDefault="00AE1DC2" w:rsidP="00AE1DC2">
      <w:pPr>
        <w:pStyle w:val="00Body"/>
        <w:numPr>
          <w:ilvl w:val="0"/>
          <w:numId w:val="47"/>
        </w:numPr>
        <w:spacing w:before="0" w:after="0" w:line="275" w:lineRule="auto"/>
        <w:ind w:left="284" w:hanging="284"/>
        <w:jc w:val="both"/>
        <w:rPr>
          <w:sz w:val="20"/>
          <w:szCs w:val="20"/>
          <w:lang w:val="fr-FR"/>
        </w:rPr>
      </w:pPr>
      <w:r>
        <w:rPr>
          <w:sz w:val="20"/>
          <w:szCs w:val="20"/>
          <w:lang w:val="fr-FR"/>
        </w:rPr>
        <w:t>La fiabilité des volumes de premières / deuxièmes injections dépend de la fiabilité de ces deux informations.</w:t>
      </w:r>
      <w:r w:rsidR="000A0E55">
        <w:rPr>
          <w:sz w:val="20"/>
          <w:szCs w:val="20"/>
          <w:lang w:val="fr-FR"/>
        </w:rPr>
        <w:t xml:space="preserve"> </w:t>
      </w:r>
    </w:p>
    <w:p w14:paraId="0E1F3212" w14:textId="77777777" w:rsidR="000A0E55" w:rsidRDefault="000A0E55" w:rsidP="000A0E55">
      <w:pPr>
        <w:pStyle w:val="00Body"/>
        <w:spacing w:before="0" w:after="0" w:line="275" w:lineRule="auto"/>
        <w:ind w:left="284"/>
        <w:jc w:val="both"/>
        <w:rPr>
          <w:sz w:val="20"/>
          <w:szCs w:val="20"/>
          <w:lang w:val="fr-FR"/>
        </w:rPr>
      </w:pPr>
    </w:p>
    <w:p w14:paraId="5DD0A080" w14:textId="35D90C4E" w:rsidR="000A0E55" w:rsidRPr="000A0E55" w:rsidRDefault="00D50656" w:rsidP="008A6F43">
      <w:pPr>
        <w:pStyle w:val="00Body"/>
        <w:numPr>
          <w:ilvl w:val="0"/>
          <w:numId w:val="47"/>
        </w:numPr>
        <w:spacing w:before="0" w:after="0" w:line="275" w:lineRule="auto"/>
        <w:ind w:left="284" w:hanging="284"/>
        <w:jc w:val="both"/>
        <w:rPr>
          <w:b/>
          <w:sz w:val="20"/>
          <w:szCs w:val="20"/>
          <w:u w:val="single"/>
          <w:lang w:val="fr-FR"/>
        </w:rPr>
      </w:pPr>
      <w:r>
        <w:rPr>
          <w:sz w:val="20"/>
          <w:szCs w:val="20"/>
          <w:lang w:val="fr-FR"/>
        </w:rPr>
        <w:t>Si la difficulté persiste, i</w:t>
      </w:r>
      <w:r w:rsidR="000A0E55" w:rsidRPr="000A0E55">
        <w:rPr>
          <w:sz w:val="20"/>
          <w:szCs w:val="20"/>
          <w:lang w:val="fr-FR"/>
        </w:rPr>
        <w:t xml:space="preserve">l </w:t>
      </w:r>
      <w:r>
        <w:rPr>
          <w:sz w:val="20"/>
          <w:szCs w:val="20"/>
          <w:lang w:val="fr-FR"/>
        </w:rPr>
        <w:t>sera</w:t>
      </w:r>
      <w:r w:rsidR="000A0E55" w:rsidRPr="000A0E55">
        <w:rPr>
          <w:sz w:val="20"/>
          <w:szCs w:val="20"/>
          <w:lang w:val="fr-FR"/>
        </w:rPr>
        <w:t xml:space="preserve"> demandé aux ARS de réduire la dotation hebdomadaire des centres dont le nombre de vaccinations ressortant de l’outil Vaccin</w:t>
      </w:r>
      <w:r>
        <w:rPr>
          <w:sz w:val="20"/>
          <w:szCs w:val="20"/>
          <w:lang w:val="fr-FR"/>
        </w:rPr>
        <w:t xml:space="preserve"> </w:t>
      </w:r>
      <w:r w:rsidR="000A0E55" w:rsidRPr="000A0E55">
        <w:rPr>
          <w:sz w:val="20"/>
          <w:szCs w:val="20"/>
          <w:lang w:val="fr-FR"/>
        </w:rPr>
        <w:t>Covid est inférieur aux doses allouées</w:t>
      </w:r>
      <w:r w:rsidR="000A0E55">
        <w:rPr>
          <w:sz w:val="20"/>
          <w:szCs w:val="20"/>
          <w:lang w:val="fr-FR"/>
        </w:rPr>
        <w:t>, s’il ressort après échange avec le centre concerné que ce décalage est lié à un retard pris dans le remplissage de l’outil.</w:t>
      </w:r>
    </w:p>
    <w:p w14:paraId="27AA2A2D" w14:textId="77777777" w:rsidR="00AE1DC2" w:rsidRPr="000A0E55" w:rsidRDefault="000A0E55" w:rsidP="000A0E55">
      <w:pPr>
        <w:pStyle w:val="00Body"/>
        <w:spacing w:before="0" w:after="0" w:line="275" w:lineRule="auto"/>
        <w:jc w:val="both"/>
        <w:rPr>
          <w:b/>
          <w:sz w:val="20"/>
          <w:szCs w:val="20"/>
          <w:u w:val="single"/>
          <w:lang w:val="fr-FR"/>
        </w:rPr>
      </w:pPr>
      <w:r w:rsidRPr="000A0E55">
        <w:rPr>
          <w:sz w:val="20"/>
          <w:szCs w:val="20"/>
          <w:lang w:val="fr-FR"/>
        </w:rPr>
        <w:t xml:space="preserve"> </w:t>
      </w:r>
    </w:p>
    <w:p w14:paraId="4620D012" w14:textId="77777777" w:rsidR="006E417A" w:rsidRDefault="006E417A" w:rsidP="006E417A">
      <w:pPr>
        <w:pStyle w:val="00Body"/>
        <w:numPr>
          <w:ilvl w:val="0"/>
          <w:numId w:val="46"/>
        </w:numPr>
        <w:spacing w:before="0" w:after="0" w:line="275" w:lineRule="auto"/>
        <w:ind w:left="284" w:hanging="284"/>
        <w:rPr>
          <w:b/>
          <w:sz w:val="20"/>
          <w:szCs w:val="20"/>
          <w:u w:val="single"/>
          <w:lang w:val="fr-FR"/>
        </w:rPr>
      </w:pPr>
      <w:r>
        <w:rPr>
          <w:b/>
          <w:sz w:val="20"/>
          <w:szCs w:val="20"/>
          <w:u w:val="single"/>
          <w:lang w:val="fr-FR"/>
        </w:rPr>
        <w:t xml:space="preserve">Migration de l’ensemble des centres </w:t>
      </w:r>
      <w:r w:rsidR="000A0E55">
        <w:rPr>
          <w:b/>
          <w:sz w:val="20"/>
          <w:szCs w:val="20"/>
          <w:u w:val="single"/>
          <w:lang w:val="fr-FR"/>
        </w:rPr>
        <w:t>de vaccination vers une plateforme</w:t>
      </w:r>
    </w:p>
    <w:p w14:paraId="73DB2691" w14:textId="77777777" w:rsidR="006E417A" w:rsidRDefault="006E417A" w:rsidP="008A6F43">
      <w:pPr>
        <w:pStyle w:val="00Body"/>
        <w:spacing w:before="0" w:after="0" w:line="275" w:lineRule="auto"/>
        <w:rPr>
          <w:b/>
          <w:sz w:val="20"/>
          <w:szCs w:val="20"/>
          <w:u w:val="single"/>
          <w:lang w:val="fr-FR"/>
        </w:rPr>
      </w:pPr>
    </w:p>
    <w:p w14:paraId="39637553" w14:textId="77777777" w:rsidR="006E417A" w:rsidRDefault="000A0E55" w:rsidP="000A0E55">
      <w:pPr>
        <w:pStyle w:val="00Body"/>
        <w:numPr>
          <w:ilvl w:val="0"/>
          <w:numId w:val="47"/>
        </w:numPr>
        <w:spacing w:before="0" w:after="0" w:line="275" w:lineRule="auto"/>
        <w:ind w:left="284" w:hanging="284"/>
        <w:jc w:val="both"/>
        <w:rPr>
          <w:sz w:val="20"/>
          <w:szCs w:val="20"/>
          <w:lang w:val="fr-FR"/>
        </w:rPr>
      </w:pPr>
      <w:r>
        <w:rPr>
          <w:sz w:val="20"/>
          <w:szCs w:val="20"/>
          <w:lang w:val="fr-FR"/>
        </w:rPr>
        <w:t xml:space="preserve">La migration de l’ensemble des centres de vaccination vers l’une des 3 plateformes retenues, et l’inscription de l’ensemble des rendez-vous déjà pris dans les agendas en ligne doit être achevée à la fin de cette semaine, soit avant le dimanche 24 janvier. </w:t>
      </w:r>
    </w:p>
    <w:p w14:paraId="3798B351" w14:textId="77777777" w:rsidR="000A0E55" w:rsidRDefault="000A0E55" w:rsidP="000A0E55">
      <w:pPr>
        <w:pStyle w:val="00Body"/>
        <w:spacing w:before="0" w:after="0" w:line="275" w:lineRule="auto"/>
        <w:ind w:left="284"/>
        <w:jc w:val="both"/>
        <w:rPr>
          <w:sz w:val="20"/>
          <w:szCs w:val="20"/>
          <w:lang w:val="fr-FR"/>
        </w:rPr>
      </w:pPr>
    </w:p>
    <w:p w14:paraId="7823ECCF" w14:textId="0E47BA79" w:rsidR="000A0E55" w:rsidRDefault="000A0E55" w:rsidP="000A0E55">
      <w:pPr>
        <w:pStyle w:val="00Body"/>
        <w:numPr>
          <w:ilvl w:val="0"/>
          <w:numId w:val="47"/>
        </w:numPr>
        <w:spacing w:before="0" w:after="0" w:line="275" w:lineRule="auto"/>
        <w:ind w:left="284" w:hanging="284"/>
        <w:jc w:val="both"/>
        <w:rPr>
          <w:sz w:val="20"/>
          <w:szCs w:val="20"/>
          <w:lang w:val="fr-FR"/>
        </w:rPr>
      </w:pPr>
      <w:r>
        <w:rPr>
          <w:sz w:val="20"/>
          <w:szCs w:val="20"/>
          <w:lang w:val="fr-FR"/>
        </w:rPr>
        <w:t xml:space="preserve">Après cette date, il ne sera plus possible d’allouer de vaccins à un centre qui ne serait pas </w:t>
      </w:r>
      <w:proofErr w:type="spellStart"/>
      <w:r>
        <w:rPr>
          <w:sz w:val="20"/>
          <w:szCs w:val="20"/>
          <w:lang w:val="fr-FR"/>
        </w:rPr>
        <w:t>dment</w:t>
      </w:r>
      <w:proofErr w:type="spellEnd"/>
      <w:r>
        <w:rPr>
          <w:sz w:val="20"/>
          <w:szCs w:val="20"/>
          <w:lang w:val="fr-FR"/>
        </w:rPr>
        <w:t xml:space="preserve"> enregistré dans une plateforme et qui n’aurait pas fait migrer son calendrier de rendez-vous. </w:t>
      </w:r>
    </w:p>
    <w:p w14:paraId="1540BEDB" w14:textId="77777777" w:rsidR="0007053C" w:rsidRDefault="0007053C" w:rsidP="00F613B1">
      <w:pPr>
        <w:pStyle w:val="00Body"/>
        <w:spacing w:before="0" w:after="0" w:line="275" w:lineRule="auto"/>
        <w:ind w:left="284"/>
        <w:jc w:val="both"/>
        <w:rPr>
          <w:sz w:val="20"/>
          <w:szCs w:val="20"/>
          <w:lang w:val="fr-FR"/>
        </w:rPr>
      </w:pPr>
    </w:p>
    <w:p w14:paraId="6FE6A28F" w14:textId="7C9AE66C" w:rsidR="0007053C" w:rsidRPr="000A0E55" w:rsidRDefault="0007053C" w:rsidP="000A0E55">
      <w:pPr>
        <w:pStyle w:val="00Body"/>
        <w:numPr>
          <w:ilvl w:val="0"/>
          <w:numId w:val="47"/>
        </w:numPr>
        <w:spacing w:before="0" w:after="0" w:line="275" w:lineRule="auto"/>
        <w:ind w:left="284" w:hanging="284"/>
        <w:jc w:val="both"/>
        <w:rPr>
          <w:sz w:val="20"/>
          <w:szCs w:val="20"/>
          <w:lang w:val="fr-FR"/>
        </w:rPr>
      </w:pPr>
      <w:r>
        <w:rPr>
          <w:sz w:val="20"/>
          <w:szCs w:val="20"/>
          <w:lang w:val="fr-FR"/>
        </w:rPr>
        <w:t>Par ailleurs, l’ensemble des centres doivent tenir leur</w:t>
      </w:r>
      <w:r w:rsidR="00E10015">
        <w:rPr>
          <w:sz w:val="20"/>
          <w:szCs w:val="20"/>
          <w:lang w:val="fr-FR"/>
        </w:rPr>
        <w:t>s</w:t>
      </w:r>
      <w:r>
        <w:rPr>
          <w:sz w:val="20"/>
          <w:szCs w:val="20"/>
          <w:lang w:val="fr-FR"/>
        </w:rPr>
        <w:t xml:space="preserve"> plannings à jour directement dans les agendas en ligne des plateforme et éviter toute prise de rendez-vous parallèle. </w:t>
      </w:r>
    </w:p>
    <w:p w14:paraId="7DF74154" w14:textId="77777777" w:rsidR="000A0E55" w:rsidRDefault="000A0E55" w:rsidP="000A0E55">
      <w:pPr>
        <w:pStyle w:val="00Body"/>
        <w:spacing w:before="0" w:after="0" w:line="275" w:lineRule="auto"/>
        <w:ind w:left="284"/>
        <w:rPr>
          <w:b/>
          <w:sz w:val="20"/>
          <w:szCs w:val="20"/>
          <w:u w:val="single"/>
          <w:lang w:val="fr-FR"/>
        </w:rPr>
      </w:pPr>
    </w:p>
    <w:p w14:paraId="11923D9D" w14:textId="77777777" w:rsidR="00971895" w:rsidRDefault="007D5440">
      <w:pPr>
        <w:pStyle w:val="00Body"/>
        <w:numPr>
          <w:ilvl w:val="0"/>
          <w:numId w:val="46"/>
        </w:numPr>
        <w:spacing w:before="0" w:after="0" w:line="275" w:lineRule="auto"/>
        <w:ind w:left="284" w:hanging="284"/>
        <w:rPr>
          <w:b/>
          <w:sz w:val="20"/>
          <w:szCs w:val="20"/>
          <w:u w:val="single"/>
          <w:lang w:val="fr-FR"/>
        </w:rPr>
      </w:pPr>
      <w:r>
        <w:rPr>
          <w:b/>
          <w:sz w:val="20"/>
          <w:szCs w:val="20"/>
          <w:u w:val="single"/>
          <w:lang w:val="fr-FR"/>
        </w:rPr>
        <w:t>Correction des dépassements observés dans un nombre limité de départements</w:t>
      </w:r>
    </w:p>
    <w:p w14:paraId="32525A85" w14:textId="77777777" w:rsidR="00971895" w:rsidRDefault="00971895">
      <w:pPr>
        <w:pStyle w:val="00Body"/>
        <w:spacing w:before="0" w:after="0" w:line="275" w:lineRule="auto"/>
        <w:rPr>
          <w:b/>
          <w:sz w:val="20"/>
          <w:szCs w:val="20"/>
          <w:u w:val="single"/>
          <w:lang w:val="fr-FR"/>
        </w:rPr>
      </w:pPr>
    </w:p>
    <w:p w14:paraId="1C6779C9" w14:textId="77777777" w:rsidR="004A4FBC" w:rsidRDefault="007D5440" w:rsidP="007D5440">
      <w:pPr>
        <w:pStyle w:val="00Body"/>
        <w:numPr>
          <w:ilvl w:val="0"/>
          <w:numId w:val="47"/>
        </w:numPr>
        <w:spacing w:before="0" w:after="0" w:line="275" w:lineRule="auto"/>
        <w:ind w:left="284" w:hanging="284"/>
        <w:jc w:val="both"/>
        <w:rPr>
          <w:sz w:val="20"/>
          <w:szCs w:val="20"/>
          <w:lang w:val="fr-FR"/>
        </w:rPr>
      </w:pPr>
      <w:r>
        <w:rPr>
          <w:sz w:val="20"/>
          <w:szCs w:val="20"/>
          <w:lang w:val="fr-FR"/>
        </w:rPr>
        <w:t>Comme indiqué supra, un nombre limité de départements n’a pas observé les instructions diffusées le 14 janvier. A chaque</w:t>
      </w:r>
      <w:r w:rsidR="004A4FBC">
        <w:rPr>
          <w:sz w:val="20"/>
          <w:szCs w:val="20"/>
          <w:lang w:val="fr-FR"/>
        </w:rPr>
        <w:t xml:space="preserve"> fois que le nombre de vaccinations d’une semaine (rendez-vous + vaccinations hors rendez-vous) dépasse l’allocation en injections</w:t>
      </w:r>
      <w:r w:rsidR="00286135">
        <w:rPr>
          <w:sz w:val="20"/>
          <w:szCs w:val="20"/>
          <w:lang w:val="fr-FR"/>
        </w:rPr>
        <w:t xml:space="preserve"> (calculée sur la base de 5 doses)</w:t>
      </w:r>
      <w:r w:rsidR="004A4FBC">
        <w:rPr>
          <w:sz w:val="20"/>
          <w:szCs w:val="20"/>
          <w:lang w:val="fr-FR"/>
        </w:rPr>
        <w:t xml:space="preserve">, il est demandé aux ARS : </w:t>
      </w:r>
    </w:p>
    <w:p w14:paraId="48B7C2D9" w14:textId="77777777" w:rsidR="004A4FBC" w:rsidRDefault="004A4FBC" w:rsidP="004A4FBC">
      <w:pPr>
        <w:pStyle w:val="00Body"/>
        <w:numPr>
          <w:ilvl w:val="0"/>
          <w:numId w:val="48"/>
        </w:numPr>
        <w:spacing w:before="0" w:after="0" w:line="275" w:lineRule="auto"/>
        <w:ind w:left="567" w:hanging="284"/>
        <w:jc w:val="both"/>
        <w:rPr>
          <w:sz w:val="20"/>
          <w:szCs w:val="20"/>
          <w:lang w:val="fr-FR"/>
        </w:rPr>
      </w:pPr>
      <w:r>
        <w:rPr>
          <w:sz w:val="20"/>
          <w:szCs w:val="20"/>
          <w:u w:val="single"/>
          <w:lang w:val="fr-FR"/>
        </w:rPr>
        <w:t>De n</w:t>
      </w:r>
      <w:r w:rsidRPr="004A4FBC">
        <w:rPr>
          <w:sz w:val="20"/>
          <w:szCs w:val="20"/>
          <w:u w:val="single"/>
          <w:lang w:val="fr-FR"/>
        </w:rPr>
        <w:t>e pas annuler de rendez-vous</w:t>
      </w:r>
      <w:r>
        <w:rPr>
          <w:sz w:val="20"/>
          <w:szCs w:val="20"/>
          <w:lang w:val="fr-FR"/>
        </w:rPr>
        <w:t>, comme cela a été explicitement demandé à plusieurs reprises ;</w:t>
      </w:r>
    </w:p>
    <w:p w14:paraId="4CBAECD4" w14:textId="3E78AE2E" w:rsidR="0038433F" w:rsidRDefault="004A4FBC" w:rsidP="004A4FBC">
      <w:pPr>
        <w:pStyle w:val="00Body"/>
        <w:numPr>
          <w:ilvl w:val="0"/>
          <w:numId w:val="48"/>
        </w:numPr>
        <w:spacing w:before="0" w:after="0" w:line="275" w:lineRule="auto"/>
        <w:ind w:left="567" w:hanging="284"/>
        <w:jc w:val="both"/>
        <w:rPr>
          <w:sz w:val="20"/>
          <w:szCs w:val="20"/>
          <w:lang w:val="fr-FR"/>
        </w:rPr>
      </w:pPr>
      <w:r w:rsidRPr="0038433F">
        <w:rPr>
          <w:sz w:val="20"/>
          <w:szCs w:val="20"/>
          <w:u w:val="single"/>
          <w:lang w:val="fr-FR"/>
        </w:rPr>
        <w:t>D’étudier les possibles réallocations de stock</w:t>
      </w:r>
      <w:r>
        <w:rPr>
          <w:sz w:val="20"/>
          <w:szCs w:val="20"/>
          <w:lang w:val="fr-FR"/>
        </w:rPr>
        <w:t xml:space="preserve"> au sein d’un département, voire ou au sein d’une région (en signalant tout</w:t>
      </w:r>
      <w:r w:rsidR="0038433F">
        <w:rPr>
          <w:sz w:val="20"/>
          <w:szCs w:val="20"/>
          <w:lang w:val="fr-FR"/>
        </w:rPr>
        <w:t>e réallocation</w:t>
      </w:r>
      <w:r>
        <w:rPr>
          <w:sz w:val="20"/>
          <w:szCs w:val="20"/>
          <w:lang w:val="fr-FR"/>
        </w:rPr>
        <w:t xml:space="preserve"> </w:t>
      </w:r>
      <w:r w:rsidR="0038433F">
        <w:rPr>
          <w:sz w:val="20"/>
          <w:szCs w:val="20"/>
          <w:lang w:val="fr-FR"/>
        </w:rPr>
        <w:t>à la task force vaccins</w:t>
      </w:r>
      <w:r w:rsidR="00F613B1">
        <w:rPr>
          <w:sz w:val="20"/>
          <w:szCs w:val="20"/>
          <w:lang w:val="fr-FR"/>
        </w:rPr>
        <w:t> sur FluxB@sante.gouv.fr</w:t>
      </w:r>
      <w:r w:rsidR="0038433F">
        <w:rPr>
          <w:sz w:val="20"/>
          <w:szCs w:val="20"/>
          <w:lang w:val="fr-FR"/>
        </w:rPr>
        <w:t>)</w:t>
      </w:r>
      <w:r>
        <w:rPr>
          <w:sz w:val="20"/>
          <w:szCs w:val="20"/>
          <w:lang w:val="fr-FR"/>
        </w:rPr>
        <w:t xml:space="preserve"> ;</w:t>
      </w:r>
    </w:p>
    <w:p w14:paraId="3A1C4D5E" w14:textId="656519EF" w:rsidR="00286135" w:rsidRDefault="00286135" w:rsidP="004A4FBC">
      <w:pPr>
        <w:pStyle w:val="00Body"/>
        <w:numPr>
          <w:ilvl w:val="0"/>
          <w:numId w:val="48"/>
        </w:numPr>
        <w:spacing w:before="0" w:after="0" w:line="275" w:lineRule="auto"/>
        <w:ind w:left="567" w:hanging="284"/>
        <w:jc w:val="both"/>
        <w:rPr>
          <w:sz w:val="20"/>
          <w:szCs w:val="20"/>
          <w:lang w:val="fr-FR"/>
        </w:rPr>
      </w:pPr>
      <w:r>
        <w:rPr>
          <w:sz w:val="20"/>
          <w:szCs w:val="20"/>
          <w:u w:val="single"/>
          <w:lang w:val="fr-FR"/>
        </w:rPr>
        <w:t>D</w:t>
      </w:r>
      <w:r w:rsidR="00E10015">
        <w:rPr>
          <w:sz w:val="20"/>
          <w:szCs w:val="20"/>
          <w:u w:val="single"/>
          <w:lang w:val="fr-FR"/>
        </w:rPr>
        <w:t>e tout mettre en œuvre pour extraire</w:t>
      </w:r>
      <w:r>
        <w:rPr>
          <w:sz w:val="20"/>
          <w:szCs w:val="20"/>
          <w:u w:val="single"/>
          <w:lang w:val="fr-FR"/>
        </w:rPr>
        <w:t xml:space="preserve"> 6 doses de chaque flacon</w:t>
      </w:r>
      <w:r>
        <w:rPr>
          <w:sz w:val="20"/>
          <w:szCs w:val="20"/>
          <w:lang w:val="fr-FR"/>
        </w:rPr>
        <w:t xml:space="preserve">, </w:t>
      </w:r>
      <w:r w:rsidR="00E10015">
        <w:rPr>
          <w:sz w:val="20"/>
          <w:szCs w:val="20"/>
          <w:lang w:val="fr-FR"/>
        </w:rPr>
        <w:t xml:space="preserve">afin de maximiser le nombre de </w:t>
      </w:r>
      <w:r w:rsidR="00D50656">
        <w:rPr>
          <w:sz w:val="20"/>
          <w:szCs w:val="20"/>
          <w:lang w:val="fr-FR"/>
        </w:rPr>
        <w:t>vaccinations</w:t>
      </w:r>
      <w:r>
        <w:rPr>
          <w:sz w:val="20"/>
          <w:szCs w:val="20"/>
          <w:lang w:val="fr-FR"/>
        </w:rPr>
        <w:t xml:space="preserve"> ; </w:t>
      </w:r>
    </w:p>
    <w:p w14:paraId="6AD0EC82" w14:textId="6E5ACDCA" w:rsidR="006E417A" w:rsidRDefault="006E417A" w:rsidP="004A4FBC">
      <w:pPr>
        <w:pStyle w:val="00Body"/>
        <w:numPr>
          <w:ilvl w:val="0"/>
          <w:numId w:val="48"/>
        </w:numPr>
        <w:spacing w:before="0" w:after="0" w:line="275" w:lineRule="auto"/>
        <w:ind w:left="567" w:hanging="284"/>
        <w:jc w:val="both"/>
        <w:rPr>
          <w:sz w:val="20"/>
          <w:szCs w:val="20"/>
          <w:lang w:val="fr-FR"/>
        </w:rPr>
      </w:pPr>
      <w:r>
        <w:rPr>
          <w:sz w:val="20"/>
          <w:szCs w:val="20"/>
          <w:u w:val="single"/>
          <w:lang w:val="fr-FR"/>
        </w:rPr>
        <w:lastRenderedPageBreak/>
        <w:t>D’étudier la possibilité de reporter des vaccinations hors rendez-vous</w:t>
      </w:r>
      <w:r>
        <w:rPr>
          <w:sz w:val="20"/>
          <w:szCs w:val="20"/>
          <w:lang w:val="fr-FR"/>
        </w:rPr>
        <w:t xml:space="preserve"> à l’exception des EHPAD </w:t>
      </w:r>
      <w:r w:rsidR="00E10015">
        <w:rPr>
          <w:sz w:val="20"/>
          <w:szCs w:val="20"/>
          <w:lang w:val="fr-FR"/>
        </w:rPr>
        <w:t>et autres établissements desservis par le</w:t>
      </w:r>
      <w:r>
        <w:rPr>
          <w:sz w:val="20"/>
          <w:szCs w:val="20"/>
          <w:lang w:val="fr-FR"/>
        </w:rPr>
        <w:t xml:space="preserve"> flux B qui appartiennent aux catégories prioritaires établies par la HAS ;</w:t>
      </w:r>
    </w:p>
    <w:p w14:paraId="6C0E1D80" w14:textId="1E2EF96F" w:rsidR="007D5440" w:rsidRPr="007D5440" w:rsidRDefault="0038433F" w:rsidP="004A4FBC">
      <w:pPr>
        <w:pStyle w:val="00Body"/>
        <w:numPr>
          <w:ilvl w:val="0"/>
          <w:numId w:val="48"/>
        </w:numPr>
        <w:spacing w:before="0" w:after="0" w:line="275" w:lineRule="auto"/>
        <w:ind w:left="567" w:hanging="284"/>
        <w:jc w:val="both"/>
        <w:rPr>
          <w:sz w:val="20"/>
          <w:szCs w:val="20"/>
          <w:lang w:val="fr-FR"/>
        </w:rPr>
      </w:pPr>
      <w:r>
        <w:rPr>
          <w:sz w:val="20"/>
          <w:szCs w:val="20"/>
          <w:u w:val="single"/>
          <w:lang w:val="fr-FR"/>
        </w:rPr>
        <w:t xml:space="preserve">En dernier </w:t>
      </w:r>
      <w:r w:rsidRPr="00D50656">
        <w:rPr>
          <w:sz w:val="20"/>
          <w:szCs w:val="20"/>
          <w:u w:val="single"/>
          <w:lang w:val="fr-FR"/>
        </w:rPr>
        <w:t xml:space="preserve">ressort </w:t>
      </w:r>
      <w:r w:rsidR="00D50656" w:rsidRPr="00D50656">
        <w:rPr>
          <w:sz w:val="20"/>
          <w:szCs w:val="20"/>
          <w:u w:val="single"/>
          <w:lang w:val="fr-FR"/>
        </w:rPr>
        <w:t>de reporter</w:t>
      </w:r>
      <w:r w:rsidR="00D50656">
        <w:rPr>
          <w:sz w:val="20"/>
          <w:szCs w:val="20"/>
          <w:lang w:val="fr-FR"/>
        </w:rPr>
        <w:t xml:space="preserve"> </w:t>
      </w:r>
      <w:r>
        <w:rPr>
          <w:sz w:val="20"/>
          <w:szCs w:val="20"/>
          <w:lang w:val="fr-FR"/>
        </w:rPr>
        <w:t>des rendez-vous dans le temps.</w:t>
      </w:r>
      <w:r w:rsidR="004A4FBC">
        <w:rPr>
          <w:sz w:val="20"/>
          <w:szCs w:val="20"/>
          <w:lang w:val="fr-FR"/>
        </w:rPr>
        <w:t xml:space="preserve"> </w:t>
      </w:r>
    </w:p>
    <w:p w14:paraId="748EB574" w14:textId="77777777" w:rsidR="007D5440" w:rsidRDefault="007D5440">
      <w:pPr>
        <w:pStyle w:val="00Body"/>
        <w:spacing w:before="0" w:after="0" w:line="275" w:lineRule="auto"/>
        <w:rPr>
          <w:b/>
          <w:sz w:val="20"/>
          <w:szCs w:val="20"/>
          <w:u w:val="single"/>
          <w:lang w:val="fr-FR"/>
        </w:rPr>
      </w:pPr>
    </w:p>
    <w:p w14:paraId="21D40A05" w14:textId="77777777" w:rsidR="007D5440" w:rsidRDefault="0038433F" w:rsidP="007D5440">
      <w:pPr>
        <w:pStyle w:val="00Body"/>
        <w:numPr>
          <w:ilvl w:val="0"/>
          <w:numId w:val="46"/>
        </w:numPr>
        <w:spacing w:before="0" w:after="0" w:line="275" w:lineRule="auto"/>
        <w:ind w:left="284" w:hanging="284"/>
        <w:rPr>
          <w:b/>
          <w:sz w:val="20"/>
          <w:szCs w:val="20"/>
          <w:u w:val="single"/>
          <w:lang w:val="fr-FR"/>
        </w:rPr>
      </w:pPr>
      <w:r>
        <w:rPr>
          <w:b/>
          <w:sz w:val="20"/>
          <w:szCs w:val="20"/>
          <w:u w:val="single"/>
          <w:lang w:val="fr-FR"/>
        </w:rPr>
        <w:t>Ouverture de nouveaux rendez-vous</w:t>
      </w:r>
    </w:p>
    <w:p w14:paraId="5E91246D" w14:textId="77777777" w:rsidR="007D5440" w:rsidRDefault="007D5440">
      <w:pPr>
        <w:pStyle w:val="00Body"/>
        <w:spacing w:before="0" w:after="0" w:line="275" w:lineRule="auto"/>
        <w:rPr>
          <w:b/>
          <w:sz w:val="20"/>
          <w:szCs w:val="20"/>
          <w:u w:val="single"/>
          <w:lang w:val="fr-FR"/>
        </w:rPr>
      </w:pPr>
    </w:p>
    <w:p w14:paraId="012F55CC" w14:textId="79D5F3F1" w:rsidR="006E417A" w:rsidRDefault="006E417A" w:rsidP="007D5440">
      <w:pPr>
        <w:pStyle w:val="00Body"/>
        <w:numPr>
          <w:ilvl w:val="0"/>
          <w:numId w:val="47"/>
        </w:numPr>
        <w:spacing w:before="0" w:after="0" w:line="275" w:lineRule="auto"/>
        <w:ind w:left="284" w:hanging="284"/>
        <w:jc w:val="both"/>
        <w:rPr>
          <w:sz w:val="20"/>
          <w:szCs w:val="20"/>
          <w:lang w:val="fr-FR"/>
        </w:rPr>
      </w:pPr>
      <w:r>
        <w:rPr>
          <w:sz w:val="20"/>
          <w:szCs w:val="20"/>
          <w:lang w:val="fr-FR"/>
        </w:rPr>
        <w:t xml:space="preserve">A date, seules 4 semaines </w:t>
      </w:r>
      <w:r w:rsidR="00D50656">
        <w:rPr>
          <w:sz w:val="20"/>
          <w:szCs w:val="20"/>
          <w:lang w:val="fr-FR"/>
        </w:rPr>
        <w:t>sont en principe</w:t>
      </w:r>
      <w:r>
        <w:rPr>
          <w:sz w:val="20"/>
          <w:szCs w:val="20"/>
          <w:lang w:val="fr-FR"/>
        </w:rPr>
        <w:t xml:space="preserve"> ouvertes pour des rendez-vous de première injection (les semaines du 18 et 25 janvier, des 1</w:t>
      </w:r>
      <w:r w:rsidRPr="006E417A">
        <w:rPr>
          <w:sz w:val="20"/>
          <w:szCs w:val="20"/>
          <w:vertAlign w:val="superscript"/>
          <w:lang w:val="fr-FR"/>
        </w:rPr>
        <w:t>er</w:t>
      </w:r>
      <w:r>
        <w:rPr>
          <w:sz w:val="20"/>
          <w:szCs w:val="20"/>
          <w:lang w:val="fr-FR"/>
        </w:rPr>
        <w:t xml:space="preserve"> et 8 février). Des rendez-vous de deuxième injection sont en conséquence prévus jusqu’à la semaine du 8 mars.</w:t>
      </w:r>
    </w:p>
    <w:p w14:paraId="0FFB31AE" w14:textId="77777777" w:rsidR="006E417A" w:rsidRDefault="006E417A" w:rsidP="006E417A">
      <w:pPr>
        <w:pStyle w:val="00Body"/>
        <w:spacing w:before="0" w:after="0" w:line="275" w:lineRule="auto"/>
        <w:ind w:left="284"/>
        <w:jc w:val="both"/>
        <w:rPr>
          <w:sz w:val="20"/>
          <w:szCs w:val="20"/>
          <w:lang w:val="fr-FR"/>
        </w:rPr>
      </w:pPr>
    </w:p>
    <w:p w14:paraId="32AD8707" w14:textId="608C4D84" w:rsidR="006E417A" w:rsidRDefault="006E417A" w:rsidP="007D5440">
      <w:pPr>
        <w:pStyle w:val="00Body"/>
        <w:numPr>
          <w:ilvl w:val="0"/>
          <w:numId w:val="47"/>
        </w:numPr>
        <w:spacing w:before="0" w:after="0" w:line="275" w:lineRule="auto"/>
        <w:ind w:left="284" w:hanging="284"/>
        <w:jc w:val="both"/>
        <w:rPr>
          <w:sz w:val="20"/>
          <w:szCs w:val="20"/>
          <w:lang w:val="fr-FR"/>
        </w:rPr>
      </w:pPr>
      <w:r>
        <w:rPr>
          <w:sz w:val="20"/>
          <w:szCs w:val="20"/>
          <w:lang w:val="fr-FR"/>
        </w:rPr>
        <w:t xml:space="preserve">A compter du lundi 25 janvier, il vous est demandé d’ouvrir de nouveaux rendez-vous de première </w:t>
      </w:r>
      <w:r w:rsidR="00D50656">
        <w:rPr>
          <w:sz w:val="20"/>
          <w:szCs w:val="20"/>
          <w:lang w:val="fr-FR"/>
        </w:rPr>
        <w:t>injection</w:t>
      </w:r>
      <w:r>
        <w:rPr>
          <w:sz w:val="20"/>
          <w:szCs w:val="20"/>
          <w:lang w:val="fr-FR"/>
        </w:rPr>
        <w:t xml:space="preserve"> pour deux semaines supplémentaires, soit :</w:t>
      </w:r>
    </w:p>
    <w:p w14:paraId="4621D9F8" w14:textId="3D68E8C5" w:rsidR="006E417A" w:rsidRDefault="006E417A" w:rsidP="006E417A">
      <w:pPr>
        <w:pStyle w:val="00Body"/>
        <w:numPr>
          <w:ilvl w:val="0"/>
          <w:numId w:val="48"/>
        </w:numPr>
        <w:spacing w:before="0" w:after="0" w:line="275" w:lineRule="auto"/>
        <w:ind w:left="567" w:hanging="284"/>
        <w:jc w:val="both"/>
        <w:rPr>
          <w:sz w:val="20"/>
          <w:szCs w:val="20"/>
          <w:lang w:val="fr-FR"/>
        </w:rPr>
      </w:pPr>
      <w:r>
        <w:rPr>
          <w:sz w:val="20"/>
          <w:szCs w:val="20"/>
          <w:lang w:val="fr-FR"/>
        </w:rPr>
        <w:t xml:space="preserve">La semaine du 15 février (dont les </w:t>
      </w:r>
      <w:r w:rsidR="00D50656">
        <w:rPr>
          <w:sz w:val="20"/>
          <w:szCs w:val="20"/>
          <w:lang w:val="fr-FR"/>
        </w:rPr>
        <w:t>deuxièmes</w:t>
      </w:r>
      <w:r>
        <w:rPr>
          <w:sz w:val="20"/>
          <w:szCs w:val="20"/>
          <w:lang w:val="fr-FR"/>
        </w:rPr>
        <w:t xml:space="preserve"> injections auront lieu la semaine du 15 mars) ;</w:t>
      </w:r>
    </w:p>
    <w:p w14:paraId="1BB3C6B1" w14:textId="5A8415D8" w:rsidR="006E417A" w:rsidRDefault="006E417A" w:rsidP="006E417A">
      <w:pPr>
        <w:pStyle w:val="00Body"/>
        <w:numPr>
          <w:ilvl w:val="0"/>
          <w:numId w:val="48"/>
        </w:numPr>
        <w:spacing w:before="0" w:after="0" w:line="275" w:lineRule="auto"/>
        <w:ind w:left="567" w:hanging="284"/>
        <w:jc w:val="both"/>
        <w:rPr>
          <w:sz w:val="20"/>
          <w:szCs w:val="20"/>
          <w:lang w:val="fr-FR"/>
        </w:rPr>
      </w:pPr>
      <w:r>
        <w:rPr>
          <w:sz w:val="20"/>
          <w:szCs w:val="20"/>
          <w:lang w:val="fr-FR"/>
        </w:rPr>
        <w:t xml:space="preserve">La semaine du 22 février (dont les </w:t>
      </w:r>
      <w:r w:rsidR="00D50656">
        <w:rPr>
          <w:sz w:val="20"/>
          <w:szCs w:val="20"/>
          <w:lang w:val="fr-FR"/>
        </w:rPr>
        <w:t>deuxièmes</w:t>
      </w:r>
      <w:r>
        <w:rPr>
          <w:sz w:val="20"/>
          <w:szCs w:val="20"/>
          <w:lang w:val="fr-FR"/>
        </w:rPr>
        <w:t xml:space="preserve"> injections auront lieu la semaine du 22 mars).</w:t>
      </w:r>
    </w:p>
    <w:p w14:paraId="5ADA29F3" w14:textId="77777777" w:rsidR="006E417A" w:rsidRDefault="006E417A" w:rsidP="006E417A">
      <w:pPr>
        <w:pStyle w:val="00Body"/>
        <w:spacing w:before="0" w:after="0" w:line="275" w:lineRule="auto"/>
        <w:ind w:left="284"/>
        <w:jc w:val="both"/>
        <w:rPr>
          <w:sz w:val="20"/>
          <w:szCs w:val="20"/>
          <w:lang w:val="fr-FR"/>
        </w:rPr>
      </w:pPr>
    </w:p>
    <w:p w14:paraId="7E882B36" w14:textId="66B77737" w:rsidR="00971895" w:rsidRDefault="006E417A" w:rsidP="007D5440">
      <w:pPr>
        <w:pStyle w:val="00Body"/>
        <w:numPr>
          <w:ilvl w:val="0"/>
          <w:numId w:val="47"/>
        </w:numPr>
        <w:spacing w:before="0" w:after="0" w:line="275" w:lineRule="auto"/>
        <w:ind w:left="284" w:hanging="284"/>
        <w:jc w:val="both"/>
        <w:rPr>
          <w:sz w:val="20"/>
          <w:szCs w:val="20"/>
          <w:lang w:val="fr-FR"/>
        </w:rPr>
      </w:pPr>
      <w:r w:rsidRPr="006E417A">
        <w:rPr>
          <w:b/>
          <w:bCs/>
          <w:sz w:val="20"/>
          <w:szCs w:val="20"/>
          <w:lang w:val="fr-FR"/>
        </w:rPr>
        <w:t>Selon nos estimations, ces deux nouvelles semaines doivent permettre d’ouvrir un total de 145 000 nouve</w:t>
      </w:r>
      <w:r w:rsidR="00D50656">
        <w:rPr>
          <w:b/>
          <w:bCs/>
          <w:sz w:val="20"/>
          <w:szCs w:val="20"/>
          <w:lang w:val="fr-FR"/>
        </w:rPr>
        <w:t xml:space="preserve">lles premières injections </w:t>
      </w:r>
      <w:r>
        <w:rPr>
          <w:sz w:val="20"/>
          <w:szCs w:val="20"/>
          <w:lang w:val="fr-FR"/>
        </w:rPr>
        <w:t>(</w:t>
      </w:r>
      <w:r w:rsidR="00D50656">
        <w:rPr>
          <w:sz w:val="20"/>
          <w:szCs w:val="20"/>
          <w:lang w:val="fr-FR"/>
        </w:rPr>
        <w:t xml:space="preserve">en effet, </w:t>
      </w:r>
      <w:r>
        <w:rPr>
          <w:sz w:val="20"/>
          <w:szCs w:val="20"/>
          <w:lang w:val="fr-FR"/>
        </w:rPr>
        <w:t>les centres de vaccination se concentreront ces 2 semaines sur les deuxièmes injections).</w:t>
      </w:r>
    </w:p>
    <w:p w14:paraId="48EEB1F3" w14:textId="77777777" w:rsidR="006E417A" w:rsidRDefault="006E417A" w:rsidP="006E417A">
      <w:pPr>
        <w:pStyle w:val="00Body"/>
        <w:spacing w:before="0" w:after="0" w:line="275" w:lineRule="auto"/>
        <w:ind w:left="284"/>
        <w:jc w:val="both"/>
        <w:rPr>
          <w:sz w:val="20"/>
          <w:szCs w:val="20"/>
          <w:lang w:val="fr-FR"/>
        </w:rPr>
      </w:pPr>
    </w:p>
    <w:p w14:paraId="082D9085" w14:textId="473736F1" w:rsidR="006E417A" w:rsidRPr="007D5440" w:rsidRDefault="006E417A" w:rsidP="007D5440">
      <w:pPr>
        <w:pStyle w:val="00Body"/>
        <w:numPr>
          <w:ilvl w:val="0"/>
          <w:numId w:val="47"/>
        </w:numPr>
        <w:spacing w:before="0" w:after="0" w:line="275" w:lineRule="auto"/>
        <w:ind w:left="284" w:hanging="284"/>
        <w:jc w:val="both"/>
        <w:rPr>
          <w:sz w:val="20"/>
          <w:szCs w:val="20"/>
          <w:lang w:val="fr-FR"/>
        </w:rPr>
      </w:pPr>
      <w:r w:rsidRPr="006E417A">
        <w:rPr>
          <w:b/>
          <w:bCs/>
          <w:sz w:val="20"/>
          <w:szCs w:val="20"/>
          <w:u w:val="single"/>
          <w:lang w:val="fr-FR"/>
        </w:rPr>
        <w:t>Avant cette ouverture lundi 25 janvier</w:t>
      </w:r>
      <w:r w:rsidRPr="006E417A">
        <w:rPr>
          <w:b/>
          <w:bCs/>
          <w:sz w:val="20"/>
          <w:szCs w:val="20"/>
          <w:lang w:val="fr-FR"/>
        </w:rPr>
        <w:t xml:space="preserve">, il est demandé aux ARS de déplacer les rendez-vous surnuméraires des 4 semaines déjà ouvertes </w:t>
      </w:r>
      <w:r w:rsidR="00D50656">
        <w:rPr>
          <w:b/>
          <w:bCs/>
          <w:sz w:val="20"/>
          <w:szCs w:val="20"/>
          <w:lang w:val="fr-FR"/>
        </w:rPr>
        <w:t xml:space="preserve">(si cela semble nécessaire – cf. supra) </w:t>
      </w:r>
      <w:r w:rsidRPr="006E417A">
        <w:rPr>
          <w:b/>
          <w:bCs/>
          <w:sz w:val="20"/>
          <w:szCs w:val="20"/>
          <w:lang w:val="fr-FR"/>
        </w:rPr>
        <w:t>sur ces 2 nouvelles semaines</w:t>
      </w:r>
      <w:r w:rsidR="00537BB3">
        <w:rPr>
          <w:b/>
          <w:bCs/>
          <w:sz w:val="20"/>
          <w:szCs w:val="20"/>
          <w:lang w:val="fr-FR"/>
        </w:rPr>
        <w:t xml:space="preserve"> avant que ces dernières ne soi</w:t>
      </w:r>
      <w:r w:rsidR="00D50656">
        <w:rPr>
          <w:b/>
          <w:bCs/>
          <w:sz w:val="20"/>
          <w:szCs w:val="20"/>
          <w:lang w:val="fr-FR"/>
        </w:rPr>
        <w:t>en</w:t>
      </w:r>
      <w:r w:rsidR="00537BB3">
        <w:rPr>
          <w:b/>
          <w:bCs/>
          <w:sz w:val="20"/>
          <w:szCs w:val="20"/>
          <w:lang w:val="fr-FR"/>
        </w:rPr>
        <w:t>t ouverte</w:t>
      </w:r>
      <w:r w:rsidR="00D50656">
        <w:rPr>
          <w:b/>
          <w:bCs/>
          <w:sz w:val="20"/>
          <w:szCs w:val="20"/>
          <w:lang w:val="fr-FR"/>
        </w:rPr>
        <w:t>s</w:t>
      </w:r>
      <w:r w:rsidR="00537BB3">
        <w:rPr>
          <w:b/>
          <w:bCs/>
          <w:sz w:val="20"/>
          <w:szCs w:val="20"/>
          <w:lang w:val="fr-FR"/>
        </w:rPr>
        <w:t xml:space="preserve"> à de nouveaux rendez-vous</w:t>
      </w:r>
      <w:r>
        <w:rPr>
          <w:sz w:val="20"/>
          <w:szCs w:val="20"/>
          <w:lang w:val="fr-FR"/>
        </w:rPr>
        <w:t>. A titre d’exemple, un département qui aurait 1 000 rendez-vous surnuméraires la semaine du 18 janvier, 500 rendez-vous surnuméraires la semaine du 25 janvier, et aucun rendez-vous disponible les semaines du 1</w:t>
      </w:r>
      <w:r w:rsidRPr="006E417A">
        <w:rPr>
          <w:sz w:val="20"/>
          <w:szCs w:val="20"/>
          <w:vertAlign w:val="superscript"/>
          <w:lang w:val="fr-FR"/>
        </w:rPr>
        <w:t>er</w:t>
      </w:r>
      <w:r>
        <w:rPr>
          <w:sz w:val="20"/>
          <w:szCs w:val="20"/>
          <w:lang w:val="fr-FR"/>
        </w:rPr>
        <w:t xml:space="preserve"> et du 8 février, doi</w:t>
      </w:r>
      <w:r w:rsidR="00D50656">
        <w:rPr>
          <w:sz w:val="20"/>
          <w:szCs w:val="20"/>
          <w:lang w:val="fr-FR"/>
        </w:rPr>
        <w:t xml:space="preserve">t </w:t>
      </w:r>
      <w:r>
        <w:rPr>
          <w:sz w:val="20"/>
          <w:szCs w:val="20"/>
          <w:lang w:val="fr-FR"/>
        </w:rPr>
        <w:t>décaler les 1 500 rendez-vous surnuméraires les semaines du 15 et du 22 février, réduisant d’autant les nouveaux créneaux disponibles à la réservation.</w:t>
      </w:r>
    </w:p>
    <w:p w14:paraId="570DFE9B" w14:textId="77777777" w:rsidR="00971895" w:rsidRDefault="00971895" w:rsidP="00595869">
      <w:pPr>
        <w:pStyle w:val="00Body"/>
        <w:spacing w:before="0" w:after="0" w:line="275" w:lineRule="auto"/>
        <w:ind w:left="284"/>
        <w:jc w:val="both"/>
        <w:rPr>
          <w:sz w:val="20"/>
          <w:szCs w:val="20"/>
          <w:lang w:val="fr-FR"/>
        </w:rPr>
      </w:pPr>
    </w:p>
    <w:p w14:paraId="4EED544D" w14:textId="4D851CE5" w:rsidR="00537BB3" w:rsidRPr="00F613B1" w:rsidRDefault="000A0E55">
      <w:pPr>
        <w:pStyle w:val="00Body"/>
        <w:numPr>
          <w:ilvl w:val="0"/>
          <w:numId w:val="47"/>
        </w:numPr>
        <w:spacing w:before="0" w:after="0" w:line="275" w:lineRule="auto"/>
        <w:ind w:left="284" w:hanging="284"/>
        <w:jc w:val="both"/>
        <w:rPr>
          <w:sz w:val="20"/>
          <w:szCs w:val="20"/>
          <w:lang w:val="fr-FR"/>
        </w:rPr>
      </w:pPr>
      <w:r w:rsidRPr="000A0E55">
        <w:rPr>
          <w:sz w:val="20"/>
          <w:szCs w:val="20"/>
          <w:lang w:val="fr-FR"/>
        </w:rPr>
        <w:t>Comme cela est déjà en principe systématiquement le cas, l</w:t>
      </w:r>
      <w:r w:rsidR="00365BE1" w:rsidRPr="000A0E55">
        <w:rPr>
          <w:sz w:val="20"/>
          <w:szCs w:val="20"/>
          <w:lang w:val="fr-FR"/>
        </w:rPr>
        <w:t xml:space="preserve">es plateformes </w:t>
      </w:r>
      <w:r w:rsidR="00365BE1" w:rsidRPr="000A0E55">
        <w:rPr>
          <w:sz w:val="20"/>
          <w:szCs w:val="20"/>
          <w:u w:val="single"/>
          <w:lang w:val="fr-FR"/>
        </w:rPr>
        <w:t>enregistre</w:t>
      </w:r>
      <w:r w:rsidRPr="000A0E55">
        <w:rPr>
          <w:sz w:val="20"/>
          <w:szCs w:val="20"/>
          <w:u w:val="single"/>
          <w:lang w:val="fr-FR"/>
        </w:rPr>
        <w:t xml:space="preserve">nt </w:t>
      </w:r>
      <w:r w:rsidR="00365BE1" w:rsidRPr="000A0E55">
        <w:rPr>
          <w:sz w:val="20"/>
          <w:szCs w:val="20"/>
          <w:u w:val="single"/>
          <w:lang w:val="fr-FR"/>
        </w:rPr>
        <w:t>automatiquement les rendez-vous</w:t>
      </w:r>
      <w:r w:rsidR="00D50656">
        <w:rPr>
          <w:sz w:val="20"/>
          <w:szCs w:val="20"/>
          <w:u w:val="single"/>
          <w:lang w:val="fr-FR"/>
        </w:rPr>
        <w:t xml:space="preserve"> de deuxième injection</w:t>
      </w:r>
      <w:r w:rsidR="00365BE1" w:rsidRPr="000A0E55">
        <w:rPr>
          <w:sz w:val="20"/>
          <w:szCs w:val="20"/>
          <w:lang w:val="fr-FR"/>
        </w:rPr>
        <w:t xml:space="preserve"> </w:t>
      </w:r>
      <w:r w:rsidRPr="000A0E55">
        <w:rPr>
          <w:sz w:val="20"/>
          <w:szCs w:val="20"/>
          <w:lang w:val="fr-FR"/>
        </w:rPr>
        <w:t>à J</w:t>
      </w:r>
      <w:r w:rsidR="00365BE1" w:rsidRPr="000A0E55">
        <w:rPr>
          <w:sz w:val="20"/>
          <w:szCs w:val="20"/>
          <w:lang w:val="fr-FR"/>
        </w:rPr>
        <w:t>+26, +27 ou +28 jour</w:t>
      </w:r>
      <w:r>
        <w:rPr>
          <w:sz w:val="20"/>
          <w:szCs w:val="20"/>
          <w:lang w:val="fr-FR"/>
        </w:rPr>
        <w:t>s après la première injection, selon les créneaux disponibles et les souhaits des personnes concernées</w:t>
      </w:r>
      <w:r w:rsidR="00537BB3">
        <w:rPr>
          <w:sz w:val="20"/>
          <w:szCs w:val="20"/>
          <w:lang w:val="fr-FR"/>
        </w:rPr>
        <w:t>.</w:t>
      </w:r>
    </w:p>
    <w:p w14:paraId="01C7FF91" w14:textId="77777777" w:rsidR="00537BB3" w:rsidRPr="00F613B1" w:rsidRDefault="00537BB3" w:rsidP="00F613B1">
      <w:pPr>
        <w:pStyle w:val="00Body"/>
        <w:spacing w:before="0" w:after="0" w:line="275" w:lineRule="auto"/>
        <w:ind w:left="284"/>
        <w:jc w:val="both"/>
        <w:rPr>
          <w:sz w:val="20"/>
          <w:szCs w:val="20"/>
          <w:lang w:val="fr-FR"/>
        </w:rPr>
      </w:pPr>
    </w:p>
    <w:p w14:paraId="70A41F3C" w14:textId="6C41759B" w:rsidR="00537BB3" w:rsidRPr="00537BB3" w:rsidRDefault="00537BB3">
      <w:pPr>
        <w:pStyle w:val="00Body"/>
        <w:numPr>
          <w:ilvl w:val="0"/>
          <w:numId w:val="47"/>
        </w:numPr>
        <w:spacing w:before="0" w:after="0" w:line="275" w:lineRule="auto"/>
        <w:ind w:left="284" w:hanging="284"/>
        <w:jc w:val="both"/>
        <w:rPr>
          <w:sz w:val="20"/>
          <w:szCs w:val="20"/>
          <w:lang w:val="fr-FR"/>
        </w:rPr>
      </w:pPr>
      <w:r>
        <w:rPr>
          <w:sz w:val="20"/>
          <w:szCs w:val="20"/>
          <w:lang w:val="fr-FR"/>
        </w:rPr>
        <w:t>Les centres peuvent ouvrir de nouveau</w:t>
      </w:r>
      <w:r w:rsidR="00D50656">
        <w:rPr>
          <w:sz w:val="20"/>
          <w:szCs w:val="20"/>
          <w:lang w:val="fr-FR"/>
        </w:rPr>
        <w:t>x</w:t>
      </w:r>
      <w:r>
        <w:rPr>
          <w:sz w:val="20"/>
          <w:szCs w:val="20"/>
          <w:lang w:val="fr-FR"/>
        </w:rPr>
        <w:t xml:space="preserve"> rendez-vous en cas de reconstitution ponctuelle d’un stock lié à une bonne capacité à opérer la </w:t>
      </w:r>
      <w:r w:rsidR="00D50656">
        <w:rPr>
          <w:sz w:val="20"/>
          <w:szCs w:val="20"/>
          <w:lang w:val="fr-FR"/>
        </w:rPr>
        <w:t>sixième</w:t>
      </w:r>
      <w:r>
        <w:rPr>
          <w:sz w:val="20"/>
          <w:szCs w:val="20"/>
          <w:lang w:val="fr-FR"/>
        </w:rPr>
        <w:t xml:space="preserve"> dose sur chaque flacon, cette dernière n’étant pas </w:t>
      </w:r>
      <w:r w:rsidR="00D50656">
        <w:rPr>
          <w:sz w:val="20"/>
          <w:szCs w:val="20"/>
          <w:lang w:val="fr-FR"/>
        </w:rPr>
        <w:t xml:space="preserve">encore </w:t>
      </w:r>
      <w:r>
        <w:rPr>
          <w:sz w:val="20"/>
          <w:szCs w:val="20"/>
          <w:lang w:val="fr-FR"/>
        </w:rPr>
        <w:t xml:space="preserve">prise en compte dans le modèle par mesure de prudence. </w:t>
      </w:r>
    </w:p>
    <w:p w14:paraId="634F3E87" w14:textId="77777777" w:rsidR="000A0E55" w:rsidRDefault="000A0E55" w:rsidP="000A0E55">
      <w:pPr>
        <w:pStyle w:val="00Body"/>
        <w:spacing w:before="0" w:after="0" w:line="275" w:lineRule="auto"/>
        <w:ind w:left="284"/>
        <w:rPr>
          <w:b/>
          <w:sz w:val="20"/>
          <w:szCs w:val="20"/>
          <w:u w:val="single"/>
          <w:lang w:val="fr-FR"/>
        </w:rPr>
      </w:pPr>
    </w:p>
    <w:p w14:paraId="721EAA04" w14:textId="77777777" w:rsidR="000A0E55" w:rsidRDefault="000A0E55" w:rsidP="000A0E55">
      <w:pPr>
        <w:pStyle w:val="00Body"/>
        <w:numPr>
          <w:ilvl w:val="0"/>
          <w:numId w:val="46"/>
        </w:numPr>
        <w:spacing w:before="0" w:after="0" w:line="275" w:lineRule="auto"/>
        <w:ind w:left="284" w:hanging="284"/>
        <w:rPr>
          <w:b/>
          <w:sz w:val="20"/>
          <w:szCs w:val="20"/>
          <w:u w:val="single"/>
          <w:lang w:val="fr-FR"/>
        </w:rPr>
      </w:pPr>
      <w:r>
        <w:rPr>
          <w:b/>
          <w:sz w:val="20"/>
          <w:szCs w:val="20"/>
          <w:u w:val="single"/>
          <w:lang w:val="fr-FR"/>
        </w:rPr>
        <w:t>Mode d’emploi des fichiers transmis à chaque ARS</w:t>
      </w:r>
    </w:p>
    <w:p w14:paraId="1D6D47A7" w14:textId="77777777" w:rsidR="000A0E55" w:rsidRDefault="000A0E55" w:rsidP="000A0E55">
      <w:pPr>
        <w:pStyle w:val="00Body"/>
        <w:spacing w:before="0" w:after="0" w:line="275" w:lineRule="auto"/>
        <w:jc w:val="both"/>
        <w:rPr>
          <w:sz w:val="20"/>
          <w:szCs w:val="20"/>
          <w:lang w:val="fr-FR"/>
        </w:rPr>
      </w:pPr>
    </w:p>
    <w:p w14:paraId="0462903D" w14:textId="77777777" w:rsidR="000A0E55" w:rsidRDefault="000A0E55" w:rsidP="000A0E55">
      <w:pPr>
        <w:pStyle w:val="00Body"/>
        <w:numPr>
          <w:ilvl w:val="0"/>
          <w:numId w:val="47"/>
        </w:numPr>
        <w:spacing w:before="0" w:after="0" w:line="275" w:lineRule="auto"/>
        <w:ind w:left="284" w:hanging="284"/>
        <w:jc w:val="both"/>
        <w:rPr>
          <w:sz w:val="20"/>
          <w:szCs w:val="20"/>
          <w:lang w:val="fr-FR"/>
        </w:rPr>
      </w:pPr>
      <w:r>
        <w:rPr>
          <w:sz w:val="20"/>
          <w:szCs w:val="20"/>
          <w:lang w:val="fr-FR"/>
        </w:rPr>
        <w:t>Les fichiers transmis comprennent trois onglets :</w:t>
      </w:r>
    </w:p>
    <w:p w14:paraId="54441AF9" w14:textId="77777777" w:rsidR="000A0E55" w:rsidRDefault="000A0E55" w:rsidP="000A0E55">
      <w:pPr>
        <w:pStyle w:val="00Body"/>
        <w:numPr>
          <w:ilvl w:val="0"/>
          <w:numId w:val="48"/>
        </w:numPr>
        <w:spacing w:before="0" w:after="0" w:line="275" w:lineRule="auto"/>
        <w:ind w:left="567" w:hanging="284"/>
        <w:jc w:val="both"/>
        <w:rPr>
          <w:sz w:val="20"/>
          <w:szCs w:val="20"/>
          <w:lang w:val="fr-FR"/>
        </w:rPr>
      </w:pPr>
      <w:r>
        <w:rPr>
          <w:sz w:val="20"/>
          <w:szCs w:val="20"/>
          <w:lang w:val="fr-FR"/>
        </w:rPr>
        <w:t xml:space="preserve">L’onglet </w:t>
      </w:r>
      <w:r w:rsidR="007268B9">
        <w:rPr>
          <w:sz w:val="20"/>
          <w:szCs w:val="20"/>
          <w:lang w:val="fr-FR"/>
        </w:rPr>
        <w:t xml:space="preserve">bleu </w:t>
      </w:r>
      <w:r>
        <w:rPr>
          <w:sz w:val="20"/>
          <w:szCs w:val="20"/>
          <w:lang w:val="fr-FR"/>
        </w:rPr>
        <w:t>« nouvelle dotation »</w:t>
      </w:r>
      <w:r w:rsidR="007268B9">
        <w:rPr>
          <w:sz w:val="20"/>
          <w:szCs w:val="20"/>
          <w:lang w:val="fr-FR"/>
        </w:rPr>
        <w:t xml:space="preserve"> indique sur un horizon de 6 semaines à compter du 18 janvier (i) la dotation en doses de chaque établissement pivot, et (ii) le nombre maximum de premières et deuxièmes injections à planifier compte-tenu des stocks connus à date. Ces données sont indiquées à 5 et 6 doses par flacon (voir ci-après) ;</w:t>
      </w:r>
    </w:p>
    <w:p w14:paraId="53CB9FBE" w14:textId="77777777" w:rsidR="007268B9" w:rsidRDefault="007268B9" w:rsidP="000A0E55">
      <w:pPr>
        <w:pStyle w:val="00Body"/>
        <w:numPr>
          <w:ilvl w:val="0"/>
          <w:numId w:val="48"/>
        </w:numPr>
        <w:spacing w:before="0" w:after="0" w:line="275" w:lineRule="auto"/>
        <w:ind w:left="567" w:hanging="284"/>
        <w:jc w:val="both"/>
        <w:rPr>
          <w:sz w:val="20"/>
          <w:szCs w:val="20"/>
          <w:lang w:val="fr-FR"/>
        </w:rPr>
      </w:pPr>
      <w:r>
        <w:rPr>
          <w:sz w:val="20"/>
          <w:szCs w:val="20"/>
          <w:lang w:val="fr-FR"/>
        </w:rPr>
        <w:t xml:space="preserve">L’onglet noir « écart vs. ancienne dotation » permet de comparer pour chaque semaine et chaque établissement les évolutions par rapport à la version communiquée le 14 janvier. Quasiment tous les montants sont en baisse pour les raisons évoquées </w:t>
      </w:r>
      <w:r w:rsidRPr="00F613B1">
        <w:rPr>
          <w:i/>
          <w:sz w:val="20"/>
          <w:szCs w:val="20"/>
          <w:lang w:val="fr-FR"/>
        </w:rPr>
        <w:t>supra</w:t>
      </w:r>
      <w:r w:rsidR="00537BB3">
        <w:rPr>
          <w:sz w:val="20"/>
          <w:szCs w:val="20"/>
          <w:lang w:val="fr-FR"/>
        </w:rPr>
        <w:t xml:space="preserve"> (baisse des livraisons Pfizer et surconsommation sur la semaine du 18 janvier)</w:t>
      </w:r>
      <w:r>
        <w:rPr>
          <w:sz w:val="20"/>
          <w:szCs w:val="20"/>
          <w:lang w:val="fr-FR"/>
        </w:rPr>
        <w:t> ;</w:t>
      </w:r>
    </w:p>
    <w:p w14:paraId="45BC1B55" w14:textId="77777777" w:rsidR="007268B9" w:rsidRDefault="007268B9" w:rsidP="000A0E55">
      <w:pPr>
        <w:pStyle w:val="00Body"/>
        <w:numPr>
          <w:ilvl w:val="0"/>
          <w:numId w:val="48"/>
        </w:numPr>
        <w:spacing w:before="0" w:after="0" w:line="275" w:lineRule="auto"/>
        <w:ind w:left="567" w:hanging="284"/>
        <w:jc w:val="both"/>
        <w:rPr>
          <w:sz w:val="20"/>
          <w:szCs w:val="20"/>
          <w:lang w:val="fr-FR"/>
        </w:rPr>
      </w:pPr>
      <w:r>
        <w:rPr>
          <w:sz w:val="20"/>
          <w:szCs w:val="20"/>
          <w:lang w:val="fr-FR"/>
        </w:rPr>
        <w:t xml:space="preserve">L’onglet « clé d’allocation des doses » offre la transparence sur (i) la population cible par région et (ii) les dotations passées et à venir. Les écarts qui demeurent en raison des livraisons passées seront progressivement réduits. </w:t>
      </w:r>
    </w:p>
    <w:p w14:paraId="5C716784" w14:textId="77777777" w:rsidR="007268B9" w:rsidRDefault="007268B9" w:rsidP="007268B9">
      <w:pPr>
        <w:pStyle w:val="00Body"/>
        <w:spacing w:before="0" w:after="0" w:line="275" w:lineRule="auto"/>
        <w:jc w:val="both"/>
        <w:rPr>
          <w:sz w:val="20"/>
          <w:szCs w:val="20"/>
          <w:lang w:val="fr-FR"/>
        </w:rPr>
      </w:pPr>
    </w:p>
    <w:p w14:paraId="70AF1BC1" w14:textId="77777777" w:rsidR="00D50656" w:rsidRDefault="00D50656">
      <w:pPr>
        <w:spacing w:after="160" w:line="259" w:lineRule="auto"/>
        <w:rPr>
          <w:b/>
          <w:sz w:val="20"/>
          <w:szCs w:val="20"/>
          <w:u w:val="single"/>
          <w:lang w:val="fr-FR"/>
        </w:rPr>
      </w:pPr>
      <w:r>
        <w:rPr>
          <w:b/>
          <w:sz w:val="20"/>
          <w:szCs w:val="20"/>
          <w:u w:val="single"/>
          <w:lang w:val="fr-FR"/>
        </w:rPr>
        <w:br w:type="page"/>
      </w:r>
    </w:p>
    <w:p w14:paraId="059D126A" w14:textId="26499A3F" w:rsidR="007268B9" w:rsidRDefault="007268B9" w:rsidP="007268B9">
      <w:pPr>
        <w:pStyle w:val="00Body"/>
        <w:numPr>
          <w:ilvl w:val="0"/>
          <w:numId w:val="46"/>
        </w:numPr>
        <w:spacing w:before="0" w:after="0" w:line="275" w:lineRule="auto"/>
        <w:ind w:left="284" w:hanging="284"/>
        <w:rPr>
          <w:b/>
          <w:sz w:val="20"/>
          <w:szCs w:val="20"/>
          <w:u w:val="single"/>
          <w:lang w:val="fr-FR"/>
        </w:rPr>
      </w:pPr>
      <w:r>
        <w:rPr>
          <w:b/>
          <w:sz w:val="20"/>
          <w:szCs w:val="20"/>
          <w:u w:val="single"/>
          <w:lang w:val="fr-FR"/>
        </w:rPr>
        <w:lastRenderedPageBreak/>
        <w:t>Décompte en 5 doses ou 6 doses</w:t>
      </w:r>
    </w:p>
    <w:p w14:paraId="75D82FB7" w14:textId="77777777" w:rsidR="007268B9" w:rsidRDefault="007268B9" w:rsidP="007268B9">
      <w:pPr>
        <w:pStyle w:val="00Body"/>
        <w:spacing w:before="0" w:after="0" w:line="275" w:lineRule="auto"/>
        <w:ind w:left="284"/>
        <w:rPr>
          <w:b/>
          <w:sz w:val="20"/>
          <w:szCs w:val="20"/>
          <w:u w:val="single"/>
          <w:lang w:val="fr-FR"/>
        </w:rPr>
      </w:pPr>
    </w:p>
    <w:p w14:paraId="01AB7D10" w14:textId="60A84E89" w:rsidR="007268B9" w:rsidRDefault="007268B9" w:rsidP="007268B9">
      <w:pPr>
        <w:pStyle w:val="00Body"/>
        <w:numPr>
          <w:ilvl w:val="0"/>
          <w:numId w:val="47"/>
        </w:numPr>
        <w:spacing w:before="0" w:after="0" w:line="275" w:lineRule="auto"/>
        <w:ind w:left="284" w:hanging="284"/>
        <w:jc w:val="both"/>
        <w:rPr>
          <w:sz w:val="20"/>
          <w:szCs w:val="20"/>
          <w:lang w:val="fr-FR"/>
        </w:rPr>
      </w:pPr>
      <w:r w:rsidRPr="007268B9">
        <w:rPr>
          <w:sz w:val="20"/>
          <w:szCs w:val="20"/>
          <w:lang w:val="fr-FR"/>
        </w:rPr>
        <w:t>L’AMM du vaccin Pfizer indique</w:t>
      </w:r>
      <w:r>
        <w:rPr>
          <w:sz w:val="20"/>
          <w:szCs w:val="20"/>
          <w:lang w:val="fr-FR"/>
        </w:rPr>
        <w:t xml:space="preserve"> qu’il est possible d’extraire jusqu’à 6 doses par flacon. Pfizer a ainsi décidé, à compter du 18 janvier</w:t>
      </w:r>
      <w:r w:rsidR="00D50656">
        <w:rPr>
          <w:sz w:val="20"/>
          <w:szCs w:val="20"/>
          <w:lang w:val="fr-FR"/>
        </w:rPr>
        <w:t>,</w:t>
      </w:r>
      <w:r>
        <w:rPr>
          <w:sz w:val="20"/>
          <w:szCs w:val="20"/>
          <w:lang w:val="fr-FR"/>
        </w:rPr>
        <w:t xml:space="preserve"> de décompter 6 doses par flacon, réduisant de 20% le nombre de flacons livrés. </w:t>
      </w:r>
      <w:r w:rsidR="00B76D8A">
        <w:rPr>
          <w:sz w:val="20"/>
          <w:szCs w:val="20"/>
          <w:lang w:val="fr-FR"/>
        </w:rPr>
        <w:t>Des discussions sont engagées au plan européen à ce sujet.</w:t>
      </w:r>
    </w:p>
    <w:p w14:paraId="33D9BE0E" w14:textId="77777777" w:rsidR="00D50656" w:rsidRDefault="00D50656" w:rsidP="00D50656">
      <w:pPr>
        <w:pStyle w:val="00Body"/>
        <w:spacing w:before="0" w:after="0" w:line="275" w:lineRule="auto"/>
        <w:ind w:left="284"/>
        <w:jc w:val="both"/>
        <w:rPr>
          <w:sz w:val="20"/>
          <w:szCs w:val="20"/>
          <w:lang w:val="fr-FR"/>
        </w:rPr>
      </w:pPr>
    </w:p>
    <w:p w14:paraId="777166C5" w14:textId="58FD7EDF" w:rsidR="00D50656" w:rsidRDefault="00D50656" w:rsidP="007268B9">
      <w:pPr>
        <w:pStyle w:val="00Body"/>
        <w:numPr>
          <w:ilvl w:val="0"/>
          <w:numId w:val="47"/>
        </w:numPr>
        <w:spacing w:before="0" w:after="0" w:line="275" w:lineRule="auto"/>
        <w:ind w:left="284" w:hanging="284"/>
        <w:jc w:val="both"/>
        <w:rPr>
          <w:sz w:val="20"/>
          <w:szCs w:val="20"/>
          <w:lang w:val="fr-FR"/>
        </w:rPr>
      </w:pPr>
      <w:r>
        <w:rPr>
          <w:sz w:val="20"/>
          <w:szCs w:val="20"/>
          <w:lang w:val="fr-FR"/>
        </w:rPr>
        <w:t xml:space="preserve">Il est rappelé que l’objectif consiste désormais à extraire systématiquement six doses par flacon, comme c’est déjà le cas dans de nombreux centres. Des supports de formation sont en cours de finalisation pour aider tous les centres à y parvenir à très court terme. </w:t>
      </w:r>
    </w:p>
    <w:p w14:paraId="581591EC" w14:textId="77777777" w:rsidR="00B76D8A" w:rsidRDefault="00B76D8A" w:rsidP="00B76D8A">
      <w:pPr>
        <w:pStyle w:val="00Body"/>
        <w:spacing w:before="0" w:after="0" w:line="275" w:lineRule="auto"/>
        <w:ind w:left="284"/>
        <w:jc w:val="both"/>
        <w:rPr>
          <w:sz w:val="20"/>
          <w:szCs w:val="20"/>
          <w:lang w:val="fr-FR"/>
        </w:rPr>
      </w:pPr>
    </w:p>
    <w:p w14:paraId="4E8BFBF3" w14:textId="77777777" w:rsidR="00B76D8A" w:rsidRDefault="00B76D8A" w:rsidP="007268B9">
      <w:pPr>
        <w:pStyle w:val="00Body"/>
        <w:numPr>
          <w:ilvl w:val="0"/>
          <w:numId w:val="47"/>
        </w:numPr>
        <w:spacing w:before="0" w:after="0" w:line="275" w:lineRule="auto"/>
        <w:ind w:left="284" w:hanging="284"/>
        <w:jc w:val="both"/>
        <w:rPr>
          <w:sz w:val="20"/>
          <w:szCs w:val="20"/>
          <w:lang w:val="fr-FR"/>
        </w:rPr>
      </w:pPr>
      <w:r>
        <w:rPr>
          <w:sz w:val="20"/>
          <w:szCs w:val="20"/>
          <w:lang w:val="fr-FR"/>
        </w:rPr>
        <w:t xml:space="preserve">Dans l’immédiat : </w:t>
      </w:r>
    </w:p>
    <w:p w14:paraId="6B4D84B9" w14:textId="77777777" w:rsidR="00B76D8A" w:rsidRDefault="00B76D8A" w:rsidP="00B76D8A">
      <w:pPr>
        <w:pStyle w:val="00Body"/>
        <w:numPr>
          <w:ilvl w:val="0"/>
          <w:numId w:val="48"/>
        </w:numPr>
        <w:spacing w:before="0" w:after="0" w:line="275" w:lineRule="auto"/>
        <w:ind w:left="567" w:hanging="284"/>
        <w:jc w:val="both"/>
        <w:rPr>
          <w:sz w:val="20"/>
          <w:szCs w:val="20"/>
          <w:lang w:val="fr-FR"/>
        </w:rPr>
      </w:pPr>
      <w:r>
        <w:rPr>
          <w:sz w:val="20"/>
          <w:szCs w:val="20"/>
          <w:lang w:val="fr-FR"/>
        </w:rPr>
        <w:t>Les informations qui servent de référence</w:t>
      </w:r>
      <w:r w:rsidR="00286135">
        <w:rPr>
          <w:sz w:val="20"/>
          <w:szCs w:val="20"/>
          <w:lang w:val="fr-FR"/>
        </w:rPr>
        <w:t xml:space="preserve"> sont toujours décomptées en 5 doses ;</w:t>
      </w:r>
    </w:p>
    <w:p w14:paraId="17E9992E" w14:textId="77777777" w:rsidR="00B76D8A" w:rsidRDefault="00286135" w:rsidP="00B76D8A">
      <w:pPr>
        <w:pStyle w:val="00Body"/>
        <w:numPr>
          <w:ilvl w:val="0"/>
          <w:numId w:val="48"/>
        </w:numPr>
        <w:spacing w:before="0" w:after="0" w:line="275" w:lineRule="auto"/>
        <w:ind w:left="567" w:hanging="284"/>
        <w:jc w:val="both"/>
        <w:rPr>
          <w:sz w:val="20"/>
          <w:szCs w:val="20"/>
          <w:lang w:val="fr-FR"/>
        </w:rPr>
      </w:pPr>
      <w:r>
        <w:rPr>
          <w:sz w:val="20"/>
          <w:szCs w:val="20"/>
          <w:lang w:val="fr-FR"/>
        </w:rPr>
        <w:t>Les centres qui parviennent à extraire 6 doses bénéficient ainsi de quantités (en stock et en flux) majorées de 20% ;</w:t>
      </w:r>
    </w:p>
    <w:p w14:paraId="77A649CE" w14:textId="646A6DB4" w:rsidR="00286135" w:rsidRDefault="00286135" w:rsidP="00B76D8A">
      <w:pPr>
        <w:pStyle w:val="00Body"/>
        <w:numPr>
          <w:ilvl w:val="0"/>
          <w:numId w:val="48"/>
        </w:numPr>
        <w:spacing w:before="0" w:after="0" w:line="275" w:lineRule="auto"/>
        <w:ind w:left="567" w:hanging="284"/>
        <w:jc w:val="both"/>
        <w:rPr>
          <w:sz w:val="20"/>
          <w:szCs w:val="20"/>
          <w:lang w:val="fr-FR"/>
        </w:rPr>
      </w:pPr>
      <w:r>
        <w:rPr>
          <w:sz w:val="20"/>
          <w:szCs w:val="20"/>
          <w:lang w:val="fr-FR"/>
        </w:rPr>
        <w:t xml:space="preserve">Tous les effecteurs sont invités à faire le maximum pour extraire systématiquement la </w:t>
      </w:r>
      <w:r w:rsidR="008A5C81">
        <w:rPr>
          <w:sz w:val="20"/>
          <w:szCs w:val="20"/>
          <w:lang w:val="fr-FR"/>
        </w:rPr>
        <w:t>sixième</w:t>
      </w:r>
      <w:r>
        <w:rPr>
          <w:sz w:val="20"/>
          <w:szCs w:val="20"/>
          <w:lang w:val="fr-FR"/>
        </w:rPr>
        <w:t xml:space="preserve"> dose</w:t>
      </w:r>
      <w:r w:rsidR="008A5C81">
        <w:rPr>
          <w:sz w:val="20"/>
          <w:szCs w:val="20"/>
          <w:lang w:val="fr-FR"/>
        </w:rPr>
        <w:t>.</w:t>
      </w:r>
    </w:p>
    <w:p w14:paraId="416A6AB5" w14:textId="77777777" w:rsidR="00286135" w:rsidRDefault="00286135" w:rsidP="00286135">
      <w:pPr>
        <w:pStyle w:val="00Body"/>
        <w:spacing w:before="0" w:after="0" w:line="275" w:lineRule="auto"/>
        <w:jc w:val="both"/>
        <w:rPr>
          <w:sz w:val="20"/>
          <w:szCs w:val="20"/>
          <w:lang w:val="fr-FR"/>
        </w:rPr>
      </w:pPr>
    </w:p>
    <w:p w14:paraId="2A8C79CC" w14:textId="4D15633E" w:rsidR="00286135" w:rsidRPr="007268B9" w:rsidRDefault="008A5C81" w:rsidP="008A5C81">
      <w:pPr>
        <w:pStyle w:val="00Body"/>
        <w:numPr>
          <w:ilvl w:val="0"/>
          <w:numId w:val="47"/>
        </w:numPr>
        <w:spacing w:before="0" w:after="0" w:line="275" w:lineRule="auto"/>
        <w:ind w:left="284" w:hanging="284"/>
        <w:jc w:val="both"/>
        <w:rPr>
          <w:sz w:val="20"/>
          <w:szCs w:val="20"/>
          <w:lang w:val="fr-FR"/>
        </w:rPr>
      </w:pPr>
      <w:r>
        <w:rPr>
          <w:sz w:val="20"/>
          <w:szCs w:val="20"/>
          <w:lang w:val="fr-FR"/>
        </w:rPr>
        <w:t>Le décompte généralisé en 6 doses sera effectué dans les prochains jours.</w:t>
      </w:r>
    </w:p>
    <w:p w14:paraId="6A294AFE" w14:textId="77777777" w:rsidR="007268B9" w:rsidRPr="007268B9" w:rsidRDefault="007268B9" w:rsidP="00B76D8A">
      <w:pPr>
        <w:pStyle w:val="00Body"/>
        <w:spacing w:before="0" w:after="0" w:line="275" w:lineRule="auto"/>
        <w:ind w:left="567"/>
        <w:jc w:val="both"/>
        <w:rPr>
          <w:sz w:val="20"/>
          <w:szCs w:val="20"/>
          <w:lang w:val="fr-FR"/>
        </w:rPr>
      </w:pPr>
    </w:p>
    <w:sectPr w:rsidR="007268B9" w:rsidRPr="007268B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7" w:h="16839"/>
      <w:pgMar w:top="1134" w:right="1418" w:bottom="1134" w:left="1418" w:header="720" w:footer="431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4B0A892" w14:textId="77777777" w:rsidR="00A47504" w:rsidRDefault="00A47504">
      <w:pPr>
        <w:spacing w:after="0" w:line="240" w:lineRule="auto"/>
      </w:pPr>
      <w:r>
        <w:separator/>
      </w:r>
    </w:p>
  </w:endnote>
  <w:endnote w:type="continuationSeparator" w:id="0">
    <w:p w14:paraId="0C55BAC4" w14:textId="77777777" w:rsidR="00A47504" w:rsidRDefault="00A475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heinhardt Light">
    <w:altName w:val="Calibri"/>
    <w:charset w:val="00"/>
    <w:family w:val="swiss"/>
    <w:pitch w:val="variable"/>
    <w:sig w:usb0="A00000AF" w:usb1="5000206A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(Body)">
    <w:altName w:val="Arial"/>
    <w:charset w:val="00"/>
    <w:family w:val="roman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heinhardt Pan Light">
    <w:charset w:val="00"/>
    <w:family w:val="swiss"/>
    <w:pitch w:val="variable"/>
    <w:sig w:usb0="A00002FF" w:usb1="4000207B" w:usb2="00000008" w:usb3="00000000" w:csb0="0000009F" w:csb1="00000000"/>
  </w:font>
  <w:font w:name="Theinhardt Medium">
    <w:altName w:val="Calibri"/>
    <w:charset w:val="00"/>
    <w:family w:val="swiss"/>
    <w:pitch w:val="variable"/>
    <w:sig w:usb0="A00000EF" w:usb1="4000206B" w:usb2="00000008" w:usb3="00000000" w:csb0="00000093" w:csb1="00000000"/>
  </w:font>
  <w:font w:name="Theinhardt Pan">
    <w:altName w:val="Calibri"/>
    <w:charset w:val="00"/>
    <w:family w:val="swiss"/>
    <w:pitch w:val="variable"/>
    <w:sig w:usb0="A00002FF" w:usb1="4000207B" w:usb2="00000008" w:usb3="00000000" w:csb0="0000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914A23" w14:textId="77777777" w:rsidR="007268B9" w:rsidRDefault="007268B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95BD25F" w14:textId="77444CD1" w:rsidR="007268B9" w:rsidRDefault="007268B9">
    <w:pPr>
      <w:pStyle w:val="Footer"/>
      <w:jc w:val="right"/>
      <w:rPr>
        <w:sz w:val="18"/>
        <w:szCs w:val="18"/>
      </w:rPr>
    </w:pPr>
    <w:r>
      <w:rPr>
        <w:sz w:val="18"/>
        <w:szCs w:val="18"/>
      </w:rPr>
      <w:fldChar w:fldCharType="begin"/>
    </w:r>
    <w:r>
      <w:rPr>
        <w:rFonts w:hint="eastAsia"/>
      </w:rPr>
      <w:instrText>PAGE  \* MERGEFORMAT</w:instrText>
    </w:r>
    <w:r>
      <w:fldChar w:fldCharType="separate"/>
    </w:r>
    <w:r w:rsidR="00E10015" w:rsidRPr="00E10015">
      <w:rPr>
        <w:noProof/>
        <w:sz w:val="18"/>
        <w:szCs w:val="18"/>
      </w:rPr>
      <w:t>5</w:t>
    </w:r>
    <w:r>
      <w:rPr>
        <w:sz w:val="18"/>
        <w:szCs w:val="18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00D29D" w14:textId="77777777" w:rsidR="007268B9" w:rsidRDefault="007268B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CBEAFA6" w14:textId="77777777" w:rsidR="00A47504" w:rsidRDefault="00A47504">
      <w:pPr>
        <w:spacing w:after="0" w:line="240" w:lineRule="auto"/>
      </w:pPr>
      <w:r>
        <w:separator/>
      </w:r>
    </w:p>
  </w:footnote>
  <w:footnote w:type="continuationSeparator" w:id="0">
    <w:p w14:paraId="3B7B540B" w14:textId="77777777" w:rsidR="00A47504" w:rsidRDefault="00A475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A2771D" w14:textId="77777777" w:rsidR="007268B9" w:rsidRDefault="007268B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4607ADA" w14:textId="77777777" w:rsidR="007268B9" w:rsidRDefault="007268B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BED53A" w14:textId="77777777" w:rsidR="007268B9" w:rsidRDefault="007268B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F000000"/>
    <w:multiLevelType w:val="multilevel"/>
    <w:tmpl w:val="8D36E454"/>
    <w:lvl w:ilvl="0">
      <w:start w:val="1"/>
      <w:numFmt w:val="decimal"/>
      <w:pStyle w:val="ListNumber5"/>
      <w:lvlText w:val="%1."/>
      <w:lvlJc w:val="left"/>
      <w:pPr>
        <w:tabs>
          <w:tab w:val="left" w:pos="1800"/>
        </w:tabs>
        <w:ind w:left="1800" w:hanging="360"/>
      </w:pPr>
    </w:lvl>
    <w:lvl w:ilvl="1">
      <w:start w:val="1"/>
      <w:numFmt w:val="decimal"/>
      <w:lvlText w:val="%1."/>
      <w:lvlJc w:val="left"/>
      <w:pPr>
        <w:tabs>
          <w:tab w:val="left" w:pos="1800"/>
        </w:tabs>
        <w:ind w:left="1800" w:hanging="360"/>
      </w:pPr>
    </w:lvl>
    <w:lvl w:ilvl="2">
      <w:start w:val="1"/>
      <w:numFmt w:val="decimal"/>
      <w:lvlText w:val="%1."/>
      <w:lvlJc w:val="left"/>
      <w:pPr>
        <w:tabs>
          <w:tab w:val="left" w:pos="1800"/>
        </w:tabs>
        <w:ind w:left="1800" w:hanging="360"/>
      </w:pPr>
    </w:lvl>
    <w:lvl w:ilvl="3">
      <w:start w:val="1"/>
      <w:numFmt w:val="decimal"/>
      <w:lvlText w:val="%1."/>
      <w:lvlJc w:val="left"/>
      <w:pPr>
        <w:tabs>
          <w:tab w:val="left" w:pos="1800"/>
        </w:tabs>
        <w:ind w:left="1800" w:hanging="360"/>
      </w:pPr>
    </w:lvl>
    <w:lvl w:ilvl="4">
      <w:start w:val="1"/>
      <w:numFmt w:val="decimal"/>
      <w:lvlText w:val="%1."/>
      <w:lvlJc w:val="left"/>
      <w:pPr>
        <w:tabs>
          <w:tab w:val="left" w:pos="1800"/>
        </w:tabs>
        <w:ind w:left="1800" w:hanging="360"/>
      </w:pPr>
    </w:lvl>
    <w:lvl w:ilvl="5">
      <w:start w:val="1"/>
      <w:numFmt w:val="decimal"/>
      <w:lvlText w:val="%1."/>
      <w:lvlJc w:val="left"/>
      <w:pPr>
        <w:tabs>
          <w:tab w:val="left" w:pos="1800"/>
        </w:tabs>
        <w:ind w:left="1800" w:hanging="360"/>
      </w:pPr>
    </w:lvl>
    <w:lvl w:ilvl="6">
      <w:start w:val="1"/>
      <w:numFmt w:val="decimal"/>
      <w:lvlText w:val="%1."/>
      <w:lvlJc w:val="left"/>
      <w:pPr>
        <w:tabs>
          <w:tab w:val="left" w:pos="1800"/>
        </w:tabs>
        <w:ind w:left="1800" w:hanging="360"/>
      </w:pPr>
    </w:lvl>
    <w:lvl w:ilvl="7">
      <w:start w:val="1"/>
      <w:numFmt w:val="decimal"/>
      <w:lvlText w:val="%1."/>
      <w:lvlJc w:val="left"/>
      <w:pPr>
        <w:tabs>
          <w:tab w:val="left" w:pos="1800"/>
        </w:tabs>
        <w:ind w:left="1800" w:hanging="360"/>
      </w:pPr>
    </w:lvl>
    <w:lvl w:ilvl="8">
      <w:start w:val="1"/>
      <w:numFmt w:val="decimal"/>
      <w:lvlText w:val="%1."/>
      <w:lvlJc w:val="left"/>
      <w:pPr>
        <w:tabs>
          <w:tab w:val="left" w:pos="1800"/>
        </w:tabs>
        <w:ind w:left="1800" w:hanging="360"/>
      </w:pPr>
    </w:lvl>
  </w:abstractNum>
  <w:abstractNum w:abstractNumId="1" w15:restartNumberingAfterBreak="0">
    <w:nsid w:val="2F000001"/>
    <w:multiLevelType w:val="multilevel"/>
    <w:tmpl w:val="0A14FCEA"/>
    <w:lvl w:ilvl="0">
      <w:start w:val="1"/>
      <w:numFmt w:val="decimal"/>
      <w:pStyle w:val="ListNumber4"/>
      <w:lvlText w:val="%1."/>
      <w:lvlJc w:val="left"/>
      <w:pPr>
        <w:tabs>
          <w:tab w:val="left" w:pos="1440"/>
        </w:tabs>
        <w:ind w:left="1440" w:hanging="360"/>
      </w:pPr>
    </w:lvl>
    <w:lvl w:ilvl="1">
      <w:start w:val="1"/>
      <w:numFmt w:val="decimal"/>
      <w:lvlText w:val="%1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1."/>
      <w:lvlJc w:val="left"/>
      <w:pPr>
        <w:tabs>
          <w:tab w:val="left" w:pos="1440"/>
        </w:tabs>
        <w:ind w:left="1440" w:hanging="360"/>
      </w:pPr>
    </w:lvl>
    <w:lvl w:ilvl="3">
      <w:start w:val="1"/>
      <w:numFmt w:val="decimal"/>
      <w:lvlText w:val="%1."/>
      <w:lvlJc w:val="left"/>
      <w:pPr>
        <w:tabs>
          <w:tab w:val="left" w:pos="1440"/>
        </w:tabs>
        <w:ind w:left="1440" w:hanging="360"/>
      </w:pPr>
    </w:lvl>
    <w:lvl w:ilvl="4">
      <w:start w:val="1"/>
      <w:numFmt w:val="decimal"/>
      <w:lvlText w:val="%1."/>
      <w:lvlJc w:val="left"/>
      <w:pPr>
        <w:tabs>
          <w:tab w:val="left" w:pos="1440"/>
        </w:tabs>
        <w:ind w:left="1440" w:hanging="360"/>
      </w:pPr>
    </w:lvl>
    <w:lvl w:ilvl="5">
      <w:start w:val="1"/>
      <w:numFmt w:val="decimal"/>
      <w:lvlText w:val="%1."/>
      <w:lvlJc w:val="left"/>
      <w:pPr>
        <w:tabs>
          <w:tab w:val="left" w:pos="1440"/>
        </w:tabs>
        <w:ind w:left="1440" w:hanging="360"/>
      </w:pPr>
    </w:lvl>
    <w:lvl w:ilvl="6">
      <w:start w:val="1"/>
      <w:numFmt w:val="decimal"/>
      <w:lvlText w:val="%1."/>
      <w:lvlJc w:val="left"/>
      <w:pPr>
        <w:tabs>
          <w:tab w:val="left" w:pos="1440"/>
        </w:tabs>
        <w:ind w:left="1440" w:hanging="360"/>
      </w:pPr>
    </w:lvl>
    <w:lvl w:ilvl="7">
      <w:start w:val="1"/>
      <w:numFmt w:val="decimal"/>
      <w:lvlText w:val="%1."/>
      <w:lvlJc w:val="left"/>
      <w:pPr>
        <w:tabs>
          <w:tab w:val="left" w:pos="1440"/>
        </w:tabs>
        <w:ind w:left="1440" w:hanging="360"/>
      </w:pPr>
    </w:lvl>
    <w:lvl w:ilvl="8">
      <w:start w:val="1"/>
      <w:numFmt w:val="decimal"/>
      <w:lvlText w:val="%1."/>
      <w:lvlJc w:val="left"/>
      <w:pPr>
        <w:tabs>
          <w:tab w:val="left" w:pos="1440"/>
        </w:tabs>
        <w:ind w:left="1440" w:hanging="360"/>
      </w:pPr>
    </w:lvl>
  </w:abstractNum>
  <w:abstractNum w:abstractNumId="2" w15:restartNumberingAfterBreak="0">
    <w:nsid w:val="2F000002"/>
    <w:multiLevelType w:val="multilevel"/>
    <w:tmpl w:val="5DC84CE6"/>
    <w:lvl w:ilvl="0">
      <w:start w:val="1"/>
      <w:numFmt w:val="decimal"/>
      <w:pStyle w:val="ListNumber3"/>
      <w:lvlText w:val="%1."/>
      <w:lvlJc w:val="left"/>
      <w:pPr>
        <w:tabs>
          <w:tab w:val="left" w:pos="1080"/>
        </w:tabs>
        <w:ind w:left="1080" w:hanging="360"/>
      </w:pPr>
    </w:lvl>
    <w:lvl w:ilvl="1">
      <w:start w:val="1"/>
      <w:numFmt w:val="decimal"/>
      <w:lvlText w:val="%1."/>
      <w:lvlJc w:val="left"/>
      <w:pPr>
        <w:tabs>
          <w:tab w:val="left" w:pos="1080"/>
        </w:tabs>
        <w:ind w:left="1080" w:hanging="360"/>
      </w:pPr>
    </w:lvl>
    <w:lvl w:ilvl="2">
      <w:start w:val="1"/>
      <w:numFmt w:val="decimal"/>
      <w:lvlText w:val="%1."/>
      <w:lvlJc w:val="left"/>
      <w:pPr>
        <w:tabs>
          <w:tab w:val="left" w:pos="1080"/>
        </w:tabs>
        <w:ind w:left="1080" w:hanging="360"/>
      </w:pPr>
    </w:lvl>
    <w:lvl w:ilvl="3">
      <w:start w:val="1"/>
      <w:numFmt w:val="decimal"/>
      <w:lvlText w:val="%1."/>
      <w:lvlJc w:val="left"/>
      <w:pPr>
        <w:tabs>
          <w:tab w:val="left" w:pos="1080"/>
        </w:tabs>
        <w:ind w:left="1080" w:hanging="360"/>
      </w:pPr>
    </w:lvl>
    <w:lvl w:ilvl="4">
      <w:start w:val="1"/>
      <w:numFmt w:val="decimal"/>
      <w:lvlText w:val="%1."/>
      <w:lvlJc w:val="left"/>
      <w:pPr>
        <w:tabs>
          <w:tab w:val="left" w:pos="1080"/>
        </w:tabs>
        <w:ind w:left="1080" w:hanging="360"/>
      </w:pPr>
    </w:lvl>
    <w:lvl w:ilvl="5">
      <w:start w:val="1"/>
      <w:numFmt w:val="decimal"/>
      <w:lvlText w:val="%1."/>
      <w:lvlJc w:val="left"/>
      <w:pPr>
        <w:tabs>
          <w:tab w:val="left" w:pos="1080"/>
        </w:tabs>
        <w:ind w:left="1080" w:hanging="360"/>
      </w:pPr>
    </w:lvl>
    <w:lvl w:ilvl="6">
      <w:start w:val="1"/>
      <w:numFmt w:val="decimal"/>
      <w:lvlText w:val="%1."/>
      <w:lvlJc w:val="left"/>
      <w:pPr>
        <w:tabs>
          <w:tab w:val="left" w:pos="1080"/>
        </w:tabs>
        <w:ind w:left="1080" w:hanging="360"/>
      </w:pPr>
    </w:lvl>
    <w:lvl w:ilvl="7">
      <w:start w:val="1"/>
      <w:numFmt w:val="decimal"/>
      <w:lvlText w:val="%1."/>
      <w:lvlJc w:val="left"/>
      <w:pPr>
        <w:tabs>
          <w:tab w:val="left" w:pos="1080"/>
        </w:tabs>
        <w:ind w:left="1080" w:hanging="360"/>
      </w:pPr>
    </w:lvl>
    <w:lvl w:ilvl="8">
      <w:start w:val="1"/>
      <w:numFmt w:val="decimal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3" w15:restartNumberingAfterBreak="0">
    <w:nsid w:val="2F000003"/>
    <w:multiLevelType w:val="multilevel"/>
    <w:tmpl w:val="7BF4C8EE"/>
    <w:lvl w:ilvl="0">
      <w:start w:val="1"/>
      <w:numFmt w:val="decimal"/>
      <w:pStyle w:val="ListNumber2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2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3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4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5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6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7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8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4" w15:restartNumberingAfterBreak="0">
    <w:nsid w:val="2F000004"/>
    <w:multiLevelType w:val="hybridMultilevel"/>
    <w:tmpl w:val="54EA6A77"/>
    <w:lvl w:ilvl="0" w:tplc="FBF69F30">
      <w:start w:val="1"/>
      <w:numFmt w:val="bullet"/>
      <w:lvlText w:val="·"/>
      <w:lvlJc w:val="left"/>
      <w:pPr>
        <w:tabs>
          <w:tab w:val="left" w:pos="1800"/>
        </w:tabs>
        <w:ind w:left="1800" w:hanging="360"/>
      </w:pPr>
      <w:rPr>
        <w:rFonts w:ascii="Symbol" w:hAnsi="Symbol" w:hint="default"/>
      </w:rPr>
    </w:lvl>
    <w:lvl w:ilvl="1" w:tplc="97CC1992">
      <w:start w:val="1"/>
      <w:numFmt w:val="bullet"/>
      <w:lvlText w:val="·"/>
      <w:lvlJc w:val="left"/>
      <w:pPr>
        <w:tabs>
          <w:tab w:val="left" w:pos="1800"/>
        </w:tabs>
        <w:ind w:left="1800" w:hanging="360"/>
      </w:pPr>
      <w:rPr>
        <w:rFonts w:ascii="Symbol" w:hAnsi="Symbol" w:hint="default"/>
      </w:rPr>
    </w:lvl>
    <w:lvl w:ilvl="2" w:tplc="71A07E1A">
      <w:start w:val="1"/>
      <w:numFmt w:val="bullet"/>
      <w:lvlText w:val="·"/>
      <w:lvlJc w:val="left"/>
      <w:pPr>
        <w:tabs>
          <w:tab w:val="left" w:pos="1800"/>
        </w:tabs>
        <w:ind w:left="1800" w:hanging="360"/>
      </w:pPr>
      <w:rPr>
        <w:rFonts w:ascii="Symbol" w:hAnsi="Symbol" w:hint="default"/>
      </w:rPr>
    </w:lvl>
    <w:lvl w:ilvl="3" w:tplc="26AC057C">
      <w:start w:val="1"/>
      <w:numFmt w:val="bullet"/>
      <w:lvlText w:val="·"/>
      <w:lvlJc w:val="left"/>
      <w:pPr>
        <w:tabs>
          <w:tab w:val="left" w:pos="1800"/>
        </w:tabs>
        <w:ind w:left="1800" w:hanging="360"/>
      </w:pPr>
      <w:rPr>
        <w:rFonts w:ascii="Symbol" w:hAnsi="Symbol" w:hint="default"/>
      </w:rPr>
    </w:lvl>
    <w:lvl w:ilvl="4" w:tplc="AA0E6920">
      <w:start w:val="1"/>
      <w:numFmt w:val="bullet"/>
      <w:lvlText w:val="·"/>
      <w:lvlJc w:val="left"/>
      <w:pPr>
        <w:tabs>
          <w:tab w:val="left" w:pos="1800"/>
        </w:tabs>
        <w:ind w:left="1800" w:hanging="360"/>
      </w:pPr>
      <w:rPr>
        <w:rFonts w:ascii="Symbol" w:hAnsi="Symbol" w:hint="default"/>
      </w:rPr>
    </w:lvl>
    <w:lvl w:ilvl="5" w:tplc="55C013D4">
      <w:start w:val="1"/>
      <w:numFmt w:val="bullet"/>
      <w:lvlText w:val="·"/>
      <w:lvlJc w:val="left"/>
      <w:pPr>
        <w:tabs>
          <w:tab w:val="left" w:pos="1800"/>
        </w:tabs>
        <w:ind w:left="1800" w:hanging="360"/>
      </w:pPr>
      <w:rPr>
        <w:rFonts w:ascii="Symbol" w:hAnsi="Symbol" w:hint="default"/>
      </w:rPr>
    </w:lvl>
    <w:lvl w:ilvl="6" w:tplc="F42A7BE0">
      <w:start w:val="1"/>
      <w:numFmt w:val="bullet"/>
      <w:lvlText w:val="·"/>
      <w:lvlJc w:val="left"/>
      <w:pPr>
        <w:tabs>
          <w:tab w:val="left" w:pos="1800"/>
        </w:tabs>
        <w:ind w:left="1800" w:hanging="360"/>
      </w:pPr>
      <w:rPr>
        <w:rFonts w:ascii="Symbol" w:hAnsi="Symbol" w:hint="default"/>
      </w:rPr>
    </w:lvl>
    <w:lvl w:ilvl="7" w:tplc="C29A48A6">
      <w:start w:val="1"/>
      <w:numFmt w:val="bullet"/>
      <w:lvlText w:val="·"/>
      <w:lvlJc w:val="left"/>
      <w:pPr>
        <w:tabs>
          <w:tab w:val="left" w:pos="1800"/>
        </w:tabs>
        <w:ind w:left="1800" w:hanging="360"/>
      </w:pPr>
      <w:rPr>
        <w:rFonts w:ascii="Symbol" w:hAnsi="Symbol" w:hint="default"/>
      </w:rPr>
    </w:lvl>
    <w:lvl w:ilvl="8" w:tplc="672ED2AE">
      <w:start w:val="1"/>
      <w:numFmt w:val="bullet"/>
      <w:lvlText w:val="·"/>
      <w:lvlJc w:val="left"/>
      <w:pPr>
        <w:tabs>
          <w:tab w:val="left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2F000005"/>
    <w:multiLevelType w:val="hybridMultilevel"/>
    <w:tmpl w:val="2ECB6FE2"/>
    <w:lvl w:ilvl="0" w:tplc="D23A8848">
      <w:start w:val="1"/>
      <w:numFmt w:val="bullet"/>
      <w:lvlText w:val="·"/>
      <w:lvlJc w:val="left"/>
      <w:pPr>
        <w:tabs>
          <w:tab w:val="left" w:pos="1440"/>
        </w:tabs>
        <w:ind w:left="1440" w:hanging="360"/>
      </w:pPr>
      <w:rPr>
        <w:rFonts w:ascii="Symbol" w:hAnsi="Symbol" w:hint="default"/>
      </w:rPr>
    </w:lvl>
    <w:lvl w:ilvl="1" w:tplc="A37C6678">
      <w:start w:val="1"/>
      <w:numFmt w:val="bullet"/>
      <w:lvlText w:val="·"/>
      <w:lvlJc w:val="left"/>
      <w:pPr>
        <w:tabs>
          <w:tab w:val="left" w:pos="1440"/>
        </w:tabs>
        <w:ind w:left="1440" w:hanging="360"/>
      </w:pPr>
      <w:rPr>
        <w:rFonts w:ascii="Symbol" w:hAnsi="Symbol" w:hint="default"/>
      </w:rPr>
    </w:lvl>
    <w:lvl w:ilvl="2" w:tplc="6C9E56D8">
      <w:start w:val="1"/>
      <w:numFmt w:val="bullet"/>
      <w:lvlText w:val="·"/>
      <w:lvlJc w:val="left"/>
      <w:pPr>
        <w:tabs>
          <w:tab w:val="left" w:pos="1440"/>
        </w:tabs>
        <w:ind w:left="1440" w:hanging="360"/>
      </w:pPr>
      <w:rPr>
        <w:rFonts w:ascii="Symbol" w:hAnsi="Symbol" w:hint="default"/>
      </w:rPr>
    </w:lvl>
    <w:lvl w:ilvl="3" w:tplc="040823EC">
      <w:start w:val="1"/>
      <w:numFmt w:val="bullet"/>
      <w:lvlText w:val="·"/>
      <w:lvlJc w:val="left"/>
      <w:pPr>
        <w:tabs>
          <w:tab w:val="left" w:pos="1440"/>
        </w:tabs>
        <w:ind w:left="1440" w:hanging="360"/>
      </w:pPr>
      <w:rPr>
        <w:rFonts w:ascii="Symbol" w:hAnsi="Symbol" w:hint="default"/>
      </w:rPr>
    </w:lvl>
    <w:lvl w:ilvl="4" w:tplc="5D585282">
      <w:start w:val="1"/>
      <w:numFmt w:val="bullet"/>
      <w:lvlText w:val="·"/>
      <w:lvlJc w:val="left"/>
      <w:pPr>
        <w:tabs>
          <w:tab w:val="left" w:pos="1440"/>
        </w:tabs>
        <w:ind w:left="1440" w:hanging="360"/>
      </w:pPr>
      <w:rPr>
        <w:rFonts w:ascii="Symbol" w:hAnsi="Symbol" w:hint="default"/>
      </w:rPr>
    </w:lvl>
    <w:lvl w:ilvl="5" w:tplc="DCF2F042">
      <w:start w:val="1"/>
      <w:numFmt w:val="bullet"/>
      <w:lvlText w:val="·"/>
      <w:lvlJc w:val="left"/>
      <w:pPr>
        <w:tabs>
          <w:tab w:val="left" w:pos="1440"/>
        </w:tabs>
        <w:ind w:left="1440" w:hanging="360"/>
      </w:pPr>
      <w:rPr>
        <w:rFonts w:ascii="Symbol" w:hAnsi="Symbol" w:hint="default"/>
      </w:rPr>
    </w:lvl>
    <w:lvl w:ilvl="6" w:tplc="AF12D056">
      <w:start w:val="1"/>
      <w:numFmt w:val="bullet"/>
      <w:lvlText w:val="·"/>
      <w:lvlJc w:val="left"/>
      <w:pPr>
        <w:tabs>
          <w:tab w:val="left" w:pos="1440"/>
        </w:tabs>
        <w:ind w:left="1440" w:hanging="360"/>
      </w:pPr>
      <w:rPr>
        <w:rFonts w:ascii="Symbol" w:hAnsi="Symbol" w:hint="default"/>
      </w:rPr>
    </w:lvl>
    <w:lvl w:ilvl="7" w:tplc="1DACBDA4">
      <w:start w:val="1"/>
      <w:numFmt w:val="bullet"/>
      <w:lvlText w:val="·"/>
      <w:lvlJc w:val="left"/>
      <w:pPr>
        <w:tabs>
          <w:tab w:val="left" w:pos="1440"/>
        </w:tabs>
        <w:ind w:left="1440" w:hanging="360"/>
      </w:pPr>
      <w:rPr>
        <w:rFonts w:ascii="Symbol" w:hAnsi="Symbol" w:hint="default"/>
      </w:rPr>
    </w:lvl>
    <w:lvl w:ilvl="8" w:tplc="CB66B8F2">
      <w:start w:val="1"/>
      <w:numFmt w:val="bullet"/>
      <w:lvlText w:val="·"/>
      <w:lvlJc w:val="left"/>
      <w:pPr>
        <w:tabs>
          <w:tab w:val="left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2F000006"/>
    <w:multiLevelType w:val="hybridMultilevel"/>
    <w:tmpl w:val="3A090DB8"/>
    <w:lvl w:ilvl="0" w:tplc="ECF40BF6">
      <w:start w:val="1"/>
      <w:numFmt w:val="bullet"/>
      <w:lvlText w:val="·"/>
      <w:lvlJc w:val="left"/>
      <w:pPr>
        <w:tabs>
          <w:tab w:val="left" w:pos="1080"/>
        </w:tabs>
        <w:ind w:left="1080" w:hanging="360"/>
      </w:pPr>
      <w:rPr>
        <w:rFonts w:ascii="Symbol" w:hAnsi="Symbol" w:hint="default"/>
      </w:rPr>
    </w:lvl>
    <w:lvl w:ilvl="1" w:tplc="2388A2B4">
      <w:start w:val="1"/>
      <w:numFmt w:val="bullet"/>
      <w:lvlText w:val="·"/>
      <w:lvlJc w:val="left"/>
      <w:pPr>
        <w:tabs>
          <w:tab w:val="left" w:pos="1080"/>
        </w:tabs>
        <w:ind w:left="1080" w:hanging="360"/>
      </w:pPr>
      <w:rPr>
        <w:rFonts w:ascii="Symbol" w:hAnsi="Symbol" w:hint="default"/>
      </w:rPr>
    </w:lvl>
    <w:lvl w:ilvl="2" w:tplc="4E28A8AE">
      <w:start w:val="1"/>
      <w:numFmt w:val="bullet"/>
      <w:lvlText w:val="·"/>
      <w:lvlJc w:val="left"/>
      <w:pPr>
        <w:tabs>
          <w:tab w:val="left" w:pos="1080"/>
        </w:tabs>
        <w:ind w:left="1080" w:hanging="360"/>
      </w:pPr>
      <w:rPr>
        <w:rFonts w:ascii="Symbol" w:hAnsi="Symbol" w:hint="default"/>
      </w:rPr>
    </w:lvl>
    <w:lvl w:ilvl="3" w:tplc="84402DD2">
      <w:start w:val="1"/>
      <w:numFmt w:val="bullet"/>
      <w:lvlText w:val="·"/>
      <w:lvlJc w:val="left"/>
      <w:pPr>
        <w:tabs>
          <w:tab w:val="left" w:pos="1080"/>
        </w:tabs>
        <w:ind w:left="1080" w:hanging="360"/>
      </w:pPr>
      <w:rPr>
        <w:rFonts w:ascii="Symbol" w:hAnsi="Symbol" w:hint="default"/>
      </w:rPr>
    </w:lvl>
    <w:lvl w:ilvl="4" w:tplc="4EFCA880">
      <w:start w:val="1"/>
      <w:numFmt w:val="bullet"/>
      <w:lvlText w:val="·"/>
      <w:lvlJc w:val="left"/>
      <w:pPr>
        <w:tabs>
          <w:tab w:val="left" w:pos="1080"/>
        </w:tabs>
        <w:ind w:left="1080" w:hanging="360"/>
      </w:pPr>
      <w:rPr>
        <w:rFonts w:ascii="Symbol" w:hAnsi="Symbol" w:hint="default"/>
      </w:rPr>
    </w:lvl>
    <w:lvl w:ilvl="5" w:tplc="E6CCDC04">
      <w:start w:val="1"/>
      <w:numFmt w:val="bullet"/>
      <w:lvlText w:val="·"/>
      <w:lvlJc w:val="left"/>
      <w:pPr>
        <w:tabs>
          <w:tab w:val="left" w:pos="1080"/>
        </w:tabs>
        <w:ind w:left="1080" w:hanging="360"/>
      </w:pPr>
      <w:rPr>
        <w:rFonts w:ascii="Symbol" w:hAnsi="Symbol" w:hint="default"/>
      </w:rPr>
    </w:lvl>
    <w:lvl w:ilvl="6" w:tplc="0CE07300">
      <w:start w:val="1"/>
      <w:numFmt w:val="bullet"/>
      <w:lvlText w:val="·"/>
      <w:lvlJc w:val="left"/>
      <w:pPr>
        <w:tabs>
          <w:tab w:val="left" w:pos="1080"/>
        </w:tabs>
        <w:ind w:left="1080" w:hanging="360"/>
      </w:pPr>
      <w:rPr>
        <w:rFonts w:ascii="Symbol" w:hAnsi="Symbol" w:hint="default"/>
      </w:rPr>
    </w:lvl>
    <w:lvl w:ilvl="7" w:tplc="6B7C0800">
      <w:start w:val="1"/>
      <w:numFmt w:val="bullet"/>
      <w:lvlText w:val="·"/>
      <w:lvlJc w:val="left"/>
      <w:pPr>
        <w:tabs>
          <w:tab w:val="left" w:pos="1080"/>
        </w:tabs>
        <w:ind w:left="1080" w:hanging="360"/>
      </w:pPr>
      <w:rPr>
        <w:rFonts w:ascii="Symbol" w:hAnsi="Symbol" w:hint="default"/>
      </w:rPr>
    </w:lvl>
    <w:lvl w:ilvl="8" w:tplc="476ECDB6">
      <w:start w:val="1"/>
      <w:numFmt w:val="bullet"/>
      <w:lvlText w:val="·"/>
      <w:lvlJc w:val="left"/>
      <w:pPr>
        <w:tabs>
          <w:tab w:val="left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2F000007"/>
    <w:multiLevelType w:val="hybridMultilevel"/>
    <w:tmpl w:val="5DE43514"/>
    <w:lvl w:ilvl="0" w:tplc="59C416BC">
      <w:start w:val="1"/>
      <w:numFmt w:val="bullet"/>
      <w:lvlText w:val="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 w:tplc="86946002">
      <w:start w:val="1"/>
      <w:numFmt w:val="bullet"/>
      <w:lvlText w:val="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2" w:tplc="8C52AA76">
      <w:start w:val="1"/>
      <w:numFmt w:val="bullet"/>
      <w:lvlText w:val="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3" w:tplc="16EA5908">
      <w:start w:val="1"/>
      <w:numFmt w:val="bullet"/>
      <w:lvlText w:val="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4" w:tplc="E4926E1C">
      <w:start w:val="1"/>
      <w:numFmt w:val="bullet"/>
      <w:lvlText w:val="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5" w:tplc="AD30A09E">
      <w:start w:val="1"/>
      <w:numFmt w:val="bullet"/>
      <w:lvlText w:val="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6" w:tplc="371EC5F4">
      <w:start w:val="1"/>
      <w:numFmt w:val="bullet"/>
      <w:lvlText w:val="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7" w:tplc="DB864B0C">
      <w:start w:val="1"/>
      <w:numFmt w:val="bullet"/>
      <w:lvlText w:val="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8" w:tplc="8C52AE4E">
      <w:start w:val="1"/>
      <w:numFmt w:val="bullet"/>
      <w:lvlText w:val="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2F000008"/>
    <w:multiLevelType w:val="multilevel"/>
    <w:tmpl w:val="CE44819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  <w:lvl w:ilvl="1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</w:lvl>
    <w:lvl w:ilvl="2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</w:lvl>
    <w:lvl w:ilvl="3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</w:lvl>
    <w:lvl w:ilvl="4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</w:lvl>
    <w:lvl w:ilvl="5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</w:lvl>
    <w:lvl w:ilvl="6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</w:lvl>
    <w:lvl w:ilvl="7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</w:lvl>
    <w:lvl w:ilvl="8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2F000009"/>
    <w:multiLevelType w:val="hybridMultilevel"/>
    <w:tmpl w:val="5861D15C"/>
    <w:lvl w:ilvl="0" w:tplc="C28AD6AE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hAnsi="Symbol" w:hint="default"/>
      </w:rPr>
    </w:lvl>
    <w:lvl w:ilvl="1" w:tplc="58563758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hAnsi="Symbol" w:hint="default"/>
      </w:rPr>
    </w:lvl>
    <w:lvl w:ilvl="2" w:tplc="AAC8277E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hAnsi="Symbol" w:hint="default"/>
      </w:rPr>
    </w:lvl>
    <w:lvl w:ilvl="3" w:tplc="555876F4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hAnsi="Symbol" w:hint="default"/>
      </w:rPr>
    </w:lvl>
    <w:lvl w:ilvl="4" w:tplc="D7323706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hAnsi="Symbol" w:hint="default"/>
      </w:rPr>
    </w:lvl>
    <w:lvl w:ilvl="5" w:tplc="5E50BE88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hAnsi="Symbol" w:hint="default"/>
      </w:rPr>
    </w:lvl>
    <w:lvl w:ilvl="6" w:tplc="03C63DEE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hAnsi="Symbol" w:hint="default"/>
      </w:rPr>
    </w:lvl>
    <w:lvl w:ilvl="7" w:tplc="1F5EC488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hAnsi="Symbol" w:hint="default"/>
      </w:rPr>
    </w:lvl>
    <w:lvl w:ilvl="8" w:tplc="3EAA948A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F00000A"/>
    <w:multiLevelType w:val="hybridMultilevel"/>
    <w:tmpl w:val="3497B86A"/>
    <w:lvl w:ilvl="0" w:tplc="FB0A7152">
      <w:start w:val="1"/>
      <w:numFmt w:val="decimal"/>
      <w:lvlText w:val="%1)"/>
      <w:lvlJc w:val="left"/>
      <w:pPr>
        <w:ind w:left="1296" w:hanging="360"/>
      </w:pPr>
      <w:rPr>
        <w:b w:val="0"/>
        <w:i w:val="0"/>
        <w:caps w:val="0"/>
        <w:smallCaps w:val="0"/>
        <w:outline w:val="0"/>
        <w:shadow w:val="0"/>
        <w:emboss w:val="0"/>
        <w:imprint w:val="0"/>
        <w:spacing w:val="0"/>
        <w:position w:val="0"/>
        <w:u w:val="no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ctr"/>
        <w14:textOutline w14:w="0" w14:cap="flat" w14:cmpd="sng" w14:algn="ctr">
          <w14:noFill/>
          <w14:prstDash w14:val="solid"/>
          <w14:bevel/>
        </w14:textOutline>
        <w14:props3d w14:extrusionH="0" w14:contourW="0" w14:prstMaterial="warmMatte"/>
      </w:rPr>
    </w:lvl>
    <w:lvl w:ilvl="1" w:tplc="E40C2C22">
      <w:start w:val="1"/>
      <w:numFmt w:val="lowerLetter"/>
      <w:lvlText w:val="%2."/>
      <w:lvlJc w:val="left"/>
      <w:pPr>
        <w:ind w:left="2016" w:hanging="360"/>
      </w:pPr>
    </w:lvl>
    <w:lvl w:ilvl="2" w:tplc="829880FC">
      <w:start w:val="1"/>
      <w:numFmt w:val="lowerRoman"/>
      <w:lvlText w:val="%3."/>
      <w:lvlJc w:val="right"/>
      <w:pPr>
        <w:ind w:left="2736" w:hanging="180"/>
      </w:pPr>
    </w:lvl>
    <w:lvl w:ilvl="3" w:tplc="C2C80380">
      <w:start w:val="1"/>
      <w:numFmt w:val="decimal"/>
      <w:lvlText w:val="%4."/>
      <w:lvlJc w:val="left"/>
      <w:pPr>
        <w:ind w:left="3456" w:hanging="360"/>
      </w:pPr>
    </w:lvl>
    <w:lvl w:ilvl="4" w:tplc="9108681A">
      <w:start w:val="1"/>
      <w:numFmt w:val="lowerLetter"/>
      <w:lvlText w:val="%5."/>
      <w:lvlJc w:val="left"/>
      <w:pPr>
        <w:ind w:left="4176" w:hanging="360"/>
      </w:pPr>
    </w:lvl>
    <w:lvl w:ilvl="5" w:tplc="25989B0E">
      <w:start w:val="1"/>
      <w:numFmt w:val="lowerRoman"/>
      <w:lvlText w:val="%6."/>
      <w:lvlJc w:val="right"/>
      <w:pPr>
        <w:ind w:left="4896" w:hanging="180"/>
      </w:pPr>
    </w:lvl>
    <w:lvl w:ilvl="6" w:tplc="E48A037E">
      <w:start w:val="1"/>
      <w:numFmt w:val="decimal"/>
      <w:lvlText w:val="%7."/>
      <w:lvlJc w:val="left"/>
      <w:pPr>
        <w:ind w:left="5616" w:hanging="360"/>
      </w:pPr>
    </w:lvl>
    <w:lvl w:ilvl="7" w:tplc="784A40F2">
      <w:start w:val="1"/>
      <w:numFmt w:val="lowerLetter"/>
      <w:lvlText w:val="%8."/>
      <w:lvlJc w:val="left"/>
      <w:pPr>
        <w:ind w:left="6336" w:hanging="360"/>
      </w:pPr>
    </w:lvl>
    <w:lvl w:ilvl="8" w:tplc="E946E46E">
      <w:start w:val="1"/>
      <w:numFmt w:val="lowerRoman"/>
      <w:lvlText w:val="%9."/>
      <w:lvlJc w:val="right"/>
      <w:pPr>
        <w:ind w:left="7056" w:hanging="180"/>
      </w:pPr>
    </w:lvl>
  </w:abstractNum>
  <w:abstractNum w:abstractNumId="11" w15:restartNumberingAfterBreak="0">
    <w:nsid w:val="2F00000B"/>
    <w:multiLevelType w:val="hybridMultilevel"/>
    <w:tmpl w:val="41F448E9"/>
    <w:lvl w:ilvl="0" w:tplc="31200C2E">
      <w:start w:val="1"/>
      <w:numFmt w:val="lowerLetter"/>
      <w:lvlText w:val="%1."/>
      <w:lvlJc w:val="left"/>
      <w:pPr>
        <w:ind w:left="1008" w:hanging="360"/>
      </w:pPr>
      <w:rPr>
        <w:rFonts w:hint="default"/>
      </w:rPr>
    </w:lvl>
    <w:lvl w:ilvl="1" w:tplc="BABEA35C">
      <w:start w:val="1"/>
      <w:numFmt w:val="lowerLetter"/>
      <w:lvlText w:val="%2."/>
      <w:lvlJc w:val="left"/>
      <w:pPr>
        <w:ind w:left="1728" w:hanging="360"/>
      </w:pPr>
    </w:lvl>
    <w:lvl w:ilvl="2" w:tplc="798C77A8">
      <w:start w:val="1"/>
      <w:numFmt w:val="lowerRoman"/>
      <w:lvlText w:val="%3."/>
      <w:lvlJc w:val="right"/>
      <w:pPr>
        <w:ind w:left="2448" w:hanging="180"/>
      </w:pPr>
    </w:lvl>
    <w:lvl w:ilvl="3" w:tplc="FB0C8ACE">
      <w:start w:val="1"/>
      <w:numFmt w:val="decimal"/>
      <w:lvlText w:val="%4."/>
      <w:lvlJc w:val="left"/>
      <w:pPr>
        <w:ind w:left="3168" w:hanging="360"/>
      </w:pPr>
    </w:lvl>
    <w:lvl w:ilvl="4" w:tplc="776E2AD4">
      <w:start w:val="1"/>
      <w:numFmt w:val="lowerLetter"/>
      <w:lvlText w:val="%5."/>
      <w:lvlJc w:val="left"/>
      <w:pPr>
        <w:ind w:left="3888" w:hanging="360"/>
      </w:pPr>
    </w:lvl>
    <w:lvl w:ilvl="5" w:tplc="93F4A5D4">
      <w:start w:val="1"/>
      <w:numFmt w:val="lowerRoman"/>
      <w:lvlText w:val="%6."/>
      <w:lvlJc w:val="right"/>
      <w:pPr>
        <w:ind w:left="4608" w:hanging="180"/>
      </w:pPr>
    </w:lvl>
    <w:lvl w:ilvl="6" w:tplc="49FA6022">
      <w:start w:val="1"/>
      <w:numFmt w:val="decimal"/>
      <w:lvlText w:val="%7."/>
      <w:lvlJc w:val="left"/>
      <w:pPr>
        <w:ind w:left="5328" w:hanging="360"/>
      </w:pPr>
    </w:lvl>
    <w:lvl w:ilvl="7" w:tplc="788620DE">
      <w:start w:val="1"/>
      <w:numFmt w:val="lowerLetter"/>
      <w:lvlText w:val="%8."/>
      <w:lvlJc w:val="left"/>
      <w:pPr>
        <w:ind w:left="6048" w:hanging="360"/>
      </w:pPr>
    </w:lvl>
    <w:lvl w:ilvl="8" w:tplc="321E03A0">
      <w:start w:val="1"/>
      <w:numFmt w:val="lowerRoman"/>
      <w:lvlText w:val="%9."/>
      <w:lvlJc w:val="right"/>
      <w:pPr>
        <w:ind w:left="6768" w:hanging="180"/>
      </w:pPr>
    </w:lvl>
  </w:abstractNum>
  <w:abstractNum w:abstractNumId="12" w15:restartNumberingAfterBreak="0">
    <w:nsid w:val="2F00000C"/>
    <w:multiLevelType w:val="multilevel"/>
    <w:tmpl w:val="4C3427C0"/>
    <w:lvl w:ilvl="0">
      <w:start w:val="1"/>
      <w:numFmt w:val="lowerRoman"/>
      <w:lvlText w:val="(%1)"/>
      <w:lvlJc w:val="left"/>
      <w:pPr>
        <w:ind w:left="720" w:hanging="360"/>
      </w:pPr>
      <w:rPr>
        <w:b w:val="0"/>
        <w:i w:val="0"/>
        <w:caps w:val="0"/>
        <w:smallCaps w:val="0"/>
        <w:outline w:val="0"/>
        <w:shadow w:val="0"/>
        <w:emboss w:val="0"/>
        <w:imprint w:val="0"/>
        <w:spacing w:val="0"/>
        <w:position w:val="0"/>
        <w:u w:val="no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ctr"/>
        <w14:textOutline w14:w="0" w14:cap="flat" w14:cmpd="sng" w14:algn="ctr">
          <w14:noFill/>
          <w14:prstDash w14:val="solid"/>
          <w14:bevel/>
        </w14:textOutline>
        <w14:props3d w14:extrusionH="0" w14:contourW="0" w14:prstMaterial="warmMatt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Restart w:val="1"/>
      <w:lvlText w:val="%3."/>
      <w:lvlJc w:val="right"/>
      <w:pPr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hint="default"/>
      </w:rPr>
    </w:lvl>
  </w:abstractNum>
  <w:abstractNum w:abstractNumId="13" w15:restartNumberingAfterBreak="0">
    <w:nsid w:val="2F00000D"/>
    <w:multiLevelType w:val="multilevel"/>
    <w:tmpl w:val="387B892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2F00000E"/>
    <w:multiLevelType w:val="hybridMultilevel"/>
    <w:tmpl w:val="2C8FDC2C"/>
    <w:lvl w:ilvl="0" w:tplc="8BDCF33A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8F2E3EA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1A967E">
      <w:start w:val="1"/>
      <w:numFmt w:val="bullet"/>
      <w:lvlText w:val="§"/>
      <w:lvlJc w:val="left"/>
      <w:pPr>
        <w:ind w:left="2160" w:hanging="360"/>
      </w:pPr>
      <w:rPr>
        <w:rFonts w:ascii="Wingdings" w:hAnsi="Wingdings" w:hint="default"/>
      </w:rPr>
    </w:lvl>
    <w:lvl w:ilvl="3" w:tplc="07EC4F28">
      <w:start w:val="1"/>
      <w:numFmt w:val="bullet"/>
      <w:lvlText w:val="·"/>
      <w:lvlJc w:val="left"/>
      <w:pPr>
        <w:ind w:left="2880" w:hanging="360"/>
      </w:pPr>
      <w:rPr>
        <w:rFonts w:ascii="Symbol" w:hAnsi="Symbol" w:hint="default"/>
      </w:rPr>
    </w:lvl>
    <w:lvl w:ilvl="4" w:tplc="0046EF2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600F07E">
      <w:start w:val="1"/>
      <w:numFmt w:val="bullet"/>
      <w:lvlText w:val="§"/>
      <w:lvlJc w:val="left"/>
      <w:pPr>
        <w:ind w:left="4320" w:hanging="360"/>
      </w:pPr>
      <w:rPr>
        <w:rFonts w:ascii="Wingdings" w:hAnsi="Wingdings" w:hint="default"/>
      </w:rPr>
    </w:lvl>
    <w:lvl w:ilvl="6" w:tplc="9DFC79F8">
      <w:start w:val="1"/>
      <w:numFmt w:val="bullet"/>
      <w:lvlText w:val="·"/>
      <w:lvlJc w:val="left"/>
      <w:pPr>
        <w:ind w:left="5040" w:hanging="360"/>
      </w:pPr>
      <w:rPr>
        <w:rFonts w:ascii="Symbol" w:hAnsi="Symbol" w:hint="default"/>
      </w:rPr>
    </w:lvl>
    <w:lvl w:ilvl="7" w:tplc="A290040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E64C588">
      <w:start w:val="1"/>
      <w:numFmt w:val="bullet"/>
      <w:lvlText w:val="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F00000F"/>
    <w:multiLevelType w:val="hybridMultilevel"/>
    <w:tmpl w:val="2E69D50B"/>
    <w:lvl w:ilvl="0" w:tplc="A09C0E30">
      <w:start w:val="1"/>
      <w:numFmt w:val="bullet"/>
      <w:lvlText w:val="—"/>
      <w:lvlJc w:val="left"/>
      <w:pPr>
        <w:ind w:left="432" w:hanging="432"/>
      </w:pPr>
      <w:rPr>
        <w:rFonts w:ascii="Theinhardt Light" w:hAnsi="Theinhardt Light" w:hint="default"/>
      </w:rPr>
    </w:lvl>
    <w:lvl w:ilvl="1" w:tplc="959C2D82">
      <w:start w:val="1"/>
      <w:numFmt w:val="bullet"/>
      <w:lvlText w:val="•"/>
      <w:lvlJc w:val="left"/>
      <w:pPr>
        <w:ind w:left="864" w:hanging="432"/>
      </w:pPr>
      <w:rPr>
        <w:rFonts w:ascii="Theinhardt Light" w:hAnsi="Theinhardt Light" w:hint="default"/>
        <w:color w:val="auto"/>
      </w:rPr>
    </w:lvl>
    <w:lvl w:ilvl="2" w:tplc="511E538E">
      <w:start w:val="1"/>
      <w:numFmt w:val="bullet"/>
      <w:lvlText w:val="›"/>
      <w:lvlJc w:val="left"/>
      <w:pPr>
        <w:ind w:left="1296" w:hanging="432"/>
      </w:pPr>
      <w:rPr>
        <w:rFonts w:ascii="Theinhardt Light" w:hAnsi="Theinhardt Light" w:hint="default"/>
        <w:color w:val="002960"/>
      </w:rPr>
    </w:lvl>
    <w:lvl w:ilvl="3" w:tplc="DE90DF76">
      <w:start w:val="1"/>
      <w:numFmt w:val="bullet"/>
      <w:lvlText w:val="»"/>
      <w:lvlJc w:val="left"/>
      <w:pPr>
        <w:ind w:left="1728" w:hanging="432"/>
      </w:pPr>
      <w:rPr>
        <w:rFonts w:ascii="Theinhardt Light" w:hAnsi="Theinhardt Light" w:hint="default"/>
      </w:rPr>
    </w:lvl>
    <w:lvl w:ilvl="4" w:tplc="435EFA44">
      <w:start w:val="1"/>
      <w:numFmt w:val="bullet"/>
      <w:lvlText w:val="▫"/>
      <w:lvlJc w:val="left"/>
      <w:pPr>
        <w:ind w:left="2160" w:hanging="432"/>
      </w:pPr>
      <w:rPr>
        <w:rFonts w:ascii="Arial" w:hAnsi="Arial" w:hint="default"/>
      </w:rPr>
    </w:lvl>
    <w:lvl w:ilvl="5" w:tplc="97A87ED2">
      <w:start w:val="1"/>
      <w:numFmt w:val="bullet"/>
      <w:lvlText w:val="–"/>
      <w:lvlJc w:val="left"/>
      <w:pPr>
        <w:ind w:left="2592" w:hanging="432"/>
      </w:pPr>
      <w:rPr>
        <w:rFonts w:ascii="Segoe UI" w:hAnsi="Segoe UI" w:hint="default"/>
      </w:rPr>
    </w:lvl>
    <w:lvl w:ilvl="6" w:tplc="BF1C4CFA">
      <w:start w:val="1"/>
      <w:numFmt w:val="bullet"/>
      <w:lvlText w:val="◦"/>
      <w:lvlJc w:val="left"/>
      <w:pPr>
        <w:ind w:left="3024" w:hanging="432"/>
      </w:pPr>
      <w:rPr>
        <w:rFonts w:ascii="Arial" w:hAnsi="Arial" w:hint="default"/>
      </w:rPr>
    </w:lvl>
    <w:lvl w:ilvl="7" w:tplc="8E083EFC">
      <w:start w:val="1"/>
      <w:numFmt w:val="bullet"/>
      <w:lvlText w:val="▪"/>
      <w:lvlJc w:val="left"/>
      <w:pPr>
        <w:ind w:left="3456" w:hanging="432"/>
      </w:pPr>
      <w:rPr>
        <w:rFonts w:ascii="Calibri" w:hAnsi="Calibri" w:hint="default"/>
      </w:rPr>
    </w:lvl>
    <w:lvl w:ilvl="8" w:tplc="9DE030EC">
      <w:start w:val="1"/>
      <w:numFmt w:val="bullet"/>
      <w:lvlText w:val="▪"/>
      <w:lvlJc w:val="left"/>
      <w:pPr>
        <w:ind w:left="3888" w:hanging="432"/>
      </w:pPr>
      <w:rPr>
        <w:rFonts w:ascii="Calibri" w:hAnsi="Calibri" w:hint="default"/>
      </w:rPr>
    </w:lvl>
  </w:abstractNum>
  <w:abstractNum w:abstractNumId="16" w15:restartNumberingAfterBreak="0">
    <w:nsid w:val="2F000010"/>
    <w:multiLevelType w:val="multilevel"/>
    <w:tmpl w:val="4130466A"/>
    <w:lvl w:ilvl="0">
      <w:start w:val="1"/>
      <w:numFmt w:val="decimal"/>
      <w:pStyle w:val="05L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792" w:hanging="432"/>
      </w:pPr>
      <w:rPr>
        <w:rFonts w:hint="default"/>
        <w:color w:val="auto"/>
      </w:rPr>
    </w:lvl>
    <w:lvl w:ilvl="2">
      <w:start w:val="1"/>
      <w:numFmt w:val="decimal"/>
      <w:lvlText w:val="%3)"/>
      <w:lvlJc w:val="left"/>
      <w:pPr>
        <w:ind w:left="1224" w:hanging="504"/>
      </w:pPr>
      <w:rPr>
        <w:rFonts w:hint="default"/>
        <w:color w:val="auto"/>
      </w:rPr>
    </w:lvl>
    <w:lvl w:ilvl="3">
      <w:start w:val="1"/>
      <w:numFmt w:val="lowerLetter"/>
      <w:lvlText w:val="%4)"/>
      <w:lvlJc w:val="left"/>
      <w:pPr>
        <w:ind w:left="1728" w:hanging="648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7" w15:restartNumberingAfterBreak="0">
    <w:nsid w:val="2F000011"/>
    <w:multiLevelType w:val="hybridMultilevel"/>
    <w:tmpl w:val="2B906982"/>
    <w:lvl w:ilvl="0" w:tplc="551A31D8">
      <w:start w:val="1"/>
      <w:numFmt w:val="bullet"/>
      <w:lvlText w:val="—"/>
      <w:lvlJc w:val="left"/>
      <w:pPr>
        <w:ind w:left="1620" w:hanging="360"/>
      </w:pPr>
      <w:rPr>
        <w:rFonts w:ascii="Theinhardt Light" w:hAnsi="Theinhardt Light" w:hint="default"/>
        <w:b w:val="0"/>
        <w:i w:val="0"/>
        <w:color w:val="auto"/>
        <w:sz w:val="18"/>
        <w:szCs w:val="18"/>
      </w:rPr>
    </w:lvl>
    <w:lvl w:ilvl="1" w:tplc="70D060AC">
      <w:start w:val="1"/>
      <w:numFmt w:val="bullet"/>
      <w:lvlText w:val="•"/>
      <w:lvlJc w:val="left"/>
      <w:pPr>
        <w:ind w:left="1980" w:hanging="360"/>
      </w:pPr>
      <w:rPr>
        <w:rFonts w:ascii="Theinhardt Light" w:hAnsi="Theinhardt Light" w:hint="default"/>
        <w:color w:val="auto"/>
        <w:sz w:val="24"/>
        <w:szCs w:val="24"/>
      </w:rPr>
    </w:lvl>
    <w:lvl w:ilvl="2" w:tplc="064AC2A2">
      <w:start w:val="1"/>
      <w:numFmt w:val="bullet"/>
      <w:lvlText w:val="»"/>
      <w:lvlJc w:val="left"/>
      <w:pPr>
        <w:ind w:left="2340" w:hanging="360"/>
      </w:pPr>
      <w:rPr>
        <w:rFonts w:ascii="Theinhardt Light" w:hAnsi="Theinhardt Light" w:hint="default"/>
        <w:color w:val="auto"/>
        <w:sz w:val="20"/>
        <w:szCs w:val="20"/>
      </w:rPr>
    </w:lvl>
    <w:lvl w:ilvl="3" w:tplc="6B06403A">
      <w:start w:val="1"/>
      <w:numFmt w:val="bullet"/>
      <w:lvlText w:val="›"/>
      <w:lvlJc w:val="left"/>
      <w:pPr>
        <w:ind w:left="2700" w:hanging="360"/>
      </w:pPr>
      <w:rPr>
        <w:rFonts w:ascii="Theinhardt Light" w:hAnsi="Theinhardt Light" w:hint="default"/>
        <w:color w:val="002960"/>
        <w:sz w:val="24"/>
        <w:szCs w:val="24"/>
      </w:rPr>
    </w:lvl>
    <w:lvl w:ilvl="4" w:tplc="5A224802">
      <w:start w:val="1"/>
      <w:numFmt w:val="bullet"/>
      <w:lvlText w:val="•"/>
      <w:lvlJc w:val="left"/>
      <w:pPr>
        <w:ind w:left="3060" w:hanging="360"/>
      </w:pPr>
      <w:rPr>
        <w:rFonts w:ascii="Theinhardt Light" w:hAnsi="Theinhardt Light" w:hint="default"/>
        <w:color w:val="auto"/>
      </w:rPr>
    </w:lvl>
    <w:lvl w:ilvl="5" w:tplc="EAEE74AE">
      <w:start w:val="1"/>
      <w:numFmt w:val="bullet"/>
      <w:lvlText w:val="•"/>
      <w:lvlJc w:val="left"/>
      <w:pPr>
        <w:ind w:left="3420" w:hanging="360"/>
      </w:pPr>
      <w:rPr>
        <w:rFonts w:ascii="Theinhardt Light" w:hAnsi="Theinhardt Light" w:hint="default"/>
        <w:color w:val="auto"/>
      </w:rPr>
    </w:lvl>
    <w:lvl w:ilvl="6" w:tplc="A97A242C">
      <w:start w:val="1"/>
      <w:numFmt w:val="bullet"/>
      <w:lvlText w:val="•"/>
      <w:lvlJc w:val="left"/>
      <w:pPr>
        <w:ind w:left="3780" w:hanging="360"/>
      </w:pPr>
      <w:rPr>
        <w:rFonts w:ascii="Theinhardt Light" w:hAnsi="Theinhardt Light" w:hint="default"/>
        <w:color w:val="auto"/>
      </w:rPr>
    </w:lvl>
    <w:lvl w:ilvl="7" w:tplc="F68293FC">
      <w:start w:val="1"/>
      <w:numFmt w:val="bullet"/>
      <w:lvlText w:val="•"/>
      <w:lvlJc w:val="left"/>
      <w:pPr>
        <w:ind w:left="4140" w:hanging="360"/>
      </w:pPr>
      <w:rPr>
        <w:rFonts w:ascii="Theinhardt Light" w:hAnsi="Theinhardt Light" w:hint="default"/>
        <w:color w:val="auto"/>
      </w:rPr>
    </w:lvl>
    <w:lvl w:ilvl="8" w:tplc="90BC25E6">
      <w:start w:val="1"/>
      <w:numFmt w:val="bullet"/>
      <w:lvlText w:val="•"/>
      <w:lvlJc w:val="left"/>
      <w:pPr>
        <w:ind w:left="4500" w:hanging="360"/>
      </w:pPr>
      <w:rPr>
        <w:rFonts w:ascii="Theinhardt Light" w:hAnsi="Theinhardt Light" w:hint="default"/>
        <w:color w:val="auto"/>
      </w:rPr>
    </w:lvl>
  </w:abstractNum>
  <w:abstractNum w:abstractNumId="18" w15:restartNumberingAfterBreak="0">
    <w:nsid w:val="2F000012"/>
    <w:multiLevelType w:val="hybridMultilevel"/>
    <w:tmpl w:val="5AC61B76"/>
    <w:lvl w:ilvl="0" w:tplc="2B3AC848">
      <w:start w:val="573"/>
      <w:numFmt w:val="bullet"/>
      <w:lvlText w:val="-"/>
      <w:lvlJc w:val="left"/>
      <w:pPr>
        <w:ind w:left="644" w:hanging="360"/>
      </w:pPr>
      <w:rPr>
        <w:rFonts w:ascii="Arial (Body)" w:eastAsia="Times New Roman" w:hAnsi="Arial (Body)" w:cs="Times New Roman" w:hint="default"/>
      </w:rPr>
    </w:lvl>
    <w:lvl w:ilvl="1" w:tplc="ED34753E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3D30D56A">
      <w:start w:val="1"/>
      <w:numFmt w:val="bullet"/>
      <w:lvlText w:val="§"/>
      <w:lvlJc w:val="left"/>
      <w:pPr>
        <w:ind w:left="2084" w:hanging="360"/>
      </w:pPr>
      <w:rPr>
        <w:rFonts w:ascii="Wingdings" w:hAnsi="Wingdings" w:hint="default"/>
      </w:rPr>
    </w:lvl>
    <w:lvl w:ilvl="3" w:tplc="05A024C6">
      <w:start w:val="1"/>
      <w:numFmt w:val="bullet"/>
      <w:lvlText w:val="·"/>
      <w:lvlJc w:val="left"/>
      <w:pPr>
        <w:ind w:left="2804" w:hanging="360"/>
      </w:pPr>
      <w:rPr>
        <w:rFonts w:ascii="Symbol" w:hAnsi="Symbol" w:hint="default"/>
      </w:rPr>
    </w:lvl>
    <w:lvl w:ilvl="4" w:tplc="44ACE584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C0481E6E">
      <w:start w:val="1"/>
      <w:numFmt w:val="bullet"/>
      <w:lvlText w:val="§"/>
      <w:lvlJc w:val="left"/>
      <w:pPr>
        <w:ind w:left="4244" w:hanging="360"/>
      </w:pPr>
      <w:rPr>
        <w:rFonts w:ascii="Wingdings" w:hAnsi="Wingdings" w:hint="default"/>
      </w:rPr>
    </w:lvl>
    <w:lvl w:ilvl="6" w:tplc="EBE8D286">
      <w:start w:val="1"/>
      <w:numFmt w:val="bullet"/>
      <w:lvlText w:val="·"/>
      <w:lvlJc w:val="left"/>
      <w:pPr>
        <w:ind w:left="4964" w:hanging="360"/>
      </w:pPr>
      <w:rPr>
        <w:rFonts w:ascii="Symbol" w:hAnsi="Symbol" w:hint="default"/>
      </w:rPr>
    </w:lvl>
    <w:lvl w:ilvl="7" w:tplc="EB8A99C6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AFA6120C">
      <w:start w:val="1"/>
      <w:numFmt w:val="bullet"/>
      <w:lvlText w:val="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9" w15:restartNumberingAfterBreak="0">
    <w:nsid w:val="2F000013"/>
    <w:multiLevelType w:val="multilevel"/>
    <w:tmpl w:val="5576E06E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"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2F000014"/>
    <w:multiLevelType w:val="multilevel"/>
    <w:tmpl w:val="36792A6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2F000015"/>
    <w:multiLevelType w:val="hybridMultilevel"/>
    <w:tmpl w:val="20E97F58"/>
    <w:lvl w:ilvl="0" w:tplc="9A48446A">
      <w:start w:val="1"/>
      <w:numFmt w:val="bullet"/>
      <w:lvlText w:val="—"/>
      <w:lvlJc w:val="left"/>
      <w:pPr>
        <w:ind w:left="432" w:hanging="432"/>
      </w:pPr>
      <w:rPr>
        <w:rFonts w:ascii="Theinhardt Light" w:hAnsi="Theinhardt Light" w:hint="default"/>
      </w:rPr>
    </w:lvl>
    <w:lvl w:ilvl="1" w:tplc="13FCF8D8">
      <w:start w:val="1"/>
      <w:numFmt w:val="bullet"/>
      <w:lvlText w:val="•"/>
      <w:lvlJc w:val="left"/>
      <w:pPr>
        <w:ind w:left="864" w:hanging="432"/>
      </w:pPr>
      <w:rPr>
        <w:rFonts w:ascii="Theinhardt Light" w:hAnsi="Theinhardt Light" w:hint="default"/>
        <w:color w:val="auto"/>
      </w:rPr>
    </w:lvl>
    <w:lvl w:ilvl="2" w:tplc="1614566A">
      <w:start w:val="1"/>
      <w:numFmt w:val="bullet"/>
      <w:lvlText w:val="›"/>
      <w:lvlJc w:val="left"/>
      <w:pPr>
        <w:ind w:left="1296" w:hanging="432"/>
      </w:pPr>
      <w:rPr>
        <w:rFonts w:ascii="Theinhardt Light" w:hAnsi="Theinhardt Light" w:hint="default"/>
        <w:color w:val="002960"/>
      </w:rPr>
    </w:lvl>
    <w:lvl w:ilvl="3" w:tplc="A3EE7BF0">
      <w:start w:val="1"/>
      <w:numFmt w:val="bullet"/>
      <w:lvlText w:val="»"/>
      <w:lvlJc w:val="left"/>
      <w:pPr>
        <w:ind w:left="1728" w:hanging="432"/>
      </w:pPr>
      <w:rPr>
        <w:rFonts w:ascii="Theinhardt Light" w:hAnsi="Theinhardt Light" w:hint="default"/>
      </w:rPr>
    </w:lvl>
    <w:lvl w:ilvl="4" w:tplc="2D2AEA22">
      <w:start w:val="1"/>
      <w:numFmt w:val="bullet"/>
      <w:lvlText w:val="▫"/>
      <w:lvlJc w:val="left"/>
      <w:pPr>
        <w:ind w:left="2160" w:hanging="432"/>
      </w:pPr>
      <w:rPr>
        <w:rFonts w:ascii="Arial" w:hAnsi="Arial" w:hint="default"/>
      </w:rPr>
    </w:lvl>
    <w:lvl w:ilvl="5" w:tplc="BA46A16A">
      <w:start w:val="1"/>
      <w:numFmt w:val="bullet"/>
      <w:lvlText w:val="–"/>
      <w:lvlJc w:val="left"/>
      <w:pPr>
        <w:ind w:left="2592" w:hanging="432"/>
      </w:pPr>
      <w:rPr>
        <w:rFonts w:ascii="Segoe UI" w:hAnsi="Segoe UI" w:hint="default"/>
      </w:rPr>
    </w:lvl>
    <w:lvl w:ilvl="6" w:tplc="FA6EF086">
      <w:start w:val="1"/>
      <w:numFmt w:val="bullet"/>
      <w:lvlText w:val="◦"/>
      <w:lvlJc w:val="left"/>
      <w:pPr>
        <w:ind w:left="3024" w:hanging="432"/>
      </w:pPr>
      <w:rPr>
        <w:rFonts w:ascii="Arial" w:hAnsi="Arial" w:hint="default"/>
      </w:rPr>
    </w:lvl>
    <w:lvl w:ilvl="7" w:tplc="E0AE225C">
      <w:start w:val="1"/>
      <w:numFmt w:val="bullet"/>
      <w:lvlText w:val="▪"/>
      <w:lvlJc w:val="left"/>
      <w:pPr>
        <w:ind w:left="3456" w:hanging="432"/>
      </w:pPr>
      <w:rPr>
        <w:rFonts w:ascii="Calibri" w:hAnsi="Calibri" w:hint="default"/>
      </w:rPr>
    </w:lvl>
    <w:lvl w:ilvl="8" w:tplc="7E96E66E">
      <w:start w:val="1"/>
      <w:numFmt w:val="bullet"/>
      <w:lvlText w:val="▪"/>
      <w:lvlJc w:val="left"/>
      <w:pPr>
        <w:ind w:left="3888" w:hanging="432"/>
      </w:pPr>
      <w:rPr>
        <w:rFonts w:ascii="Calibri" w:hAnsi="Calibri" w:hint="default"/>
      </w:rPr>
    </w:lvl>
  </w:abstractNum>
  <w:abstractNum w:abstractNumId="22" w15:restartNumberingAfterBreak="0">
    <w:nsid w:val="2F000016"/>
    <w:multiLevelType w:val="multilevel"/>
    <w:tmpl w:val="32B2B5EB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3" w15:restartNumberingAfterBreak="0">
    <w:nsid w:val="2F000017"/>
    <w:multiLevelType w:val="multilevel"/>
    <w:tmpl w:val="512C018F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76" w:hanging="288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864" w:hanging="288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1152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6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4" w15:restartNumberingAfterBreak="0">
    <w:nsid w:val="2F000018"/>
    <w:multiLevelType w:val="hybridMultilevel"/>
    <w:tmpl w:val="33A1AB71"/>
    <w:lvl w:ilvl="0" w:tplc="17E873C0">
      <w:start w:val="1"/>
      <w:numFmt w:val="decimal"/>
      <w:lvlText w:val="%1."/>
      <w:lvlJc w:val="left"/>
      <w:pPr>
        <w:ind w:left="720" w:hanging="360"/>
      </w:pPr>
    </w:lvl>
    <w:lvl w:ilvl="1" w:tplc="E6828B6C">
      <w:start w:val="1"/>
      <w:numFmt w:val="lowerLetter"/>
      <w:lvlText w:val="%2."/>
      <w:lvlJc w:val="left"/>
      <w:pPr>
        <w:ind w:left="1440" w:hanging="360"/>
      </w:pPr>
    </w:lvl>
    <w:lvl w:ilvl="2" w:tplc="1AAE0D78">
      <w:start w:val="1"/>
      <w:numFmt w:val="lowerRoman"/>
      <w:lvlText w:val="%3."/>
      <w:lvlJc w:val="right"/>
      <w:pPr>
        <w:ind w:left="2160" w:hanging="180"/>
      </w:pPr>
    </w:lvl>
    <w:lvl w:ilvl="3" w:tplc="23909F78">
      <w:start w:val="1"/>
      <w:numFmt w:val="decimal"/>
      <w:lvlText w:val="%4."/>
      <w:lvlJc w:val="left"/>
      <w:pPr>
        <w:ind w:left="2880" w:hanging="360"/>
      </w:pPr>
    </w:lvl>
    <w:lvl w:ilvl="4" w:tplc="4E34A918">
      <w:start w:val="1"/>
      <w:numFmt w:val="lowerLetter"/>
      <w:lvlText w:val="%5."/>
      <w:lvlJc w:val="left"/>
      <w:pPr>
        <w:ind w:left="3600" w:hanging="360"/>
      </w:pPr>
    </w:lvl>
    <w:lvl w:ilvl="5" w:tplc="A9C47508">
      <w:start w:val="1"/>
      <w:numFmt w:val="lowerRoman"/>
      <w:lvlText w:val="%6."/>
      <w:lvlJc w:val="right"/>
      <w:pPr>
        <w:ind w:left="4320" w:hanging="180"/>
      </w:pPr>
    </w:lvl>
    <w:lvl w:ilvl="6" w:tplc="239A29D8">
      <w:start w:val="1"/>
      <w:numFmt w:val="decimal"/>
      <w:lvlText w:val="%7."/>
      <w:lvlJc w:val="left"/>
      <w:pPr>
        <w:ind w:left="5040" w:hanging="360"/>
      </w:pPr>
    </w:lvl>
    <w:lvl w:ilvl="7" w:tplc="AC0494DA">
      <w:start w:val="1"/>
      <w:numFmt w:val="lowerLetter"/>
      <w:lvlText w:val="%8."/>
      <w:lvlJc w:val="left"/>
      <w:pPr>
        <w:ind w:left="5760" w:hanging="360"/>
      </w:pPr>
    </w:lvl>
    <w:lvl w:ilvl="8" w:tplc="EF1C8B00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F000019"/>
    <w:multiLevelType w:val="hybridMultilevel"/>
    <w:tmpl w:val="1F325BAF"/>
    <w:lvl w:ilvl="0" w:tplc="40242BCC">
      <w:start w:val="1"/>
      <w:numFmt w:val="lowerLetter"/>
      <w:lvlText w:val="%1)"/>
      <w:lvlJc w:val="left"/>
      <w:pPr>
        <w:ind w:left="1584" w:hanging="360"/>
      </w:pPr>
    </w:lvl>
    <w:lvl w:ilvl="1" w:tplc="9D624C90">
      <w:start w:val="1"/>
      <w:numFmt w:val="lowerLetter"/>
      <w:lvlText w:val="%2."/>
      <w:lvlJc w:val="left"/>
      <w:pPr>
        <w:ind w:left="2304" w:hanging="360"/>
      </w:pPr>
    </w:lvl>
    <w:lvl w:ilvl="2" w:tplc="AF48DF44">
      <w:start w:val="1"/>
      <w:numFmt w:val="lowerRoman"/>
      <w:lvlText w:val="%3."/>
      <w:lvlJc w:val="right"/>
      <w:pPr>
        <w:ind w:left="3024" w:hanging="180"/>
      </w:pPr>
    </w:lvl>
    <w:lvl w:ilvl="3" w:tplc="F37A2020">
      <w:start w:val="1"/>
      <w:numFmt w:val="decimal"/>
      <w:lvlText w:val="%4."/>
      <w:lvlJc w:val="left"/>
      <w:pPr>
        <w:ind w:left="3744" w:hanging="360"/>
      </w:pPr>
    </w:lvl>
    <w:lvl w:ilvl="4" w:tplc="F4D2C0B8">
      <w:start w:val="1"/>
      <w:numFmt w:val="lowerLetter"/>
      <w:lvlText w:val="%5."/>
      <w:lvlJc w:val="left"/>
      <w:pPr>
        <w:ind w:left="4464" w:hanging="360"/>
      </w:pPr>
    </w:lvl>
    <w:lvl w:ilvl="5" w:tplc="F7C6FC1C">
      <w:start w:val="1"/>
      <w:numFmt w:val="lowerRoman"/>
      <w:lvlText w:val="%6."/>
      <w:lvlJc w:val="right"/>
      <w:pPr>
        <w:ind w:left="5184" w:hanging="180"/>
      </w:pPr>
    </w:lvl>
    <w:lvl w:ilvl="6" w:tplc="41549ADE">
      <w:start w:val="1"/>
      <w:numFmt w:val="decimal"/>
      <w:lvlText w:val="%7."/>
      <w:lvlJc w:val="left"/>
      <w:pPr>
        <w:ind w:left="5904" w:hanging="360"/>
      </w:pPr>
    </w:lvl>
    <w:lvl w:ilvl="7" w:tplc="BA7CDEC4">
      <w:start w:val="1"/>
      <w:numFmt w:val="lowerLetter"/>
      <w:lvlText w:val="%8."/>
      <w:lvlJc w:val="left"/>
      <w:pPr>
        <w:ind w:left="6624" w:hanging="360"/>
      </w:pPr>
    </w:lvl>
    <w:lvl w:ilvl="8" w:tplc="94F4CC8C">
      <w:start w:val="1"/>
      <w:numFmt w:val="lowerRoman"/>
      <w:lvlText w:val="%9."/>
      <w:lvlJc w:val="right"/>
      <w:pPr>
        <w:ind w:left="7344" w:hanging="180"/>
      </w:pPr>
    </w:lvl>
  </w:abstractNum>
  <w:abstractNum w:abstractNumId="26" w15:restartNumberingAfterBreak="0">
    <w:nsid w:val="2F00001A"/>
    <w:multiLevelType w:val="multilevel"/>
    <w:tmpl w:val="33E59A2B"/>
    <w:lvl w:ilvl="0">
      <w:start w:val="1"/>
      <w:numFmt w:val="decimal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27" w15:restartNumberingAfterBreak="0">
    <w:nsid w:val="2F00001B"/>
    <w:multiLevelType w:val="hybridMultilevel"/>
    <w:tmpl w:val="5C6E074A"/>
    <w:lvl w:ilvl="0" w:tplc="DB68C432">
      <w:start w:val="1"/>
      <w:numFmt w:val="bullet"/>
      <w:lvlText w:val=""/>
      <w:lvlJc w:val="left"/>
      <w:pPr>
        <w:ind w:left="288" w:hanging="288"/>
      </w:pPr>
      <w:rPr>
        <w:rFonts w:ascii="Wingdings" w:hAnsi="Wingdings" w:hint="default"/>
      </w:rPr>
    </w:lvl>
    <w:lvl w:ilvl="1" w:tplc="3202E93A">
      <w:start w:val="1"/>
      <w:numFmt w:val="bullet"/>
      <w:lvlText w:val="—"/>
      <w:lvlJc w:val="left"/>
      <w:pPr>
        <w:ind w:left="576" w:hanging="288"/>
      </w:pPr>
      <w:rPr>
        <w:rFonts w:ascii="Theinhardt Light" w:hAnsi="Theinhardt Light" w:hint="default"/>
        <w:color w:val="auto"/>
      </w:rPr>
    </w:lvl>
    <w:lvl w:ilvl="2" w:tplc="F288CF66">
      <w:start w:val="1"/>
      <w:numFmt w:val="bullet"/>
      <w:lvlText w:val="›"/>
      <w:lvlJc w:val="left"/>
      <w:pPr>
        <w:ind w:left="864" w:hanging="288"/>
      </w:pPr>
      <w:rPr>
        <w:rFonts w:ascii="Theinhardt Light" w:hAnsi="Theinhardt Light" w:hint="default"/>
        <w:color w:val="auto"/>
      </w:rPr>
    </w:lvl>
    <w:lvl w:ilvl="3" w:tplc="1B46D502">
      <w:start w:val="1"/>
      <w:numFmt w:val="bullet"/>
      <w:lvlText w:val="»"/>
      <w:lvlJc w:val="left"/>
      <w:pPr>
        <w:ind w:left="1152" w:hanging="288"/>
      </w:pPr>
      <w:rPr>
        <w:rFonts w:ascii="Theinhardt Light" w:hAnsi="Theinhardt Light" w:hint="default"/>
        <w:color w:val="auto"/>
      </w:rPr>
    </w:lvl>
    <w:lvl w:ilvl="4" w:tplc="2FD0AA0C">
      <w:start w:val="1"/>
      <w:numFmt w:val="bullet"/>
      <w:lvlText w:val="▫"/>
      <w:lvlJc w:val="left"/>
      <w:pPr>
        <w:ind w:left="1440" w:hanging="288"/>
      </w:pPr>
      <w:rPr>
        <w:rFonts w:asciiTheme="minorHAnsi" w:hAnsiTheme="minorHAnsi" w:hint="default"/>
        <w:color w:val="auto"/>
      </w:rPr>
    </w:lvl>
    <w:lvl w:ilvl="5" w:tplc="419EC918">
      <w:start w:val="1"/>
      <w:numFmt w:val="bullet"/>
      <w:lvlText w:val="▫"/>
      <w:lvlJc w:val="left"/>
      <w:pPr>
        <w:ind w:left="1728" w:hanging="288"/>
      </w:pPr>
      <w:rPr>
        <w:rFonts w:asciiTheme="minorHAnsi" w:hAnsiTheme="minorHAnsi" w:hint="default"/>
        <w:color w:val="auto"/>
      </w:rPr>
    </w:lvl>
    <w:lvl w:ilvl="6" w:tplc="49908090">
      <w:start w:val="1"/>
      <w:numFmt w:val="bullet"/>
      <w:lvlText w:val="▫"/>
      <w:lvlJc w:val="left"/>
      <w:pPr>
        <w:ind w:left="2016" w:hanging="288"/>
      </w:pPr>
      <w:rPr>
        <w:rFonts w:asciiTheme="minorHAnsi" w:hAnsiTheme="minorHAnsi" w:hint="default"/>
        <w:color w:val="auto"/>
      </w:rPr>
    </w:lvl>
    <w:lvl w:ilvl="7" w:tplc="8662FF44">
      <w:start w:val="1"/>
      <w:numFmt w:val="bullet"/>
      <w:lvlText w:val="▫"/>
      <w:lvlJc w:val="left"/>
      <w:pPr>
        <w:ind w:left="2304" w:hanging="288"/>
      </w:pPr>
      <w:rPr>
        <w:rFonts w:asciiTheme="minorHAnsi" w:hAnsiTheme="minorHAnsi" w:hint="default"/>
      </w:rPr>
    </w:lvl>
    <w:lvl w:ilvl="8" w:tplc="9FA28238">
      <w:start w:val="1"/>
      <w:numFmt w:val="bullet"/>
      <w:lvlText w:val="▪"/>
      <w:lvlJc w:val="left"/>
      <w:pPr>
        <w:ind w:left="2592" w:hanging="288"/>
      </w:pPr>
      <w:rPr>
        <w:rFonts w:ascii="Calibri" w:hAnsi="Calibri" w:hint="default"/>
      </w:rPr>
    </w:lvl>
  </w:abstractNum>
  <w:abstractNum w:abstractNumId="28" w15:restartNumberingAfterBreak="0">
    <w:nsid w:val="2F00001C"/>
    <w:multiLevelType w:val="hybridMultilevel"/>
    <w:tmpl w:val="48200B17"/>
    <w:lvl w:ilvl="0" w:tplc="50B6C9D2">
      <w:start w:val="1"/>
      <w:numFmt w:val="bullet"/>
      <w:pStyle w:val="01B1Dot"/>
      <w:lvlText w:val="●"/>
      <w:lvlJc w:val="left"/>
      <w:pPr>
        <w:ind w:left="360" w:hanging="360"/>
      </w:pPr>
      <w:rPr>
        <w:rFonts w:ascii="Arial" w:hAnsi="Arial" w:hint="default"/>
      </w:rPr>
    </w:lvl>
    <w:lvl w:ilvl="1" w:tplc="3A6A7F2C">
      <w:start w:val="1"/>
      <w:numFmt w:val="bullet"/>
      <w:lvlText w:val="—"/>
      <w:lvlJc w:val="left"/>
      <w:pPr>
        <w:ind w:left="576" w:hanging="288"/>
      </w:pPr>
      <w:rPr>
        <w:rFonts w:ascii="Theinhardt Light" w:hAnsi="Theinhardt Light" w:hint="default"/>
        <w:color w:val="auto"/>
      </w:rPr>
    </w:lvl>
    <w:lvl w:ilvl="2" w:tplc="3A9E1E92">
      <w:start w:val="1"/>
      <w:numFmt w:val="bullet"/>
      <w:lvlText w:val="›"/>
      <w:lvlJc w:val="left"/>
      <w:pPr>
        <w:ind w:left="864" w:hanging="288"/>
      </w:pPr>
      <w:rPr>
        <w:rFonts w:ascii="Arial" w:hAnsi="Arial" w:hint="default"/>
        <w:color w:val="auto"/>
      </w:rPr>
    </w:lvl>
    <w:lvl w:ilvl="3" w:tplc="498CF624">
      <w:start w:val="1"/>
      <w:numFmt w:val="bullet"/>
      <w:lvlText w:val="»"/>
      <w:lvlJc w:val="left"/>
      <w:pPr>
        <w:ind w:left="1152" w:hanging="288"/>
      </w:pPr>
      <w:rPr>
        <w:rFonts w:ascii="Arial" w:hAnsi="Arial" w:hint="default"/>
        <w:color w:val="auto"/>
      </w:rPr>
    </w:lvl>
    <w:lvl w:ilvl="4" w:tplc="4A7CF880">
      <w:start w:val="1"/>
      <w:numFmt w:val="bullet"/>
      <w:lvlText w:val="▫"/>
      <w:lvlJc w:val="left"/>
      <w:pPr>
        <w:ind w:left="1440" w:hanging="288"/>
      </w:pPr>
      <w:rPr>
        <w:rFonts w:ascii="Arial" w:hAnsi="Arial" w:hint="default"/>
        <w:color w:val="auto"/>
      </w:rPr>
    </w:lvl>
    <w:lvl w:ilvl="5" w:tplc="E4E484DC">
      <w:start w:val="1"/>
      <w:numFmt w:val="bullet"/>
      <w:lvlText w:val="▫"/>
      <w:lvlJc w:val="left"/>
      <w:pPr>
        <w:ind w:left="1728" w:hanging="288"/>
      </w:pPr>
      <w:rPr>
        <w:rFonts w:asciiTheme="minorHAnsi" w:hAnsiTheme="minorHAnsi" w:hint="default"/>
        <w:color w:val="auto"/>
      </w:rPr>
    </w:lvl>
    <w:lvl w:ilvl="6" w:tplc="78A0EF1C">
      <w:start w:val="1"/>
      <w:numFmt w:val="bullet"/>
      <w:lvlText w:val="▫"/>
      <w:lvlJc w:val="left"/>
      <w:pPr>
        <w:ind w:left="2016" w:hanging="288"/>
      </w:pPr>
      <w:rPr>
        <w:rFonts w:asciiTheme="minorHAnsi" w:hAnsiTheme="minorHAnsi" w:hint="default"/>
        <w:color w:val="auto"/>
      </w:rPr>
    </w:lvl>
    <w:lvl w:ilvl="7" w:tplc="8E20EBC0">
      <w:start w:val="1"/>
      <w:numFmt w:val="bullet"/>
      <w:lvlText w:val="▫"/>
      <w:lvlJc w:val="left"/>
      <w:pPr>
        <w:ind w:left="2304" w:hanging="288"/>
      </w:pPr>
      <w:rPr>
        <w:rFonts w:asciiTheme="minorHAnsi" w:hAnsiTheme="minorHAnsi" w:hint="default"/>
      </w:rPr>
    </w:lvl>
    <w:lvl w:ilvl="8" w:tplc="BE02FFEE">
      <w:start w:val="1"/>
      <w:numFmt w:val="bullet"/>
      <w:lvlText w:val="▪"/>
      <w:lvlJc w:val="left"/>
      <w:pPr>
        <w:ind w:left="2592" w:hanging="288"/>
      </w:pPr>
      <w:rPr>
        <w:rFonts w:ascii="Calibri" w:hAnsi="Calibri" w:hint="default"/>
      </w:rPr>
    </w:lvl>
  </w:abstractNum>
  <w:abstractNum w:abstractNumId="29" w15:restartNumberingAfterBreak="0">
    <w:nsid w:val="2F00001D"/>
    <w:multiLevelType w:val="multilevel"/>
    <w:tmpl w:val="4F4B12B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172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0" w15:restartNumberingAfterBreak="0">
    <w:nsid w:val="2F00001E"/>
    <w:multiLevelType w:val="hybridMultilevel"/>
    <w:tmpl w:val="2FD5CECB"/>
    <w:lvl w:ilvl="0" w:tplc="81643AF8">
      <w:start w:val="1"/>
      <w:numFmt w:val="bullet"/>
      <w:lvlText w:val=""/>
      <w:lvlJc w:val="left"/>
      <w:pPr>
        <w:ind w:left="1584" w:hanging="360"/>
      </w:pPr>
      <w:rPr>
        <w:rFonts w:ascii="Wingdings" w:hAnsi="Wingdings" w:hint="default"/>
      </w:rPr>
    </w:lvl>
    <w:lvl w:ilvl="1" w:tplc="8E586624">
      <w:start w:val="1"/>
      <w:numFmt w:val="bullet"/>
      <w:lvlText w:val="o"/>
      <w:lvlJc w:val="left"/>
      <w:pPr>
        <w:ind w:left="2304" w:hanging="360"/>
      </w:pPr>
      <w:rPr>
        <w:rFonts w:ascii="Courier New" w:hAnsi="Courier New" w:cs="Courier New" w:hint="default"/>
      </w:rPr>
    </w:lvl>
    <w:lvl w:ilvl="2" w:tplc="F34072F4">
      <w:start w:val="1"/>
      <w:numFmt w:val="bullet"/>
      <w:lvlText w:val="§"/>
      <w:lvlJc w:val="left"/>
      <w:pPr>
        <w:ind w:left="3024" w:hanging="360"/>
      </w:pPr>
      <w:rPr>
        <w:rFonts w:ascii="Wingdings" w:hAnsi="Wingdings" w:hint="default"/>
      </w:rPr>
    </w:lvl>
    <w:lvl w:ilvl="3" w:tplc="5CB6088C">
      <w:start w:val="1"/>
      <w:numFmt w:val="bullet"/>
      <w:lvlText w:val="·"/>
      <w:lvlJc w:val="left"/>
      <w:pPr>
        <w:ind w:left="3744" w:hanging="360"/>
      </w:pPr>
      <w:rPr>
        <w:rFonts w:ascii="Symbol" w:hAnsi="Symbol" w:hint="default"/>
      </w:rPr>
    </w:lvl>
    <w:lvl w:ilvl="4" w:tplc="6470BBFC">
      <w:start w:val="1"/>
      <w:numFmt w:val="bullet"/>
      <w:lvlText w:val="o"/>
      <w:lvlJc w:val="left"/>
      <w:pPr>
        <w:ind w:left="4464" w:hanging="360"/>
      </w:pPr>
      <w:rPr>
        <w:rFonts w:ascii="Courier New" w:hAnsi="Courier New" w:cs="Courier New" w:hint="default"/>
      </w:rPr>
    </w:lvl>
    <w:lvl w:ilvl="5" w:tplc="414EA73A">
      <w:start w:val="1"/>
      <w:numFmt w:val="bullet"/>
      <w:lvlText w:val="§"/>
      <w:lvlJc w:val="left"/>
      <w:pPr>
        <w:ind w:left="5184" w:hanging="360"/>
      </w:pPr>
      <w:rPr>
        <w:rFonts w:ascii="Wingdings" w:hAnsi="Wingdings" w:hint="default"/>
      </w:rPr>
    </w:lvl>
    <w:lvl w:ilvl="6" w:tplc="C8DA0D7E">
      <w:start w:val="1"/>
      <w:numFmt w:val="bullet"/>
      <w:lvlText w:val="·"/>
      <w:lvlJc w:val="left"/>
      <w:pPr>
        <w:ind w:left="5904" w:hanging="360"/>
      </w:pPr>
      <w:rPr>
        <w:rFonts w:ascii="Symbol" w:hAnsi="Symbol" w:hint="default"/>
      </w:rPr>
    </w:lvl>
    <w:lvl w:ilvl="7" w:tplc="02920EC2">
      <w:start w:val="1"/>
      <w:numFmt w:val="bullet"/>
      <w:lvlText w:val="o"/>
      <w:lvlJc w:val="left"/>
      <w:pPr>
        <w:ind w:left="6624" w:hanging="360"/>
      </w:pPr>
      <w:rPr>
        <w:rFonts w:ascii="Courier New" w:hAnsi="Courier New" w:cs="Courier New" w:hint="default"/>
      </w:rPr>
    </w:lvl>
    <w:lvl w:ilvl="8" w:tplc="6BA89044">
      <w:start w:val="1"/>
      <w:numFmt w:val="bullet"/>
      <w:lvlText w:val="§"/>
      <w:lvlJc w:val="left"/>
      <w:pPr>
        <w:ind w:left="7344" w:hanging="360"/>
      </w:pPr>
      <w:rPr>
        <w:rFonts w:ascii="Wingdings" w:hAnsi="Wingdings" w:hint="default"/>
      </w:rPr>
    </w:lvl>
  </w:abstractNum>
  <w:abstractNum w:abstractNumId="31" w15:restartNumberingAfterBreak="0">
    <w:nsid w:val="2F00001F"/>
    <w:multiLevelType w:val="multilevel"/>
    <w:tmpl w:val="49230B3E"/>
    <w:lvl w:ilvl="0">
      <w:start w:val="1"/>
      <w:numFmt w:val="decimal"/>
      <w:lvlText w:val="%1."/>
      <w:lvlJc w:val="left"/>
      <w:pPr>
        <w:tabs>
          <w:tab w:val="left" w:pos="288"/>
        </w:tabs>
        <w:ind w:left="288" w:hanging="288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left" w:pos="576"/>
        </w:tabs>
        <w:ind w:left="576" w:hanging="288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864" w:hanging="288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left" w:pos="1152"/>
        </w:tabs>
        <w:ind w:left="1152" w:hanging="28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left" w:pos="1440"/>
        </w:tabs>
        <w:ind w:left="1440" w:hanging="288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left" w:pos="1728"/>
        </w:tabs>
        <w:ind w:left="1728" w:hanging="288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left" w:pos="2016"/>
        </w:tabs>
        <w:ind w:left="2016" w:hanging="288"/>
      </w:pPr>
      <w:rPr>
        <w:rFonts w:hint="default"/>
      </w:rPr>
    </w:lvl>
    <w:lvl w:ilvl="7">
      <w:start w:val="1"/>
      <w:numFmt w:val="decimal"/>
      <w:suff w:val="nothing"/>
      <w:lvlText w:val="%1.%2.%3.%4.%5.%6.%7.%8."/>
      <w:lvlJc w:val="left"/>
      <w:pPr>
        <w:ind w:left="2304" w:hanging="288"/>
      </w:pPr>
      <w:rPr>
        <w:rFonts w:hint="default"/>
      </w:rPr>
    </w:lvl>
    <w:lvl w:ilvl="8">
      <w:start w:val="1"/>
      <w:numFmt w:val="decimal"/>
      <w:suff w:val="nothing"/>
      <w:lvlText w:val="%1.%2.%3.%4.%5.%6.%7.%8.%9."/>
      <w:lvlJc w:val="left"/>
      <w:pPr>
        <w:ind w:left="2592" w:hanging="288"/>
      </w:pPr>
      <w:rPr>
        <w:rFonts w:hint="default"/>
      </w:rPr>
    </w:lvl>
  </w:abstractNum>
  <w:abstractNum w:abstractNumId="32" w15:restartNumberingAfterBreak="0">
    <w:nsid w:val="2F000020"/>
    <w:multiLevelType w:val="multilevel"/>
    <w:tmpl w:val="24E04AE5"/>
    <w:lvl w:ilvl="0">
      <w:start w:val="1"/>
      <w:numFmt w:val="decimal"/>
      <w:pStyle w:val="301MajorH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302MinH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303Sub1H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304Sub2H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33" w15:restartNumberingAfterBreak="0">
    <w:nsid w:val="2F000021"/>
    <w:multiLevelType w:val="multilevel"/>
    <w:tmpl w:val="5452798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 w15:restartNumberingAfterBreak="0">
    <w:nsid w:val="2F000022"/>
    <w:multiLevelType w:val="multilevel"/>
    <w:tmpl w:val="2BAD198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 w15:restartNumberingAfterBreak="0">
    <w:nsid w:val="2F000023"/>
    <w:multiLevelType w:val="hybridMultilevel"/>
    <w:tmpl w:val="5ACAB55C"/>
    <w:lvl w:ilvl="0" w:tplc="9C9EC9F6">
      <w:start w:val="1"/>
      <w:numFmt w:val="bullet"/>
      <w:lvlText w:val="—"/>
      <w:lvlJc w:val="left"/>
      <w:pPr>
        <w:ind w:left="432" w:hanging="432"/>
      </w:pPr>
      <w:rPr>
        <w:rFonts w:ascii="Theinhardt Light" w:hAnsi="Theinhardt Light" w:hint="default"/>
      </w:rPr>
    </w:lvl>
    <w:lvl w:ilvl="1" w:tplc="935A64A2">
      <w:start w:val="1"/>
      <w:numFmt w:val="bullet"/>
      <w:lvlText w:val="•"/>
      <w:lvlJc w:val="left"/>
      <w:pPr>
        <w:ind w:left="864" w:hanging="432"/>
      </w:pPr>
      <w:rPr>
        <w:rFonts w:ascii="Theinhardt Light" w:hAnsi="Theinhardt Light" w:hint="default"/>
        <w:color w:val="auto"/>
      </w:rPr>
    </w:lvl>
    <w:lvl w:ilvl="2" w:tplc="272E8816">
      <w:start w:val="1"/>
      <w:numFmt w:val="bullet"/>
      <w:lvlText w:val="›"/>
      <w:lvlJc w:val="left"/>
      <w:pPr>
        <w:ind w:left="1296" w:hanging="432"/>
      </w:pPr>
      <w:rPr>
        <w:rFonts w:ascii="Theinhardt Light" w:hAnsi="Theinhardt Light" w:hint="default"/>
        <w:color w:val="002960"/>
      </w:rPr>
    </w:lvl>
    <w:lvl w:ilvl="3" w:tplc="584E1926">
      <w:start w:val="1"/>
      <w:numFmt w:val="bullet"/>
      <w:lvlText w:val="»"/>
      <w:lvlJc w:val="left"/>
      <w:pPr>
        <w:ind w:left="1728" w:hanging="432"/>
      </w:pPr>
      <w:rPr>
        <w:rFonts w:ascii="Theinhardt Light" w:hAnsi="Theinhardt Light" w:hint="default"/>
      </w:rPr>
    </w:lvl>
    <w:lvl w:ilvl="4" w:tplc="2730D06E">
      <w:start w:val="1"/>
      <w:numFmt w:val="bullet"/>
      <w:lvlText w:val="▫"/>
      <w:lvlJc w:val="left"/>
      <w:pPr>
        <w:ind w:left="2160" w:hanging="432"/>
      </w:pPr>
      <w:rPr>
        <w:rFonts w:ascii="Arial" w:hAnsi="Arial" w:hint="default"/>
      </w:rPr>
    </w:lvl>
    <w:lvl w:ilvl="5" w:tplc="C8FE3A86">
      <w:start w:val="1"/>
      <w:numFmt w:val="bullet"/>
      <w:lvlText w:val="–"/>
      <w:lvlJc w:val="left"/>
      <w:pPr>
        <w:ind w:left="2592" w:hanging="432"/>
      </w:pPr>
      <w:rPr>
        <w:rFonts w:ascii="Segoe UI" w:hAnsi="Segoe UI" w:hint="default"/>
      </w:rPr>
    </w:lvl>
    <w:lvl w:ilvl="6" w:tplc="8B8E38DA">
      <w:start w:val="1"/>
      <w:numFmt w:val="bullet"/>
      <w:lvlText w:val="◦"/>
      <w:lvlJc w:val="left"/>
      <w:pPr>
        <w:ind w:left="3024" w:hanging="432"/>
      </w:pPr>
      <w:rPr>
        <w:rFonts w:ascii="Arial" w:hAnsi="Arial" w:hint="default"/>
      </w:rPr>
    </w:lvl>
    <w:lvl w:ilvl="7" w:tplc="7A8A5CFE">
      <w:start w:val="1"/>
      <w:numFmt w:val="bullet"/>
      <w:lvlText w:val="▪"/>
      <w:lvlJc w:val="left"/>
      <w:pPr>
        <w:ind w:left="3456" w:hanging="432"/>
      </w:pPr>
      <w:rPr>
        <w:rFonts w:ascii="Calibri" w:hAnsi="Calibri" w:hint="default"/>
      </w:rPr>
    </w:lvl>
    <w:lvl w:ilvl="8" w:tplc="F1F861C2">
      <w:start w:val="1"/>
      <w:numFmt w:val="bullet"/>
      <w:lvlText w:val="▪"/>
      <w:lvlJc w:val="left"/>
      <w:pPr>
        <w:ind w:left="3888" w:hanging="432"/>
      </w:pPr>
      <w:rPr>
        <w:rFonts w:ascii="Calibri" w:hAnsi="Calibri" w:hint="default"/>
      </w:rPr>
    </w:lvl>
  </w:abstractNum>
  <w:abstractNum w:abstractNumId="36" w15:restartNumberingAfterBreak="0">
    <w:nsid w:val="2F000024"/>
    <w:multiLevelType w:val="hybridMultilevel"/>
    <w:tmpl w:val="241DE966"/>
    <w:lvl w:ilvl="0" w:tplc="24588D2A">
      <w:start w:val="1"/>
      <w:numFmt w:val="lowerLetter"/>
      <w:lvlText w:val="%1)"/>
      <w:lvlJc w:val="left"/>
      <w:pPr>
        <w:ind w:left="1644" w:hanging="360"/>
      </w:pPr>
      <w:rPr>
        <w:rFonts w:ascii="Arial" w:hAnsi="Arial" w:hint="default"/>
        <w:color w:val="002960"/>
        <w:sz w:val="22"/>
        <w:szCs w:val="22"/>
      </w:rPr>
    </w:lvl>
    <w:lvl w:ilvl="1" w:tplc="01322930">
      <w:start w:val="1"/>
      <w:numFmt w:val="lowerLetter"/>
      <w:lvlText w:val="%2."/>
      <w:lvlJc w:val="left"/>
      <w:pPr>
        <w:ind w:left="2364" w:hanging="360"/>
      </w:pPr>
    </w:lvl>
    <w:lvl w:ilvl="2" w:tplc="5DD058D0">
      <w:start w:val="1"/>
      <w:numFmt w:val="lowerRoman"/>
      <w:lvlText w:val="%3."/>
      <w:lvlJc w:val="right"/>
      <w:pPr>
        <w:ind w:left="3084" w:hanging="180"/>
      </w:pPr>
    </w:lvl>
    <w:lvl w:ilvl="3" w:tplc="A214598C">
      <w:start w:val="1"/>
      <w:numFmt w:val="decimal"/>
      <w:lvlText w:val="%4."/>
      <w:lvlJc w:val="left"/>
      <w:pPr>
        <w:ind w:left="3804" w:hanging="360"/>
      </w:pPr>
    </w:lvl>
    <w:lvl w:ilvl="4" w:tplc="D3225478">
      <w:start w:val="1"/>
      <w:numFmt w:val="lowerLetter"/>
      <w:lvlText w:val="%5."/>
      <w:lvlJc w:val="left"/>
      <w:pPr>
        <w:ind w:left="4524" w:hanging="360"/>
      </w:pPr>
    </w:lvl>
    <w:lvl w:ilvl="5" w:tplc="13305E3C">
      <w:start w:val="1"/>
      <w:numFmt w:val="lowerRoman"/>
      <w:lvlText w:val="%6."/>
      <w:lvlJc w:val="right"/>
      <w:pPr>
        <w:ind w:left="5244" w:hanging="180"/>
      </w:pPr>
    </w:lvl>
    <w:lvl w:ilvl="6" w:tplc="B2061B1C">
      <w:start w:val="1"/>
      <w:numFmt w:val="decimal"/>
      <w:lvlText w:val="%7."/>
      <w:lvlJc w:val="left"/>
      <w:pPr>
        <w:ind w:left="5964" w:hanging="360"/>
      </w:pPr>
    </w:lvl>
    <w:lvl w:ilvl="7" w:tplc="8BD841D8">
      <w:start w:val="1"/>
      <w:numFmt w:val="lowerLetter"/>
      <w:lvlText w:val="%8."/>
      <w:lvlJc w:val="left"/>
      <w:pPr>
        <w:ind w:left="6684" w:hanging="360"/>
      </w:pPr>
    </w:lvl>
    <w:lvl w:ilvl="8" w:tplc="81EE1C4A">
      <w:start w:val="1"/>
      <w:numFmt w:val="lowerRoman"/>
      <w:lvlText w:val="%9."/>
      <w:lvlJc w:val="right"/>
      <w:pPr>
        <w:ind w:left="7404" w:hanging="180"/>
      </w:pPr>
    </w:lvl>
  </w:abstractNum>
  <w:num w:numId="1">
    <w:abstractNumId w:val="12"/>
  </w:num>
  <w:num w:numId="2">
    <w:abstractNumId w:val="9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8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  <w:num w:numId="12">
    <w:abstractNumId w:val="17"/>
  </w:num>
  <w:num w:numId="13">
    <w:abstractNumId w:val="21"/>
  </w:num>
  <w:num w:numId="14">
    <w:abstractNumId w:val="15"/>
  </w:num>
  <w:num w:numId="15">
    <w:abstractNumId w:val="28"/>
  </w:num>
  <w:num w:numId="16">
    <w:abstractNumId w:val="27"/>
  </w:num>
  <w:num w:numId="17">
    <w:abstractNumId w:val="23"/>
  </w:num>
  <w:num w:numId="18">
    <w:abstractNumId w:val="31"/>
  </w:num>
  <w:num w:numId="19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35"/>
  </w:num>
  <w:num w:numId="21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6"/>
  </w:num>
  <w:num w:numId="23">
    <w:abstractNumId w:val="34"/>
  </w:num>
  <w:num w:numId="24">
    <w:abstractNumId w:val="32"/>
  </w:num>
  <w:num w:numId="25">
    <w:abstractNumId w:val="11"/>
  </w:num>
  <w:num w:numId="26">
    <w:abstractNumId w:val="10"/>
  </w:num>
  <w:num w:numId="27">
    <w:abstractNumId w:val="25"/>
  </w:num>
  <w:num w:numId="28">
    <w:abstractNumId w:val="30"/>
  </w:num>
  <w:num w:numId="29">
    <w:abstractNumId w:val="36"/>
  </w:num>
  <w:num w:numId="30">
    <w:abstractNumId w:val="29"/>
  </w:num>
  <w:num w:numId="31">
    <w:abstractNumId w:val="20"/>
  </w:num>
  <w:num w:numId="32">
    <w:abstractNumId w:val="32"/>
    <w:lvlOverride w:ilvl="0">
      <w:startOverride w:val="1"/>
      <w:lvl w:ilvl="0">
        <w:start w:val="1"/>
        <w:numFmt w:val="decimal"/>
        <w:pStyle w:val="301MajorH1"/>
        <w:lvlText w:val="%1."/>
        <w:lvlJc w:val="left"/>
        <w:pPr>
          <w:ind w:left="720" w:hanging="720"/>
        </w:pPr>
        <w:rPr>
          <w:rFonts w:hint="default"/>
        </w:rPr>
      </w:lvl>
    </w:lvlOverride>
    <w:lvlOverride w:ilvl="1">
      <w:startOverride w:val="1"/>
      <w:lvl w:ilvl="1">
        <w:start w:val="1"/>
        <w:numFmt w:val="decimal"/>
        <w:pStyle w:val="302MinH2"/>
        <w:lvlText w:val="%1.%2."/>
        <w:lvlJc w:val="left"/>
        <w:pPr>
          <w:ind w:left="720" w:hanging="720"/>
        </w:pPr>
        <w:rPr>
          <w:rFonts w:hint="default"/>
        </w:rPr>
      </w:lvl>
    </w:lvlOverride>
    <w:lvlOverride w:ilvl="2">
      <w:startOverride w:val="1"/>
      <w:lvl w:ilvl="2">
        <w:start w:val="1"/>
        <w:numFmt w:val="decimal"/>
        <w:pStyle w:val="303Sub1H3"/>
        <w:lvlText w:val="%1.%2.%3."/>
        <w:lvlJc w:val="left"/>
        <w:pPr>
          <w:ind w:left="1008" w:hanging="1008"/>
        </w:pPr>
        <w:rPr>
          <w:rFonts w:hint="default"/>
        </w:rPr>
      </w:lvl>
    </w:lvlOverride>
    <w:lvlOverride w:ilvl="3">
      <w:startOverride w:val="1"/>
      <w:lvl w:ilvl="3">
        <w:start w:val="1"/>
        <w:numFmt w:val="decimal"/>
        <w:pStyle w:val="304Sub2H4"/>
        <w:lvlText w:val="%1.%2.%3.%4."/>
        <w:lvlJc w:val="left"/>
        <w:pPr>
          <w:ind w:left="1728" w:hanging="648"/>
        </w:pPr>
        <w:rPr>
          <w:rFonts w:hint="default"/>
        </w:rPr>
      </w:lvl>
    </w:lvlOverride>
    <w:lvlOverride w:ilvl="4">
      <w:startOverride w:val="1"/>
      <w:lvl w:ilvl="4">
        <w:start w:val="1"/>
        <w:numFmt w:val="decimal"/>
        <w:lvlText w:val="%1.%2.%3.%4.%5."/>
        <w:lvlJc w:val="left"/>
        <w:pPr>
          <w:ind w:left="2232" w:hanging="792"/>
        </w:pPr>
        <w:rPr>
          <w:rFonts w:hint="default"/>
        </w:rPr>
      </w:lvl>
    </w:lvlOverride>
    <w:lvlOverride w:ilvl="5">
      <w:startOverride w:val="1"/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int="default"/>
        </w:rPr>
      </w:lvl>
    </w:lvlOverride>
    <w:lvlOverride w:ilvl="6">
      <w:startOverride w:val="1"/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hint="default"/>
        </w:rPr>
      </w:lvl>
    </w:lvlOverride>
    <w:lvlOverride w:ilvl="7">
      <w:startOverride w:val="1"/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hint="default"/>
        </w:rPr>
      </w:lvl>
    </w:lvlOverride>
    <w:lvlOverride w:ilvl="8">
      <w:startOverride w:val="1"/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hint="default"/>
        </w:rPr>
      </w:lvl>
    </w:lvlOverride>
  </w:num>
  <w:num w:numId="33">
    <w:abstractNumId w:val="32"/>
    <w:lvlOverride w:ilvl="0">
      <w:startOverride w:val="1"/>
      <w:lvl w:ilvl="0">
        <w:start w:val="1"/>
        <w:numFmt w:val="decimal"/>
        <w:pStyle w:val="301MajorH1"/>
        <w:lvlText w:val="%1."/>
        <w:lvlJc w:val="left"/>
        <w:pPr>
          <w:ind w:left="432" w:hanging="432"/>
        </w:pPr>
        <w:rPr>
          <w:rFonts w:hint="default"/>
        </w:rPr>
      </w:lvl>
    </w:lvlOverride>
    <w:lvlOverride w:ilvl="1">
      <w:startOverride w:val="1"/>
      <w:lvl w:ilvl="1">
        <w:start w:val="1"/>
        <w:numFmt w:val="decimal"/>
        <w:pStyle w:val="302MinH2"/>
        <w:lvlText w:val="%1.%2."/>
        <w:lvlJc w:val="left"/>
        <w:pPr>
          <w:ind w:left="864" w:hanging="864"/>
        </w:pPr>
        <w:rPr>
          <w:rFonts w:hint="default"/>
        </w:rPr>
      </w:lvl>
    </w:lvlOverride>
    <w:lvlOverride w:ilvl="2">
      <w:startOverride w:val="1"/>
      <w:lvl w:ilvl="2">
        <w:start w:val="1"/>
        <w:numFmt w:val="decimal"/>
        <w:pStyle w:val="303Sub1H3"/>
        <w:lvlText w:val="%1.%2.%3."/>
        <w:lvlJc w:val="left"/>
        <w:pPr>
          <w:ind w:left="1008" w:hanging="1008"/>
        </w:pPr>
        <w:rPr>
          <w:rFonts w:hint="default"/>
        </w:rPr>
      </w:lvl>
    </w:lvlOverride>
    <w:lvlOverride w:ilvl="3">
      <w:startOverride w:val="1"/>
      <w:lvl w:ilvl="3">
        <w:start w:val="1"/>
        <w:numFmt w:val="decimal"/>
        <w:pStyle w:val="304Sub2H4"/>
        <w:lvlText w:val="%1.%2.%3.%4."/>
        <w:lvlJc w:val="left"/>
        <w:pPr>
          <w:ind w:left="1728" w:hanging="1728"/>
        </w:pPr>
        <w:rPr>
          <w:rFonts w:hint="default"/>
        </w:rPr>
      </w:lvl>
    </w:lvlOverride>
    <w:lvlOverride w:ilvl="4">
      <w:startOverride w:val="1"/>
      <w:lvl w:ilvl="4">
        <w:start w:val="1"/>
        <w:numFmt w:val="decimal"/>
        <w:lvlText w:val="%1.%2.%3.%4.%5."/>
        <w:lvlJc w:val="left"/>
        <w:pPr>
          <w:ind w:left="2232" w:hanging="792"/>
        </w:pPr>
        <w:rPr>
          <w:rFonts w:hint="default"/>
        </w:rPr>
      </w:lvl>
    </w:lvlOverride>
    <w:lvlOverride w:ilvl="5">
      <w:startOverride w:val="1"/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int="default"/>
        </w:rPr>
      </w:lvl>
    </w:lvlOverride>
    <w:lvlOverride w:ilvl="6">
      <w:startOverride w:val="1"/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hint="default"/>
        </w:rPr>
      </w:lvl>
    </w:lvlOverride>
    <w:lvlOverride w:ilvl="7">
      <w:startOverride w:val="1"/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hint="default"/>
        </w:rPr>
      </w:lvl>
    </w:lvlOverride>
    <w:lvlOverride w:ilvl="8">
      <w:startOverride w:val="1"/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hint="default"/>
        </w:rPr>
      </w:lvl>
    </w:lvlOverride>
  </w:num>
  <w:num w:numId="34">
    <w:abstractNumId w:val="32"/>
    <w:lvlOverride w:ilvl="0">
      <w:startOverride w:val="1"/>
      <w:lvl w:ilvl="0">
        <w:start w:val="1"/>
        <w:numFmt w:val="decimal"/>
        <w:pStyle w:val="301MajorH1"/>
        <w:lvlText w:val="%1."/>
        <w:lvlJc w:val="left"/>
        <w:pPr>
          <w:ind w:left="432" w:hanging="432"/>
        </w:pPr>
        <w:rPr>
          <w:rFonts w:hint="default"/>
        </w:rPr>
      </w:lvl>
    </w:lvlOverride>
    <w:lvlOverride w:ilvl="1">
      <w:startOverride w:val="1"/>
      <w:lvl w:ilvl="1">
        <w:start w:val="1"/>
        <w:numFmt w:val="decimal"/>
        <w:pStyle w:val="302MinH2"/>
        <w:lvlText w:val="%1.%2."/>
        <w:lvlJc w:val="left"/>
        <w:pPr>
          <w:ind w:left="864" w:hanging="864"/>
        </w:pPr>
        <w:rPr>
          <w:rFonts w:hint="default"/>
        </w:rPr>
      </w:lvl>
    </w:lvlOverride>
    <w:lvlOverride w:ilvl="2">
      <w:startOverride w:val="1"/>
      <w:lvl w:ilvl="2">
        <w:start w:val="1"/>
        <w:numFmt w:val="decimal"/>
        <w:pStyle w:val="303Sub1H3"/>
        <w:lvlText w:val="%1.%2.%3."/>
        <w:lvlJc w:val="left"/>
        <w:pPr>
          <w:ind w:left="1008" w:hanging="1008"/>
        </w:pPr>
        <w:rPr>
          <w:rFonts w:hint="default"/>
        </w:rPr>
      </w:lvl>
    </w:lvlOverride>
    <w:lvlOverride w:ilvl="3">
      <w:startOverride w:val="1"/>
      <w:lvl w:ilvl="3">
        <w:start w:val="1"/>
        <w:numFmt w:val="decimal"/>
        <w:pStyle w:val="304Sub2H4"/>
        <w:lvlText w:val="%1.%2.%3.%4."/>
        <w:lvlJc w:val="left"/>
        <w:pPr>
          <w:ind w:left="1440" w:hanging="1440"/>
        </w:pPr>
        <w:rPr>
          <w:rFonts w:hint="default"/>
        </w:rPr>
      </w:lvl>
    </w:lvlOverride>
    <w:lvlOverride w:ilvl="4">
      <w:startOverride w:val="1"/>
      <w:lvl w:ilvl="4">
        <w:start w:val="1"/>
        <w:numFmt w:val="decimal"/>
        <w:lvlText w:val="%1.%2.%3.%4.%5."/>
        <w:lvlJc w:val="left"/>
        <w:pPr>
          <w:ind w:left="2232" w:hanging="792"/>
        </w:pPr>
        <w:rPr>
          <w:rFonts w:hint="default"/>
        </w:rPr>
      </w:lvl>
    </w:lvlOverride>
    <w:lvlOverride w:ilvl="5">
      <w:startOverride w:val="1"/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int="default"/>
        </w:rPr>
      </w:lvl>
    </w:lvlOverride>
    <w:lvlOverride w:ilvl="6">
      <w:startOverride w:val="1"/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hint="default"/>
        </w:rPr>
      </w:lvl>
    </w:lvlOverride>
    <w:lvlOverride w:ilvl="7">
      <w:startOverride w:val="1"/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hint="default"/>
        </w:rPr>
      </w:lvl>
    </w:lvlOverride>
    <w:lvlOverride w:ilvl="8">
      <w:startOverride w:val="1"/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hint="default"/>
        </w:rPr>
      </w:lvl>
    </w:lvlOverride>
  </w:num>
  <w:num w:numId="35">
    <w:abstractNumId w:val="32"/>
    <w:lvlOverride w:ilvl="0">
      <w:startOverride w:val="1"/>
      <w:lvl w:ilvl="0">
        <w:start w:val="1"/>
        <w:numFmt w:val="decimal"/>
        <w:pStyle w:val="301MajorH1"/>
        <w:lvlText w:val="%1."/>
        <w:lvlJc w:val="left"/>
        <w:pPr>
          <w:ind w:left="432" w:hanging="432"/>
        </w:pPr>
        <w:rPr>
          <w:rFonts w:hint="default"/>
        </w:rPr>
      </w:lvl>
    </w:lvlOverride>
    <w:lvlOverride w:ilvl="1">
      <w:startOverride w:val="1"/>
      <w:lvl w:ilvl="1">
        <w:start w:val="1"/>
        <w:numFmt w:val="decimal"/>
        <w:pStyle w:val="302MinH2"/>
        <w:lvlText w:val="%1.%2."/>
        <w:lvlJc w:val="left"/>
        <w:pPr>
          <w:ind w:left="864" w:hanging="864"/>
        </w:pPr>
        <w:rPr>
          <w:rFonts w:hint="default"/>
        </w:rPr>
      </w:lvl>
    </w:lvlOverride>
    <w:lvlOverride w:ilvl="2">
      <w:startOverride w:val="1"/>
      <w:lvl w:ilvl="2">
        <w:start w:val="1"/>
        <w:numFmt w:val="decimal"/>
        <w:pStyle w:val="303Sub1H3"/>
        <w:lvlText w:val="%1.%2.%3."/>
        <w:lvlJc w:val="left"/>
        <w:pPr>
          <w:ind w:left="1008" w:hanging="1008"/>
        </w:pPr>
        <w:rPr>
          <w:rFonts w:hint="default"/>
        </w:rPr>
      </w:lvl>
    </w:lvlOverride>
    <w:lvlOverride w:ilvl="3">
      <w:startOverride w:val="1"/>
      <w:lvl w:ilvl="3">
        <w:start w:val="1"/>
        <w:numFmt w:val="decimal"/>
        <w:pStyle w:val="304Sub2H4"/>
        <w:lvlText w:val="%1.%2.%3.%4."/>
        <w:lvlJc w:val="left"/>
        <w:pPr>
          <w:ind w:left="1080" w:hanging="1080"/>
        </w:pPr>
        <w:rPr>
          <w:rFonts w:hint="default"/>
        </w:rPr>
      </w:lvl>
    </w:lvlOverride>
    <w:lvlOverride w:ilvl="4">
      <w:startOverride w:val="1"/>
      <w:lvl w:ilvl="4">
        <w:start w:val="1"/>
        <w:numFmt w:val="decimal"/>
        <w:lvlText w:val="%1.%2.%3.%4.%5."/>
        <w:lvlJc w:val="left"/>
        <w:pPr>
          <w:ind w:left="1224" w:hanging="1224"/>
        </w:pPr>
        <w:rPr>
          <w:rFonts w:hint="default"/>
        </w:rPr>
      </w:lvl>
    </w:lvlOverride>
    <w:lvlOverride w:ilvl="5">
      <w:startOverride w:val="1"/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int="default"/>
        </w:rPr>
      </w:lvl>
    </w:lvlOverride>
    <w:lvlOverride w:ilvl="6">
      <w:startOverride w:val="1"/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hint="default"/>
        </w:rPr>
      </w:lvl>
    </w:lvlOverride>
    <w:lvlOverride w:ilvl="7">
      <w:startOverride w:val="1"/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hint="default"/>
        </w:rPr>
      </w:lvl>
    </w:lvlOverride>
    <w:lvlOverride w:ilvl="8">
      <w:startOverride w:val="1"/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hint="default"/>
        </w:rPr>
      </w:lvl>
    </w:lvlOverride>
  </w:num>
  <w:num w:numId="3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32"/>
    <w:lvlOverride w:ilvl="0">
      <w:startOverride w:val="88"/>
    </w:lvlOverride>
    <w:lvlOverride w:ilvl="1">
      <w:startOverride w:val="10"/>
    </w:lvlOverride>
    <w:lvlOverride w:ilvl="2">
      <w:startOverride w:val="10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32"/>
    <w:lvlOverride w:ilvl="0">
      <w:startOverride w:val="88"/>
      <w:lvl w:ilvl="0">
        <w:start w:val="88"/>
        <w:numFmt w:val="decimal"/>
        <w:pStyle w:val="301MajorH1"/>
        <w:lvlText w:val="%1."/>
        <w:lvlJc w:val="left"/>
        <w:pPr>
          <w:ind w:left="432" w:hanging="432"/>
        </w:pPr>
        <w:rPr>
          <w:rFonts w:hint="default"/>
        </w:rPr>
      </w:lvl>
    </w:lvlOverride>
    <w:lvlOverride w:ilvl="1">
      <w:startOverride w:val="10"/>
      <w:lvl w:ilvl="1">
        <w:start w:val="10"/>
        <w:numFmt w:val="decimal"/>
        <w:pStyle w:val="302MinH2"/>
        <w:lvlText w:val="%1.%2."/>
        <w:lvlJc w:val="left"/>
        <w:pPr>
          <w:tabs>
            <w:tab w:val="left" w:pos="432"/>
          </w:tabs>
          <w:ind w:left="720" w:hanging="720"/>
        </w:pPr>
        <w:rPr>
          <w:rFonts w:hint="default"/>
        </w:rPr>
      </w:lvl>
    </w:lvlOverride>
    <w:lvlOverride w:ilvl="2">
      <w:startOverride w:val="10"/>
      <w:lvl w:ilvl="2">
        <w:start w:val="10"/>
        <w:numFmt w:val="decimal"/>
        <w:pStyle w:val="303Sub1H3"/>
        <w:lvlText w:val="%1.%2.%3."/>
        <w:lvlJc w:val="left"/>
        <w:pPr>
          <w:tabs>
            <w:tab w:val="left" w:pos="1440"/>
          </w:tabs>
          <w:ind w:left="1152" w:hanging="1152"/>
        </w:pPr>
        <w:rPr>
          <w:rFonts w:hint="default"/>
        </w:rPr>
      </w:lvl>
    </w:lvlOverride>
    <w:lvlOverride w:ilvl="3">
      <w:startOverride w:val="1"/>
      <w:lvl w:ilvl="3">
        <w:start w:val="1"/>
        <w:numFmt w:val="decimal"/>
        <w:pStyle w:val="304Sub2H4"/>
        <w:lvlText w:val="%1.%2.%3.%4."/>
        <w:lvlJc w:val="left"/>
        <w:pPr>
          <w:tabs>
            <w:tab w:val="left" w:pos="432"/>
          </w:tabs>
          <w:ind w:left="1296" w:hanging="1296"/>
        </w:pPr>
        <w:rPr>
          <w:rFonts w:hint="default"/>
        </w:rPr>
      </w:lvl>
    </w:lvlOverride>
    <w:lvlOverride w:ilvl="4">
      <w:startOverride w:val="1"/>
      <w:lvl w:ilvl="4">
        <w:start w:val="1"/>
        <w:numFmt w:val="decimal"/>
        <w:lvlText w:val="%1.%2.%3.%4.%5."/>
        <w:lvlJc w:val="left"/>
        <w:pPr>
          <w:ind w:left="1584" w:hanging="1584"/>
        </w:pPr>
        <w:rPr>
          <w:rFonts w:hint="default"/>
        </w:rPr>
      </w:lvl>
    </w:lvlOverride>
    <w:lvlOverride w:ilvl="5">
      <w:startOverride w:val="1"/>
      <w:lvl w:ilvl="5">
        <w:start w:val="1"/>
        <w:numFmt w:val="decimal"/>
        <w:lvlText w:val="%1.%2.%3.%4.%5.%6."/>
        <w:lvlJc w:val="left"/>
        <w:pPr>
          <w:ind w:left="432" w:hanging="432"/>
        </w:pPr>
        <w:rPr>
          <w:rFonts w:hint="default"/>
        </w:rPr>
      </w:lvl>
    </w:lvlOverride>
    <w:lvlOverride w:ilvl="6">
      <w:startOverride w:val="1"/>
      <w:lvl w:ilvl="6">
        <w:start w:val="1"/>
        <w:numFmt w:val="decimal"/>
        <w:lvlText w:val="%1.%2.%3.%4.%5.%6.%7."/>
        <w:lvlJc w:val="left"/>
        <w:pPr>
          <w:ind w:left="432" w:hanging="432"/>
        </w:pPr>
        <w:rPr>
          <w:rFonts w:hint="default"/>
        </w:rPr>
      </w:lvl>
    </w:lvlOverride>
    <w:lvlOverride w:ilvl="7">
      <w:startOverride w:val="1"/>
      <w:lvl w:ilvl="7">
        <w:start w:val="1"/>
        <w:numFmt w:val="decimal"/>
        <w:lvlText w:val="%1.%2.%3.%4.%5.%6.%7.%8."/>
        <w:lvlJc w:val="left"/>
        <w:pPr>
          <w:ind w:left="432" w:hanging="432"/>
        </w:pPr>
        <w:rPr>
          <w:rFonts w:hint="default"/>
        </w:rPr>
      </w:lvl>
    </w:lvlOverride>
    <w:lvlOverride w:ilvl="8">
      <w:startOverride w:val="1"/>
      <w:lvl w:ilvl="8">
        <w:start w:val="1"/>
        <w:numFmt w:val="decimal"/>
        <w:lvlText w:val="%1.%2.%3.%4.%5.%6.%7.%8.%9."/>
        <w:lvlJc w:val="left"/>
        <w:pPr>
          <w:ind w:left="432" w:hanging="432"/>
        </w:pPr>
        <w:rPr>
          <w:rFonts w:hint="default"/>
        </w:rPr>
      </w:lvl>
    </w:lvlOverride>
  </w:num>
  <w:num w:numId="39">
    <w:abstractNumId w:val="32"/>
    <w:lvlOverride w:ilvl="0">
      <w:startOverride w:val="88"/>
    </w:lvlOverride>
    <w:lvlOverride w:ilvl="1">
      <w:startOverride w:val="12"/>
    </w:lvlOverride>
    <w:lvlOverride w:ilvl="2">
      <w:startOverride w:val="18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32"/>
    <w:lvlOverride w:ilvl="0">
      <w:startOverride w:val="88"/>
    </w:lvlOverride>
    <w:lvlOverride w:ilvl="1">
      <w:startOverride w:val="1"/>
    </w:lvlOverride>
    <w:lvlOverride w:ilvl="2">
      <w:startOverride w:val="10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26"/>
  </w:num>
  <w:num w:numId="42">
    <w:abstractNumId w:val="13"/>
  </w:num>
  <w:num w:numId="43">
    <w:abstractNumId w:val="33"/>
  </w:num>
  <w:num w:numId="44">
    <w:abstractNumId w:val="22"/>
  </w:num>
  <w:num w:numId="45">
    <w:abstractNumId w:val="19"/>
  </w:num>
  <w:num w:numId="46">
    <w:abstractNumId w:val="24"/>
  </w:num>
  <w:num w:numId="47">
    <w:abstractNumId w:val="14"/>
  </w:num>
  <w:num w:numId="48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1895"/>
    <w:rsid w:val="00067D9E"/>
    <w:rsid w:val="0007053C"/>
    <w:rsid w:val="000A0E55"/>
    <w:rsid w:val="00160C78"/>
    <w:rsid w:val="001B6FF9"/>
    <w:rsid w:val="00286135"/>
    <w:rsid w:val="002B6E79"/>
    <w:rsid w:val="00314402"/>
    <w:rsid w:val="00356582"/>
    <w:rsid w:val="00365BE1"/>
    <w:rsid w:val="0038433F"/>
    <w:rsid w:val="0040318B"/>
    <w:rsid w:val="004A4FBC"/>
    <w:rsid w:val="005253C1"/>
    <w:rsid w:val="00537BB3"/>
    <w:rsid w:val="00595869"/>
    <w:rsid w:val="006D1562"/>
    <w:rsid w:val="006D2AA8"/>
    <w:rsid w:val="006E417A"/>
    <w:rsid w:val="006E6693"/>
    <w:rsid w:val="007268B9"/>
    <w:rsid w:val="007D5440"/>
    <w:rsid w:val="008107A3"/>
    <w:rsid w:val="008A5C81"/>
    <w:rsid w:val="008A6F43"/>
    <w:rsid w:val="00915049"/>
    <w:rsid w:val="00933C57"/>
    <w:rsid w:val="00971895"/>
    <w:rsid w:val="00994B8B"/>
    <w:rsid w:val="00A47504"/>
    <w:rsid w:val="00AE1DC2"/>
    <w:rsid w:val="00B76D8A"/>
    <w:rsid w:val="00B837E5"/>
    <w:rsid w:val="00D224B7"/>
    <w:rsid w:val="00D50656"/>
    <w:rsid w:val="00D81BA1"/>
    <w:rsid w:val="00E10015"/>
    <w:rsid w:val="00EE0920"/>
    <w:rsid w:val="00F11933"/>
    <w:rsid w:val="00F613B1"/>
  </w:rsids>
  <m:mathPr>
    <m:mathFont m:val="Cambria Math"/>
    <m:brkBin m:val="before"/>
    <m:brkBinSub m:val="--"/>
    <m:smallFrac/>
    <m:dispDef/>
    <m:lMargin m:val="1440"/>
    <m:rMargin m:val="144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D0B5E12"/>
  <w15:docId w15:val="{1EA28DC1-8A45-4E6C-8E46-7FFA3572E3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pPr>
      <w:spacing w:after="180" w:line="264" w:lineRule="auto"/>
    </w:pPr>
    <w:rPr>
      <w:rFonts w:ascii="Arial (Body)" w:eastAsia="Times New Roman" w:hAnsi="Arial (Body)" w:cs="Times New Roman"/>
      <w:lang w:val="en-US"/>
    </w:rPr>
  </w:style>
  <w:style w:type="paragraph" w:styleId="Heading1">
    <w:name w:val="heading 1"/>
    <w:basedOn w:val="20MajorH1"/>
    <w:next w:val="Normal"/>
    <w:link w:val="Heading1Char"/>
    <w:uiPriority w:val="7"/>
  </w:style>
  <w:style w:type="paragraph" w:styleId="Heading2">
    <w:name w:val="heading 2"/>
    <w:basedOn w:val="21MinorH2"/>
    <w:next w:val="Normal"/>
    <w:link w:val="Heading2Char"/>
    <w:uiPriority w:val="8"/>
    <w:semiHidden/>
  </w:style>
  <w:style w:type="paragraph" w:styleId="Heading3">
    <w:name w:val="heading 3"/>
    <w:basedOn w:val="22Sub1H3"/>
    <w:next w:val="Normal"/>
    <w:link w:val="Heading3Char"/>
    <w:uiPriority w:val="9"/>
    <w:semiHidden/>
  </w:style>
  <w:style w:type="paragraph" w:styleId="Heading4">
    <w:name w:val="heading 4"/>
    <w:basedOn w:val="22Sub2H4"/>
    <w:next w:val="Normal"/>
    <w:link w:val="Heading4Char"/>
    <w:uiPriority w:val="10"/>
    <w:semiHidden/>
  </w:style>
  <w:style w:type="paragraph" w:styleId="Heading5">
    <w:name w:val="heading 5"/>
    <w:basedOn w:val="Normal"/>
    <w:next w:val="Normal"/>
    <w:link w:val="Heading5Char"/>
    <w:uiPriority w:val="11"/>
    <w:semiHidden/>
    <w:pPr>
      <w:spacing w:before="360"/>
      <w:outlineLvl w:val="4"/>
    </w:pPr>
    <w:rPr>
      <w:b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12"/>
    <w:semiHidden/>
    <w:pPr>
      <w:spacing w:before="40" w:after="0"/>
      <w:outlineLvl w:val="5"/>
    </w:pPr>
    <w:rPr>
      <w:rFonts w:asciiTheme="majorHAnsi" w:eastAsiaTheme="majorEastAsia" w:hAnsiTheme="majorHAnsi" w:cstheme="majorBidi"/>
      <w:color w:val="020D15" w:themeColor="accent1" w:themeShade="7F"/>
    </w:rPr>
  </w:style>
  <w:style w:type="paragraph" w:styleId="Heading7">
    <w:name w:val="heading 7"/>
    <w:basedOn w:val="Normal"/>
    <w:next w:val="Normal"/>
    <w:link w:val="Heading7Char"/>
    <w:uiPriority w:val="13"/>
    <w:semiHidden/>
    <w:pPr>
      <w:spacing w:before="40" w:after="0"/>
      <w:outlineLvl w:val="6"/>
    </w:pPr>
    <w:rPr>
      <w:rFonts w:asciiTheme="majorHAnsi" w:eastAsiaTheme="majorEastAsia" w:hAnsiTheme="majorHAnsi" w:cstheme="majorBidi"/>
      <w:i/>
      <w:color w:val="020D15" w:themeColor="accent1" w:themeShade="7F"/>
    </w:rPr>
  </w:style>
  <w:style w:type="paragraph" w:styleId="Heading8">
    <w:name w:val="heading 8"/>
    <w:basedOn w:val="Normal"/>
    <w:next w:val="Normal"/>
    <w:link w:val="Heading8Char"/>
    <w:uiPriority w:val="14"/>
    <w:semiHidden/>
    <w:p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15"/>
    <w:semiHidden/>
    <w:pPr>
      <w:spacing w:before="40" w:after="0"/>
      <w:outlineLvl w:val="8"/>
    </w:pPr>
    <w:rPr>
      <w:rFonts w:asciiTheme="majorHAnsi" w:eastAsiaTheme="majorEastAsia" w:hAnsiTheme="majorHAnsi" w:cstheme="majorBidi"/>
      <w:i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5"/>
    <w:pPr>
      <w:spacing w:after="0" w:line="240" w:lineRule="auto"/>
    </w:pPr>
    <w:rPr>
      <w:rFonts w:eastAsiaTheme="minorEastAsia"/>
      <w:lang w:val="en-US"/>
    </w:rPr>
  </w:style>
  <w:style w:type="paragraph" w:styleId="Title">
    <w:name w:val="Title"/>
    <w:basedOn w:val="991Title"/>
    <w:next w:val="Normal"/>
    <w:link w:val="TitleChar"/>
    <w:uiPriority w:val="6"/>
  </w:style>
  <w:style w:type="paragraph" w:styleId="Subtitle">
    <w:name w:val="Subtitle"/>
    <w:basedOn w:val="Normal"/>
    <w:next w:val="Normal"/>
    <w:link w:val="SubtitleChar"/>
    <w:uiPriority w:val="16"/>
    <w:pPr>
      <w:spacing w:after="160"/>
    </w:pPr>
    <w:rPr>
      <w:rFonts w:eastAsiaTheme="minorEastAsia" w:cstheme="minorBidi"/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7"/>
    <w:rPr>
      <w:i/>
      <w:color w:val="404040" w:themeColor="text1" w:themeTint="BF"/>
    </w:rPr>
  </w:style>
  <w:style w:type="character" w:styleId="Emphasis">
    <w:name w:val="Emphasis"/>
    <w:basedOn w:val="DefaultParagraphFont"/>
    <w:uiPriority w:val="18"/>
    <w:rPr>
      <w:i/>
    </w:rPr>
  </w:style>
  <w:style w:type="character" w:styleId="IntenseEmphasis">
    <w:name w:val="Intense Emphasis"/>
    <w:basedOn w:val="DefaultParagraphFont"/>
    <w:uiPriority w:val="19"/>
    <w:rPr>
      <w:i/>
      <w:color w:val="051C2C" w:themeColor="accent1"/>
    </w:rPr>
  </w:style>
  <w:style w:type="character" w:styleId="Strong">
    <w:name w:val="Strong"/>
    <w:basedOn w:val="DefaultParagraphFont"/>
    <w:uiPriority w:val="20"/>
    <w:rPr>
      <w:b/>
    </w:rPr>
  </w:style>
  <w:style w:type="paragraph" w:styleId="Quote">
    <w:name w:val="Quote"/>
    <w:basedOn w:val="Normal"/>
    <w:next w:val="Normal"/>
    <w:link w:val="QuoteChar"/>
    <w:uiPriority w:val="21"/>
    <w:pPr>
      <w:spacing w:before="200" w:after="160"/>
      <w:ind w:left="864" w:right="864"/>
      <w:jc w:val="center"/>
    </w:pPr>
    <w:rPr>
      <w:i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22"/>
    <w:pPr>
      <w:pBdr>
        <w:top w:val="single" w:sz="4" w:space="10" w:color="051C2C" w:themeColor="accent1"/>
        <w:bottom w:val="single" w:sz="4" w:space="10" w:color="051C2C" w:themeColor="accent1"/>
      </w:pBdr>
      <w:spacing w:before="360" w:after="360"/>
      <w:ind w:left="864" w:right="864"/>
      <w:jc w:val="center"/>
    </w:pPr>
    <w:rPr>
      <w:i/>
      <w:color w:val="051C2C" w:themeColor="accent1"/>
    </w:rPr>
  </w:style>
  <w:style w:type="character" w:styleId="SubtleReference">
    <w:name w:val="Subtle Reference"/>
    <w:basedOn w:val="DefaultParagraphFont"/>
    <w:uiPriority w:val="23"/>
    <w:rPr>
      <w:smallCaps/>
      <w:color w:val="5A5A5A" w:themeColor="text1" w:themeTint="A5"/>
    </w:rPr>
  </w:style>
  <w:style w:type="character" w:styleId="IntenseReference">
    <w:name w:val="Intense Reference"/>
    <w:basedOn w:val="DefaultParagraphFont"/>
    <w:uiPriority w:val="24"/>
    <w:rPr>
      <w:b/>
      <w:caps w:val="0"/>
      <w:smallCaps w:val="0"/>
      <w:color w:val="051C2C" w:themeColor="accent1"/>
      <w:spacing w:val="5"/>
    </w:rPr>
  </w:style>
  <w:style w:type="character" w:styleId="BookTitle">
    <w:name w:val="Book Title"/>
    <w:basedOn w:val="DefaultParagraphFont"/>
    <w:uiPriority w:val="25"/>
    <w:rPr>
      <w:b/>
      <w:i/>
      <w:spacing w:val="5"/>
    </w:rPr>
  </w:style>
  <w:style w:type="paragraph" w:styleId="ListParagraph">
    <w:name w:val="List Paragraph"/>
    <w:basedOn w:val="Normal"/>
    <w:uiPriority w:val="26"/>
    <w:pPr>
      <w:ind w:left="720"/>
    </w:pPr>
  </w:style>
  <w:style w:type="paragraph" w:styleId="TOCHeading">
    <w:name w:val="TOC Heading"/>
    <w:basedOn w:val="Heading1"/>
    <w:next w:val="Normal"/>
    <w:uiPriority w:val="27"/>
    <w:semiHidden/>
    <w:unhideWhenUsed/>
    <w:pPr>
      <w:spacing w:before="240" w:after="0"/>
      <w:outlineLvl w:val="9"/>
    </w:pPr>
    <w:rPr>
      <w:rFonts w:eastAsiaTheme="majorEastAsia" w:cstheme="majorBidi"/>
      <w:color w:val="031420" w:themeColor="accent1" w:themeShade="BF"/>
    </w:rPr>
  </w:style>
  <w:style w:type="paragraph" w:styleId="TOC1">
    <w:name w:val="toc 1"/>
    <w:basedOn w:val="Normal"/>
    <w:next w:val="Normal"/>
    <w:uiPriority w:val="28"/>
    <w:unhideWhenUsed/>
    <w:pPr>
      <w:tabs>
        <w:tab w:val="right" w:leader="dot" w:pos="8270"/>
      </w:tabs>
      <w:spacing w:after="100"/>
      <w:ind w:right="432"/>
    </w:pPr>
    <w:rPr>
      <w:b/>
    </w:rPr>
  </w:style>
  <w:style w:type="paragraph" w:styleId="TOC2">
    <w:name w:val="toc 2"/>
    <w:basedOn w:val="00Body"/>
    <w:next w:val="Normal"/>
    <w:uiPriority w:val="29"/>
    <w:unhideWhenUsed/>
    <w:pPr>
      <w:tabs>
        <w:tab w:val="right" w:leader="dot" w:pos="8266"/>
      </w:tabs>
      <w:spacing w:after="100"/>
      <w:ind w:right="432"/>
    </w:pPr>
  </w:style>
  <w:style w:type="paragraph" w:styleId="TOC3">
    <w:name w:val="toc 3"/>
    <w:basedOn w:val="Normal"/>
    <w:next w:val="Normal"/>
    <w:uiPriority w:val="30"/>
    <w:unhideWhenUsed/>
    <w:pPr>
      <w:tabs>
        <w:tab w:val="right" w:leader="dot" w:pos="8266"/>
      </w:tabs>
      <w:spacing w:after="100"/>
      <w:ind w:left="504" w:right="432"/>
    </w:pPr>
  </w:style>
  <w:style w:type="paragraph" w:styleId="TOC4">
    <w:name w:val="toc 4"/>
    <w:basedOn w:val="Normal"/>
    <w:next w:val="Normal"/>
    <w:uiPriority w:val="31"/>
    <w:unhideWhenUsed/>
    <w:pPr>
      <w:spacing w:after="100"/>
      <w:ind w:left="662" w:right="432"/>
    </w:pPr>
  </w:style>
  <w:style w:type="paragraph" w:styleId="TOC5">
    <w:name w:val="toc 5"/>
    <w:basedOn w:val="Normal"/>
    <w:next w:val="Normal"/>
    <w:uiPriority w:val="32"/>
    <w:semiHidden/>
    <w:unhideWhenUsed/>
    <w:pPr>
      <w:spacing w:after="100"/>
      <w:ind w:left="878" w:right="432"/>
    </w:pPr>
  </w:style>
  <w:style w:type="paragraph" w:styleId="TOC6">
    <w:name w:val="toc 6"/>
    <w:basedOn w:val="Normal"/>
    <w:next w:val="Normal"/>
    <w:uiPriority w:val="33"/>
    <w:unhideWhenUsed/>
    <w:pPr>
      <w:spacing w:after="0"/>
      <w:ind w:left="1094" w:right="432"/>
    </w:pPr>
    <w:rPr>
      <w:rFonts w:cstheme="minorHAnsi"/>
      <w:sz w:val="20"/>
      <w:szCs w:val="20"/>
    </w:rPr>
  </w:style>
  <w:style w:type="paragraph" w:styleId="TOC7">
    <w:name w:val="toc 7"/>
    <w:basedOn w:val="Normal"/>
    <w:next w:val="Normal"/>
    <w:uiPriority w:val="34"/>
    <w:unhideWhenUsed/>
    <w:pPr>
      <w:spacing w:after="0"/>
      <w:ind w:left="1320"/>
    </w:pPr>
    <w:rPr>
      <w:rFonts w:cstheme="minorHAnsi"/>
      <w:sz w:val="20"/>
      <w:szCs w:val="20"/>
    </w:rPr>
  </w:style>
  <w:style w:type="paragraph" w:styleId="TOC8">
    <w:name w:val="toc 8"/>
    <w:basedOn w:val="Normal"/>
    <w:next w:val="Normal"/>
    <w:uiPriority w:val="35"/>
    <w:unhideWhenUsed/>
    <w:pPr>
      <w:spacing w:after="0"/>
      <w:ind w:left="1540"/>
    </w:pPr>
    <w:rPr>
      <w:rFonts w:cstheme="minorHAnsi"/>
      <w:sz w:val="20"/>
      <w:szCs w:val="20"/>
    </w:rPr>
  </w:style>
  <w:style w:type="paragraph" w:styleId="TOC9">
    <w:name w:val="toc 9"/>
    <w:basedOn w:val="Normal"/>
    <w:next w:val="Normal"/>
    <w:uiPriority w:val="36"/>
    <w:unhideWhenUsed/>
    <w:pPr>
      <w:spacing w:after="0"/>
      <w:ind w:left="1760"/>
    </w:pPr>
    <w:rPr>
      <w:rFonts w:cstheme="minorHAnsi"/>
      <w:sz w:val="20"/>
      <w:szCs w:val="20"/>
    </w:rPr>
  </w:style>
  <w:style w:type="table" w:styleId="TableGrid">
    <w:name w:val="Table Grid"/>
    <w:basedOn w:val="TableNormal"/>
    <w:uiPriority w:val="3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38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1">
    <w:name w:val="Plain Table 1"/>
    <w:basedOn w:val="TableNormal"/>
    <w:uiPriority w:val="39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</w:rPr>
    </w:tblStylePr>
    <w:tblStylePr w:type="lastRow">
      <w:rPr>
        <w:b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000000" w:fill="F2F2F2" w:themeFill="background1" w:themeFillShade="F2"/>
      </w:tcPr>
    </w:tblStylePr>
    <w:tblStylePr w:type="band1Horz">
      <w:tblPr/>
      <w:tcPr>
        <w:shd w:val="clear" w:color="000000" w:fill="F2F2F2" w:themeFill="background1" w:themeFillShade="F2"/>
      </w:tcPr>
    </w:tblStylePr>
  </w:style>
  <w:style w:type="table" w:styleId="PlainTable2">
    <w:name w:val="Plain Table 2"/>
    <w:basedOn w:val="TableNormal"/>
    <w:uiPriority w:val="40"/>
    <w:pPr>
      <w:spacing w:after="0" w:line="240" w:lineRule="auto"/>
    </w:pPr>
    <w:tblPr>
      <w:tblStyleRowBandSize w:val="1"/>
      <w:tblStyleColBandSize w:val="1"/>
      <w:tblBorders>
        <w:top w:val="single" w:sz="4" w:space="0" w:color="808080" w:themeColor="text1" w:themeTint="7F"/>
        <w:bottom w:val="single" w:sz="4" w:space="0" w:color="808080" w:themeColor="text1" w:themeTint="7F"/>
      </w:tblBorders>
    </w:tblPr>
    <w:tblStylePr w:type="firstRow">
      <w:rPr>
        <w:b/>
      </w:rPr>
      <w:tblPr/>
      <w:tcPr>
        <w:tcBorders>
          <w:bottom w:val="single" w:sz="4" w:space="0" w:color="808080" w:themeColor="text1" w:themeTint="7F"/>
        </w:tcBorders>
      </w:tcPr>
    </w:tblStylePr>
    <w:tblStylePr w:type="lastRow">
      <w:rPr>
        <w:b/>
      </w:rPr>
      <w:tblPr/>
      <w:tcPr>
        <w:tcBorders>
          <w:top w:val="single" w:sz="4" w:space="0" w:color="808080" w:themeColor="text1" w:themeTint="7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single" w:sz="4" w:space="0" w:color="808080" w:themeColor="text1" w:themeTint="7F"/>
          <w:right w:val="single" w:sz="4" w:space="0" w:color="808080" w:themeColor="text1" w:themeTint="7F"/>
        </w:tcBorders>
      </w:tcPr>
    </w:tblStylePr>
    <w:tblStylePr w:type="band2Vert">
      <w:tblPr/>
      <w:tcPr>
        <w:tcBorders>
          <w:left w:val="single" w:sz="4" w:space="0" w:color="808080" w:themeColor="text1" w:themeTint="7F"/>
          <w:right w:val="single" w:sz="4" w:space="0" w:color="808080" w:themeColor="text1" w:themeTint="7F"/>
        </w:tcBorders>
      </w:tcPr>
    </w:tblStylePr>
    <w:tblStylePr w:type="band1Horz">
      <w:tblPr/>
      <w:tcPr>
        <w:tcBorders>
          <w:top w:val="single" w:sz="4" w:space="0" w:color="808080" w:themeColor="text1" w:themeTint="7F"/>
          <w:bottom w:val="single" w:sz="4" w:space="0" w:color="808080" w:themeColor="text1" w:themeTint="7F"/>
        </w:tcBorders>
      </w:tcPr>
    </w:tblStylePr>
  </w:style>
  <w:style w:type="table" w:styleId="PlainTable3">
    <w:name w:val="Plain Table 3"/>
    <w:basedOn w:val="TableNormal"/>
    <w:uiPriority w:val="4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</w:rPr>
      <w:tblPr/>
      <w:tcPr>
        <w:tcBorders>
          <w:bottom w:val="single" w:sz="4" w:space="0" w:color="808080" w:themeColor="text1" w:themeTint="7F"/>
        </w:tcBorders>
      </w:tcPr>
    </w:tblStylePr>
    <w:tblStylePr w:type="lastRow">
      <w:rPr>
        <w:b/>
        <w:caps/>
      </w:rPr>
      <w:tblPr/>
      <w:tcPr>
        <w:tcBorders>
          <w:top w:val="nil"/>
        </w:tcBorders>
      </w:tcPr>
    </w:tblStylePr>
    <w:tblStylePr w:type="firstCol">
      <w:rPr>
        <w:b/>
        <w:caps/>
      </w:rPr>
      <w:tblPr/>
      <w:tcPr>
        <w:tcBorders>
          <w:right w:val="single" w:sz="4" w:space="0" w:color="808080" w:themeColor="text1" w:themeTint="7F"/>
        </w:tcBorders>
      </w:tcPr>
    </w:tblStylePr>
    <w:tblStylePr w:type="lastCol">
      <w:rPr>
        <w:b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000000" w:fill="F2F2F2" w:themeFill="background1" w:themeFillShade="F2"/>
      </w:tcPr>
    </w:tblStylePr>
    <w:tblStylePr w:type="band1Horz">
      <w:tblPr/>
      <w:tcPr>
        <w:shd w:val="clear" w:color="000000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2"/>
    <w:pPr>
      <w:spacing w:after="0" w:line="240" w:lineRule="auto"/>
    </w:pPr>
    <w:tblPr>
      <w:tblStyleRowBandSize w:val="1"/>
      <w:tblStyleColBandSize w:val="1"/>
    </w:tblPr>
    <w:tblStylePr w:type="firstRow">
      <w:rPr>
        <w:b/>
      </w:r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000000" w:fill="F2F2F2" w:themeFill="background1" w:themeFillShade="F2"/>
      </w:tcPr>
    </w:tblStylePr>
    <w:tblStylePr w:type="band1Horz">
      <w:tblPr/>
      <w:tcPr>
        <w:shd w:val="clear" w:color="000000" w:fill="F2F2F2" w:themeFill="background1" w:themeFillShade="F2"/>
      </w:tcPr>
    </w:tblStylePr>
  </w:style>
  <w:style w:type="table" w:styleId="PlainTable5">
    <w:name w:val="Plain Table 5"/>
    <w:basedOn w:val="TableNormal"/>
    <w:uiPriority w:val="43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sz w:val="26"/>
        <w:szCs w:val="26"/>
      </w:rPr>
      <w:tblPr/>
      <w:tcPr>
        <w:tcBorders>
          <w:bottom w:val="single" w:sz="4" w:space="0" w:color="808080" w:themeColor="text1" w:themeTint="7F"/>
        </w:tcBorders>
        <w:shd w:val="clear" w:color="000000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sz w:val="26"/>
        <w:szCs w:val="26"/>
      </w:rPr>
      <w:tblPr/>
      <w:tcPr>
        <w:tcBorders>
          <w:top w:val="single" w:sz="4" w:space="0" w:color="808080" w:themeColor="text1" w:themeTint="7F"/>
        </w:tcBorders>
        <w:shd w:val="clear" w:color="000000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sz w:val="26"/>
        <w:szCs w:val="26"/>
      </w:rPr>
      <w:tblPr/>
      <w:tcPr>
        <w:tcBorders>
          <w:right w:val="single" w:sz="4" w:space="0" w:color="808080" w:themeColor="text1" w:themeTint="7F"/>
        </w:tcBorders>
        <w:shd w:val="clear" w:color="000000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sz w:val="26"/>
        <w:szCs w:val="26"/>
      </w:rPr>
      <w:tblPr/>
      <w:tcPr>
        <w:tcBorders>
          <w:left w:val="single" w:sz="4" w:space="0" w:color="808080" w:themeColor="text1" w:themeTint="7F"/>
        </w:tcBorders>
        <w:shd w:val="clear" w:color="000000" w:fill="FFFFFF" w:themeFill="background1"/>
      </w:tcPr>
    </w:tblStylePr>
    <w:tblStylePr w:type="band1Vert">
      <w:tblPr/>
      <w:tcPr>
        <w:shd w:val="clear" w:color="000000" w:fill="F2F2F2" w:themeFill="background1" w:themeFillShade="F2"/>
      </w:tcPr>
    </w:tblStylePr>
    <w:tblStylePr w:type="band1Horz">
      <w:tblPr/>
      <w:tcPr>
        <w:shd w:val="clear" w:color="000000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GridTable1Light">
    <w:name w:val="Grid Table 1 Light"/>
    <w:basedOn w:val="TableNormal"/>
    <w:uiPriority w:val="44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</w:style>
  <w:style w:type="table" w:styleId="GridTable1Light-Accent1">
    <w:name w:val="Grid Table 1 Light Accent 1"/>
    <w:basedOn w:val="TableNormal"/>
    <w:uiPriority w:val="45"/>
    <w:pPr>
      <w:spacing w:after="0" w:line="240" w:lineRule="auto"/>
    </w:pPr>
    <w:tblPr>
      <w:tblStyleRowBandSize w:val="1"/>
      <w:tblStyleColBandSize w:val="1"/>
      <w:tblBorders>
        <w:top w:val="single" w:sz="4" w:space="0" w:color="59AFEC" w:themeColor="accent1" w:themeTint="66"/>
        <w:left w:val="single" w:sz="4" w:space="0" w:color="59AFEC" w:themeColor="accent1" w:themeTint="66"/>
        <w:bottom w:val="single" w:sz="4" w:space="0" w:color="59AFEC" w:themeColor="accent1" w:themeTint="66"/>
        <w:right w:val="single" w:sz="4" w:space="0" w:color="59AFEC" w:themeColor="accent1" w:themeTint="66"/>
        <w:insideH w:val="single" w:sz="4" w:space="0" w:color="59AFEC" w:themeColor="accent1" w:themeTint="66"/>
        <w:insideV w:val="single" w:sz="4" w:space="0" w:color="59AFEC" w:themeColor="accent1" w:themeTint="66"/>
      </w:tblBorders>
    </w:tblPr>
    <w:tblStylePr w:type="firstRow">
      <w:rPr>
        <w:b/>
      </w:rPr>
      <w:tblPr/>
      <w:tcPr>
        <w:tcBorders>
          <w:bottom w:val="single" w:sz="12" w:space="0" w:color="1885D1" w:themeColor="accent1" w:themeTint="99"/>
        </w:tcBorders>
      </w:tcPr>
    </w:tblStylePr>
    <w:tblStylePr w:type="lastRow">
      <w:rPr>
        <w:b/>
      </w:rPr>
      <w:tblPr/>
      <w:tcPr>
        <w:tcBorders>
          <w:top w:val="double" w:sz="2" w:space="0" w:color="1885D1" w:themeColor="accent1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</w:style>
  <w:style w:type="table" w:styleId="GridTable1Light-Accent2">
    <w:name w:val="Grid Table 1 Light Accent 2"/>
    <w:basedOn w:val="TableNormal"/>
    <w:uiPriority w:val="46"/>
    <w:pPr>
      <w:spacing w:after="0" w:line="240" w:lineRule="auto"/>
    </w:pPr>
    <w:tblPr>
      <w:tblStyleRowBandSize w:val="1"/>
      <w:tblStyleColBandSize w:val="1"/>
      <w:tblBorders>
        <w:top w:val="single" w:sz="4" w:space="0" w:color="94DDFF" w:themeColor="accent2" w:themeTint="66"/>
        <w:left w:val="single" w:sz="4" w:space="0" w:color="94DDFF" w:themeColor="accent2" w:themeTint="66"/>
        <w:bottom w:val="single" w:sz="4" w:space="0" w:color="94DDFF" w:themeColor="accent2" w:themeTint="66"/>
        <w:right w:val="single" w:sz="4" w:space="0" w:color="94DDFF" w:themeColor="accent2" w:themeTint="66"/>
        <w:insideH w:val="single" w:sz="4" w:space="0" w:color="94DDFF" w:themeColor="accent2" w:themeTint="66"/>
        <w:insideV w:val="single" w:sz="4" w:space="0" w:color="94DDFF" w:themeColor="accent2" w:themeTint="66"/>
      </w:tblBorders>
    </w:tblPr>
    <w:tblStylePr w:type="firstRow">
      <w:rPr>
        <w:b/>
      </w:rPr>
      <w:tblPr/>
      <w:tcPr>
        <w:tcBorders>
          <w:bottom w:val="single" w:sz="12" w:space="0" w:color="5FCDFF" w:themeColor="accent2" w:themeTint="99"/>
        </w:tcBorders>
      </w:tcPr>
    </w:tblStylePr>
    <w:tblStylePr w:type="lastRow">
      <w:rPr>
        <w:b/>
      </w:rPr>
      <w:tblPr/>
      <w:tcPr>
        <w:tcBorders>
          <w:top w:val="double" w:sz="2" w:space="0" w:color="5FCDFF" w:themeColor="accent2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</w:style>
  <w:style w:type="table" w:styleId="GridTable1Light-Accent3">
    <w:name w:val="Grid Table 1 Light Accent 3"/>
    <w:basedOn w:val="TableNormal"/>
    <w:uiPriority w:val="47"/>
    <w:pPr>
      <w:spacing w:after="0" w:line="240" w:lineRule="auto"/>
    </w:pPr>
    <w:tblPr>
      <w:tblStyleRowBandSize w:val="1"/>
      <w:tblStyleColBandSize w:val="1"/>
      <w:tblBorders>
        <w:top w:val="single" w:sz="4" w:space="0" w:color="A6B9FF" w:themeColor="accent3" w:themeTint="66"/>
        <w:left w:val="single" w:sz="4" w:space="0" w:color="A6B9FF" w:themeColor="accent3" w:themeTint="66"/>
        <w:bottom w:val="single" w:sz="4" w:space="0" w:color="A6B9FF" w:themeColor="accent3" w:themeTint="66"/>
        <w:right w:val="single" w:sz="4" w:space="0" w:color="A6B9FF" w:themeColor="accent3" w:themeTint="66"/>
        <w:insideH w:val="single" w:sz="4" w:space="0" w:color="A6B9FF" w:themeColor="accent3" w:themeTint="66"/>
        <w:insideV w:val="single" w:sz="4" w:space="0" w:color="A6B9FF" w:themeColor="accent3" w:themeTint="66"/>
      </w:tblBorders>
    </w:tblPr>
    <w:tblStylePr w:type="firstRow">
      <w:rPr>
        <w:b/>
      </w:rPr>
      <w:tblPr/>
      <w:tcPr>
        <w:tcBorders>
          <w:bottom w:val="single" w:sz="12" w:space="0" w:color="7A96FF" w:themeColor="accent3" w:themeTint="99"/>
        </w:tcBorders>
      </w:tcPr>
    </w:tblStylePr>
    <w:tblStylePr w:type="lastRow">
      <w:rPr>
        <w:b/>
      </w:rPr>
      <w:tblPr/>
      <w:tcPr>
        <w:tcBorders>
          <w:top w:val="double" w:sz="2" w:space="0" w:color="7A96FF" w:themeColor="accent3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</w:style>
  <w:style w:type="table" w:styleId="GridTable1Light-Accent4">
    <w:name w:val="Grid Table 1 Light Accent 4"/>
    <w:basedOn w:val="TableNormal"/>
    <w:uiPriority w:val="48"/>
    <w:pPr>
      <w:spacing w:after="0" w:line="240" w:lineRule="auto"/>
    </w:pPr>
    <w:tblPr>
      <w:tblStyleRowBandSize w:val="1"/>
      <w:tblStyleColBandSize w:val="1"/>
      <w:tblBorders>
        <w:top w:val="single" w:sz="4" w:space="0" w:color="DDF4F9" w:themeColor="accent4" w:themeTint="66"/>
        <w:left w:val="single" w:sz="4" w:space="0" w:color="DDF4F9" w:themeColor="accent4" w:themeTint="66"/>
        <w:bottom w:val="single" w:sz="4" w:space="0" w:color="DDF4F9" w:themeColor="accent4" w:themeTint="66"/>
        <w:right w:val="single" w:sz="4" w:space="0" w:color="DDF4F9" w:themeColor="accent4" w:themeTint="66"/>
        <w:insideH w:val="single" w:sz="4" w:space="0" w:color="DDF4F9" w:themeColor="accent4" w:themeTint="66"/>
        <w:insideV w:val="single" w:sz="4" w:space="0" w:color="DDF4F9" w:themeColor="accent4" w:themeTint="66"/>
      </w:tblBorders>
    </w:tblPr>
    <w:tblStylePr w:type="firstRow">
      <w:rPr>
        <w:b/>
      </w:rPr>
      <w:tblPr/>
      <w:tcPr>
        <w:tcBorders>
          <w:bottom w:val="single" w:sz="12" w:space="0" w:color="CCEFF6" w:themeColor="accent4" w:themeTint="99"/>
        </w:tcBorders>
      </w:tcPr>
    </w:tblStylePr>
    <w:tblStylePr w:type="lastRow">
      <w:rPr>
        <w:b/>
      </w:rPr>
      <w:tblPr/>
      <w:tcPr>
        <w:tcBorders>
          <w:top w:val="double" w:sz="2" w:space="0" w:color="CCEFF6" w:themeColor="accent4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</w:style>
  <w:style w:type="table" w:styleId="GridTable1Light-Accent5">
    <w:name w:val="Grid Table 1 Light Accent 5"/>
    <w:basedOn w:val="TableNormal"/>
    <w:uiPriority w:val="49"/>
    <w:pPr>
      <w:spacing w:after="0" w:line="240" w:lineRule="auto"/>
    </w:pPr>
    <w:tblPr>
      <w:tblStyleRowBandSize w:val="1"/>
      <w:tblStyleColBandSize w:val="1"/>
      <w:tblBorders>
        <w:top w:val="single" w:sz="4" w:space="0" w:color="AED6E4" w:themeColor="accent5" w:themeTint="66"/>
        <w:left w:val="single" w:sz="4" w:space="0" w:color="AED6E4" w:themeColor="accent5" w:themeTint="66"/>
        <w:bottom w:val="single" w:sz="4" w:space="0" w:color="AED6E4" w:themeColor="accent5" w:themeTint="66"/>
        <w:right w:val="single" w:sz="4" w:space="0" w:color="AED6E4" w:themeColor="accent5" w:themeTint="66"/>
        <w:insideH w:val="single" w:sz="4" w:space="0" w:color="AED6E4" w:themeColor="accent5" w:themeTint="66"/>
        <w:insideV w:val="single" w:sz="4" w:space="0" w:color="AED6E4" w:themeColor="accent5" w:themeTint="66"/>
      </w:tblBorders>
    </w:tblPr>
    <w:tblStylePr w:type="firstRow">
      <w:rPr>
        <w:b/>
      </w:rPr>
      <w:tblPr/>
      <w:tcPr>
        <w:tcBorders>
          <w:bottom w:val="single" w:sz="12" w:space="0" w:color="85C2D6" w:themeColor="accent5" w:themeTint="99"/>
        </w:tcBorders>
      </w:tcPr>
    </w:tblStylePr>
    <w:tblStylePr w:type="lastRow">
      <w:rPr>
        <w:b/>
      </w:rPr>
      <w:tblPr/>
      <w:tcPr>
        <w:tcBorders>
          <w:top w:val="double" w:sz="2" w:space="0" w:color="85C2D6" w:themeColor="accent5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</w:style>
  <w:style w:type="table" w:styleId="GridTable1Light-Accent6">
    <w:name w:val="Grid Table 1 Light Accent 6"/>
    <w:basedOn w:val="TableNormal"/>
    <w:uiPriority w:val="50"/>
    <w:pPr>
      <w:spacing w:after="0" w:line="240" w:lineRule="auto"/>
    </w:pPr>
    <w:tblPr>
      <w:tblStyleRowBandSize w:val="1"/>
      <w:tblStyleColBandSize w:val="1"/>
      <w:tblBorders>
        <w:top w:val="single" w:sz="4" w:space="0" w:color="DFE6FF" w:themeColor="accent6" w:themeTint="66"/>
        <w:left w:val="single" w:sz="4" w:space="0" w:color="DFE6FF" w:themeColor="accent6" w:themeTint="66"/>
        <w:bottom w:val="single" w:sz="4" w:space="0" w:color="DFE6FF" w:themeColor="accent6" w:themeTint="66"/>
        <w:right w:val="single" w:sz="4" w:space="0" w:color="DFE6FF" w:themeColor="accent6" w:themeTint="66"/>
        <w:insideH w:val="single" w:sz="4" w:space="0" w:color="DFE6FF" w:themeColor="accent6" w:themeTint="66"/>
        <w:insideV w:val="single" w:sz="4" w:space="0" w:color="DFE6FF" w:themeColor="accent6" w:themeTint="66"/>
      </w:tblBorders>
    </w:tblPr>
    <w:tblStylePr w:type="firstRow">
      <w:rPr>
        <w:b/>
      </w:rPr>
      <w:tblPr/>
      <w:tcPr>
        <w:tcBorders>
          <w:bottom w:val="single" w:sz="12" w:space="0" w:color="CFDAFF" w:themeColor="accent6" w:themeTint="99"/>
        </w:tcBorders>
      </w:tcPr>
    </w:tblStylePr>
    <w:tblStylePr w:type="lastRow">
      <w:rPr>
        <w:b/>
      </w:rPr>
      <w:tblPr/>
      <w:tcPr>
        <w:tcBorders>
          <w:top w:val="double" w:sz="2" w:space="0" w:color="CFDAFF" w:themeColor="accent6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</w:style>
  <w:style w:type="table" w:styleId="GridTable2">
    <w:name w:val="Grid Table 2"/>
    <w:basedOn w:val="TableNormal"/>
    <w:uiPriority w:val="51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000000" w:fill="CCCCCC" w:themeFill="text1" w:themeFillTint="33"/>
      </w:tcPr>
    </w:tblStylePr>
    <w:tblStylePr w:type="band1Horz">
      <w:tblPr/>
      <w:tcPr>
        <w:shd w:val="clear" w:color="000000" w:fill="CCCCCC" w:themeFill="text1" w:themeFillTint="33"/>
      </w:tcPr>
    </w:tblStylePr>
  </w:style>
  <w:style w:type="table" w:styleId="GridTable2-Accent1">
    <w:name w:val="Grid Table 2 Accent 1"/>
    <w:basedOn w:val="TableNormal"/>
    <w:uiPriority w:val="52"/>
    <w:pPr>
      <w:spacing w:after="0" w:line="240" w:lineRule="auto"/>
    </w:pPr>
    <w:tblPr>
      <w:tblStyleRowBandSize w:val="1"/>
      <w:tblStyleColBandSize w:val="1"/>
      <w:tblBorders>
        <w:top w:val="single" w:sz="2" w:space="0" w:color="1885D1" w:themeColor="accent1" w:themeTint="99"/>
        <w:bottom w:val="single" w:sz="2" w:space="0" w:color="1885D1" w:themeColor="accent1" w:themeTint="99"/>
        <w:insideH w:val="single" w:sz="2" w:space="0" w:color="1885D1" w:themeColor="accent1" w:themeTint="99"/>
        <w:insideV w:val="single" w:sz="2" w:space="0" w:color="1885D1" w:themeColor="accent1" w:themeTint="99"/>
      </w:tblBorders>
    </w:tblPr>
    <w:tblStylePr w:type="firstRow">
      <w:rPr>
        <w:b/>
      </w:rPr>
      <w:tblPr/>
      <w:tcPr>
        <w:tcBorders>
          <w:top w:val="nil"/>
          <w:bottom w:val="single" w:sz="12" w:space="0" w:color="1885D1" w:themeColor="accent1" w:themeTint="99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</w:rPr>
      <w:tblPr/>
      <w:tcPr>
        <w:tcBorders>
          <w:top w:val="double" w:sz="2" w:space="0" w:color="1885D1" w:themeColor="accent1" w:themeTint="99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000000" w:fill="ACD7F5" w:themeFill="accent1" w:themeFillTint="33"/>
      </w:tcPr>
    </w:tblStylePr>
    <w:tblStylePr w:type="band1Horz">
      <w:tblPr/>
      <w:tcPr>
        <w:shd w:val="clear" w:color="000000" w:fill="ACD7F5" w:themeFill="accent1" w:themeFillTint="33"/>
      </w:tcPr>
    </w:tblStylePr>
  </w:style>
  <w:style w:type="table" w:styleId="GridTable2-Accent2">
    <w:name w:val="Grid Table 2 Accent 2"/>
    <w:basedOn w:val="TableNormal"/>
    <w:uiPriority w:val="53"/>
    <w:pPr>
      <w:spacing w:after="0" w:line="240" w:lineRule="auto"/>
    </w:pPr>
    <w:tblPr>
      <w:tblStyleRowBandSize w:val="1"/>
      <w:tblStyleColBandSize w:val="1"/>
      <w:tblBorders>
        <w:top w:val="single" w:sz="2" w:space="0" w:color="5FCDFF" w:themeColor="accent2" w:themeTint="99"/>
        <w:bottom w:val="single" w:sz="2" w:space="0" w:color="5FCDFF" w:themeColor="accent2" w:themeTint="99"/>
        <w:insideH w:val="single" w:sz="2" w:space="0" w:color="5FCDFF" w:themeColor="accent2" w:themeTint="99"/>
        <w:insideV w:val="single" w:sz="2" w:space="0" w:color="5FCDFF" w:themeColor="accent2" w:themeTint="99"/>
      </w:tblBorders>
    </w:tblPr>
    <w:tblStylePr w:type="firstRow">
      <w:rPr>
        <w:b/>
      </w:rPr>
      <w:tblPr/>
      <w:tcPr>
        <w:tcBorders>
          <w:top w:val="nil"/>
          <w:bottom w:val="single" w:sz="12" w:space="0" w:color="5FCDFF" w:themeColor="accent2" w:themeTint="99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</w:rPr>
      <w:tblPr/>
      <w:tcPr>
        <w:tcBorders>
          <w:top w:val="double" w:sz="2" w:space="0" w:color="5FCDFF" w:themeColor="accent2" w:themeTint="99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000000" w:fill="C9EEFF" w:themeFill="accent2" w:themeFillTint="33"/>
      </w:tcPr>
    </w:tblStylePr>
    <w:tblStylePr w:type="band1Horz">
      <w:tblPr/>
      <w:tcPr>
        <w:shd w:val="clear" w:color="000000" w:fill="C9EEFF" w:themeFill="accent2" w:themeFillTint="33"/>
      </w:tcPr>
    </w:tblStylePr>
  </w:style>
  <w:style w:type="table" w:styleId="GridTable2-Accent3">
    <w:name w:val="Grid Table 2 Accent 3"/>
    <w:basedOn w:val="TableNormal"/>
    <w:uiPriority w:val="54"/>
    <w:pPr>
      <w:spacing w:after="0" w:line="240" w:lineRule="auto"/>
    </w:pPr>
    <w:tblPr>
      <w:tblStyleRowBandSize w:val="1"/>
      <w:tblStyleColBandSize w:val="1"/>
      <w:tblBorders>
        <w:top w:val="single" w:sz="2" w:space="0" w:color="7A96FF" w:themeColor="accent3" w:themeTint="99"/>
        <w:bottom w:val="single" w:sz="2" w:space="0" w:color="7A96FF" w:themeColor="accent3" w:themeTint="99"/>
        <w:insideH w:val="single" w:sz="2" w:space="0" w:color="7A96FF" w:themeColor="accent3" w:themeTint="99"/>
        <w:insideV w:val="single" w:sz="2" w:space="0" w:color="7A96FF" w:themeColor="accent3" w:themeTint="99"/>
      </w:tblBorders>
    </w:tblPr>
    <w:tblStylePr w:type="firstRow">
      <w:rPr>
        <w:b/>
      </w:rPr>
      <w:tblPr/>
      <w:tcPr>
        <w:tcBorders>
          <w:top w:val="nil"/>
          <w:bottom w:val="single" w:sz="12" w:space="0" w:color="7A96FF" w:themeColor="accent3" w:themeTint="99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</w:rPr>
      <w:tblPr/>
      <w:tcPr>
        <w:tcBorders>
          <w:top w:val="double" w:sz="2" w:space="0" w:color="7A96FF" w:themeColor="accent3" w:themeTint="99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000000" w:fill="D2DCFF" w:themeFill="accent3" w:themeFillTint="33"/>
      </w:tcPr>
    </w:tblStylePr>
    <w:tblStylePr w:type="band1Horz">
      <w:tblPr/>
      <w:tcPr>
        <w:shd w:val="clear" w:color="000000" w:fill="D2DCFF" w:themeFill="accent3" w:themeFillTint="33"/>
      </w:tcPr>
    </w:tblStylePr>
  </w:style>
  <w:style w:type="table" w:styleId="GridTable2-Accent4">
    <w:name w:val="Grid Table 2 Accent 4"/>
    <w:basedOn w:val="TableNormal"/>
    <w:uiPriority w:val="55"/>
    <w:pPr>
      <w:spacing w:after="0" w:line="240" w:lineRule="auto"/>
    </w:pPr>
    <w:tblPr>
      <w:tblStyleRowBandSize w:val="1"/>
      <w:tblStyleColBandSize w:val="1"/>
      <w:tblBorders>
        <w:top w:val="single" w:sz="2" w:space="0" w:color="CCEFF6" w:themeColor="accent4" w:themeTint="99"/>
        <w:bottom w:val="single" w:sz="2" w:space="0" w:color="CCEFF6" w:themeColor="accent4" w:themeTint="99"/>
        <w:insideH w:val="single" w:sz="2" w:space="0" w:color="CCEFF6" w:themeColor="accent4" w:themeTint="99"/>
        <w:insideV w:val="single" w:sz="2" w:space="0" w:color="CCEFF6" w:themeColor="accent4" w:themeTint="99"/>
      </w:tblBorders>
    </w:tblPr>
    <w:tblStylePr w:type="firstRow">
      <w:rPr>
        <w:b/>
      </w:rPr>
      <w:tblPr/>
      <w:tcPr>
        <w:tcBorders>
          <w:top w:val="nil"/>
          <w:bottom w:val="single" w:sz="12" w:space="0" w:color="CCEFF6" w:themeColor="accent4" w:themeTint="99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</w:rPr>
      <w:tblPr/>
      <w:tcPr>
        <w:tcBorders>
          <w:top w:val="double" w:sz="2" w:space="0" w:color="CCEFF6" w:themeColor="accent4" w:themeTint="99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000000" w:fill="EEF9FC" w:themeFill="accent4" w:themeFillTint="33"/>
      </w:tcPr>
    </w:tblStylePr>
    <w:tblStylePr w:type="band1Horz">
      <w:tblPr/>
      <w:tcPr>
        <w:shd w:val="clear" w:color="000000" w:fill="EEF9FC" w:themeFill="accent4" w:themeFillTint="33"/>
      </w:tcPr>
    </w:tblStylePr>
  </w:style>
  <w:style w:type="table" w:styleId="GridTable2-Accent5">
    <w:name w:val="Grid Table 2 Accent 5"/>
    <w:basedOn w:val="TableNormal"/>
    <w:uiPriority w:val="56"/>
    <w:pPr>
      <w:spacing w:after="0" w:line="240" w:lineRule="auto"/>
    </w:pPr>
    <w:tblPr>
      <w:tblStyleRowBandSize w:val="1"/>
      <w:tblStyleColBandSize w:val="1"/>
      <w:tblBorders>
        <w:top w:val="single" w:sz="2" w:space="0" w:color="85C2D6" w:themeColor="accent5" w:themeTint="99"/>
        <w:bottom w:val="single" w:sz="2" w:space="0" w:color="85C2D6" w:themeColor="accent5" w:themeTint="99"/>
        <w:insideH w:val="single" w:sz="2" w:space="0" w:color="85C2D6" w:themeColor="accent5" w:themeTint="99"/>
        <w:insideV w:val="single" w:sz="2" w:space="0" w:color="85C2D6" w:themeColor="accent5" w:themeTint="99"/>
      </w:tblBorders>
    </w:tblPr>
    <w:tblStylePr w:type="firstRow">
      <w:rPr>
        <w:b/>
      </w:rPr>
      <w:tblPr/>
      <w:tcPr>
        <w:tcBorders>
          <w:top w:val="nil"/>
          <w:bottom w:val="single" w:sz="12" w:space="0" w:color="85C2D6" w:themeColor="accent5" w:themeTint="99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</w:rPr>
      <w:tblPr/>
      <w:tcPr>
        <w:tcBorders>
          <w:top w:val="double" w:sz="2" w:space="0" w:color="85C2D6" w:themeColor="accent5" w:themeTint="99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000000" w:fill="D6EAF1" w:themeFill="accent5" w:themeFillTint="33"/>
      </w:tcPr>
    </w:tblStylePr>
    <w:tblStylePr w:type="band1Horz">
      <w:tblPr/>
      <w:tcPr>
        <w:shd w:val="clear" w:color="000000" w:fill="D6EAF1" w:themeFill="accent5" w:themeFillTint="33"/>
      </w:tcPr>
    </w:tblStylePr>
  </w:style>
  <w:style w:type="table" w:styleId="GridTable2-Accent6">
    <w:name w:val="Grid Table 2 Accent 6"/>
    <w:basedOn w:val="TableNormal"/>
    <w:uiPriority w:val="57"/>
    <w:pPr>
      <w:spacing w:after="0" w:line="240" w:lineRule="auto"/>
    </w:pPr>
    <w:tblPr>
      <w:tblStyleRowBandSize w:val="1"/>
      <w:tblStyleColBandSize w:val="1"/>
      <w:tblBorders>
        <w:top w:val="single" w:sz="2" w:space="0" w:color="CFDAFF" w:themeColor="accent6" w:themeTint="99"/>
        <w:bottom w:val="single" w:sz="2" w:space="0" w:color="CFDAFF" w:themeColor="accent6" w:themeTint="99"/>
        <w:insideH w:val="single" w:sz="2" w:space="0" w:color="CFDAFF" w:themeColor="accent6" w:themeTint="99"/>
        <w:insideV w:val="single" w:sz="2" w:space="0" w:color="CFDAFF" w:themeColor="accent6" w:themeTint="99"/>
      </w:tblBorders>
    </w:tblPr>
    <w:tblStylePr w:type="firstRow">
      <w:rPr>
        <w:b/>
      </w:rPr>
      <w:tblPr/>
      <w:tcPr>
        <w:tcBorders>
          <w:top w:val="nil"/>
          <w:bottom w:val="single" w:sz="12" w:space="0" w:color="CFDAFF" w:themeColor="accent6" w:themeTint="99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</w:rPr>
      <w:tblPr/>
      <w:tcPr>
        <w:tcBorders>
          <w:top w:val="double" w:sz="2" w:space="0" w:color="CFDAFF" w:themeColor="accent6" w:themeTint="99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000000" w:fill="EFF2FF" w:themeFill="accent6" w:themeFillTint="33"/>
      </w:tcPr>
    </w:tblStylePr>
    <w:tblStylePr w:type="band1Horz">
      <w:tblPr/>
      <w:tcPr>
        <w:shd w:val="clear" w:color="000000" w:fill="EFF2FF" w:themeFill="accent6" w:themeFillTint="33"/>
      </w:tcPr>
    </w:tblStylePr>
  </w:style>
  <w:style w:type="table" w:styleId="GridTable3">
    <w:name w:val="Grid Table 3"/>
    <w:basedOn w:val="TableNormal"/>
    <w:uiPriority w:val="58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band1Vert">
      <w:tblPr/>
      <w:tcPr>
        <w:shd w:val="clear" w:color="000000" w:fill="CCCCCC" w:themeFill="text1" w:themeFillTint="33"/>
      </w:tcPr>
    </w:tblStylePr>
    <w:tblStylePr w:type="band1Horz">
      <w:tblPr/>
      <w:tcPr>
        <w:shd w:val="clear" w:color="000000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1885D1" w:themeColor="accent1" w:themeTint="99"/>
        <w:left w:val="single" w:sz="4" w:space="0" w:color="1885D1" w:themeColor="accent1" w:themeTint="99"/>
        <w:bottom w:val="single" w:sz="4" w:space="0" w:color="1885D1" w:themeColor="accent1" w:themeTint="99"/>
        <w:right w:val="single" w:sz="4" w:space="0" w:color="1885D1" w:themeColor="accent1" w:themeTint="99"/>
        <w:insideH w:val="single" w:sz="4" w:space="0" w:color="1885D1" w:themeColor="accent1" w:themeTint="99"/>
        <w:insideV w:val="single" w:sz="4" w:space="0" w:color="1885D1" w:themeColor="accent1" w:themeTint="99"/>
      </w:tblBorders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band1Vert">
      <w:tblPr/>
      <w:tcPr>
        <w:shd w:val="clear" w:color="000000" w:fill="ACD7F5" w:themeFill="accent1" w:themeFillTint="33"/>
      </w:tcPr>
    </w:tblStylePr>
    <w:tblStylePr w:type="band1Horz">
      <w:tblPr/>
      <w:tcPr>
        <w:shd w:val="clear" w:color="000000" w:fill="ACD7F5" w:themeFill="accent1" w:themeFillTint="33"/>
      </w:tcPr>
    </w:tblStylePr>
    <w:tblStylePr w:type="neCell">
      <w:tblPr/>
      <w:tcPr>
        <w:tcBorders>
          <w:bottom w:val="single" w:sz="4" w:space="0" w:color="1885D1" w:themeColor="accent1" w:themeTint="99"/>
        </w:tcBorders>
      </w:tcPr>
    </w:tblStylePr>
    <w:tblStylePr w:type="nwCell">
      <w:tblPr/>
      <w:tcPr>
        <w:tcBorders>
          <w:bottom w:val="single" w:sz="4" w:space="0" w:color="1885D1" w:themeColor="accent1" w:themeTint="99"/>
        </w:tcBorders>
      </w:tcPr>
    </w:tblStylePr>
    <w:tblStylePr w:type="seCell">
      <w:tblPr/>
      <w:tcPr>
        <w:tcBorders>
          <w:top w:val="single" w:sz="4" w:space="0" w:color="1885D1" w:themeColor="accent1" w:themeTint="99"/>
        </w:tcBorders>
      </w:tcPr>
    </w:tblStylePr>
    <w:tblStylePr w:type="swCell">
      <w:tblPr/>
      <w:tcPr>
        <w:tcBorders>
          <w:top w:val="single" w:sz="4" w:space="0" w:color="1885D1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60"/>
    <w:pPr>
      <w:spacing w:after="0" w:line="240" w:lineRule="auto"/>
    </w:pPr>
    <w:tblPr>
      <w:tblStyleRowBandSize w:val="1"/>
      <w:tblStyleColBandSize w:val="1"/>
      <w:tblBorders>
        <w:top w:val="single" w:sz="4" w:space="0" w:color="5FCDFF" w:themeColor="accent2" w:themeTint="99"/>
        <w:left w:val="single" w:sz="4" w:space="0" w:color="5FCDFF" w:themeColor="accent2" w:themeTint="99"/>
        <w:bottom w:val="single" w:sz="4" w:space="0" w:color="5FCDFF" w:themeColor="accent2" w:themeTint="99"/>
        <w:right w:val="single" w:sz="4" w:space="0" w:color="5FCDFF" w:themeColor="accent2" w:themeTint="99"/>
        <w:insideH w:val="single" w:sz="4" w:space="0" w:color="5FCDFF" w:themeColor="accent2" w:themeTint="99"/>
        <w:insideV w:val="single" w:sz="4" w:space="0" w:color="5FCDFF" w:themeColor="accent2" w:themeTint="99"/>
      </w:tblBorders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band1Vert">
      <w:tblPr/>
      <w:tcPr>
        <w:shd w:val="clear" w:color="000000" w:fill="C9EEFF" w:themeFill="accent2" w:themeFillTint="33"/>
      </w:tcPr>
    </w:tblStylePr>
    <w:tblStylePr w:type="band1Horz">
      <w:tblPr/>
      <w:tcPr>
        <w:shd w:val="clear" w:color="000000" w:fill="C9EEFF" w:themeFill="accent2" w:themeFillTint="33"/>
      </w:tcPr>
    </w:tblStylePr>
    <w:tblStylePr w:type="neCell">
      <w:tblPr/>
      <w:tcPr>
        <w:tcBorders>
          <w:bottom w:val="single" w:sz="4" w:space="0" w:color="5FCDFF" w:themeColor="accent2" w:themeTint="99"/>
        </w:tcBorders>
      </w:tcPr>
    </w:tblStylePr>
    <w:tblStylePr w:type="nwCell">
      <w:tblPr/>
      <w:tcPr>
        <w:tcBorders>
          <w:bottom w:val="single" w:sz="4" w:space="0" w:color="5FCDFF" w:themeColor="accent2" w:themeTint="99"/>
        </w:tcBorders>
      </w:tcPr>
    </w:tblStylePr>
    <w:tblStylePr w:type="seCell">
      <w:tblPr/>
      <w:tcPr>
        <w:tcBorders>
          <w:top w:val="single" w:sz="4" w:space="0" w:color="5FCDFF" w:themeColor="accent2" w:themeTint="99"/>
        </w:tcBorders>
      </w:tcPr>
    </w:tblStylePr>
    <w:tblStylePr w:type="swCell">
      <w:tblPr/>
      <w:tcPr>
        <w:tcBorders>
          <w:top w:val="single" w:sz="4" w:space="0" w:color="5FCDFF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61"/>
    <w:pPr>
      <w:spacing w:after="0" w:line="240" w:lineRule="auto"/>
    </w:pPr>
    <w:tblPr>
      <w:tblStyleRowBandSize w:val="1"/>
      <w:tblStyleColBandSize w:val="1"/>
      <w:tblBorders>
        <w:top w:val="single" w:sz="4" w:space="0" w:color="7A96FF" w:themeColor="accent3" w:themeTint="99"/>
        <w:left w:val="single" w:sz="4" w:space="0" w:color="7A96FF" w:themeColor="accent3" w:themeTint="99"/>
        <w:bottom w:val="single" w:sz="4" w:space="0" w:color="7A96FF" w:themeColor="accent3" w:themeTint="99"/>
        <w:right w:val="single" w:sz="4" w:space="0" w:color="7A96FF" w:themeColor="accent3" w:themeTint="99"/>
        <w:insideH w:val="single" w:sz="4" w:space="0" w:color="7A96FF" w:themeColor="accent3" w:themeTint="99"/>
        <w:insideV w:val="single" w:sz="4" w:space="0" w:color="7A96FF" w:themeColor="accent3" w:themeTint="99"/>
      </w:tblBorders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band1Vert">
      <w:tblPr/>
      <w:tcPr>
        <w:shd w:val="clear" w:color="000000" w:fill="D2DCFF" w:themeFill="accent3" w:themeFillTint="33"/>
      </w:tcPr>
    </w:tblStylePr>
    <w:tblStylePr w:type="band1Horz">
      <w:tblPr/>
      <w:tcPr>
        <w:shd w:val="clear" w:color="000000" w:fill="D2DCFF" w:themeFill="accent3" w:themeFillTint="33"/>
      </w:tcPr>
    </w:tblStylePr>
    <w:tblStylePr w:type="neCell">
      <w:tblPr/>
      <w:tcPr>
        <w:tcBorders>
          <w:bottom w:val="single" w:sz="4" w:space="0" w:color="7A96FF" w:themeColor="accent3" w:themeTint="99"/>
        </w:tcBorders>
      </w:tcPr>
    </w:tblStylePr>
    <w:tblStylePr w:type="nwCell">
      <w:tblPr/>
      <w:tcPr>
        <w:tcBorders>
          <w:bottom w:val="single" w:sz="4" w:space="0" w:color="7A96FF" w:themeColor="accent3" w:themeTint="99"/>
        </w:tcBorders>
      </w:tcPr>
    </w:tblStylePr>
    <w:tblStylePr w:type="seCell">
      <w:tblPr/>
      <w:tcPr>
        <w:tcBorders>
          <w:top w:val="single" w:sz="4" w:space="0" w:color="7A96FF" w:themeColor="accent3" w:themeTint="99"/>
        </w:tcBorders>
      </w:tcPr>
    </w:tblStylePr>
    <w:tblStylePr w:type="swCell">
      <w:tblPr/>
      <w:tcPr>
        <w:tcBorders>
          <w:top w:val="single" w:sz="4" w:space="0" w:color="7A96FF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62"/>
    <w:pPr>
      <w:spacing w:after="0" w:line="240" w:lineRule="auto"/>
    </w:pPr>
    <w:tblPr>
      <w:tblStyleRowBandSize w:val="1"/>
      <w:tblStyleColBandSize w:val="1"/>
      <w:tblBorders>
        <w:top w:val="single" w:sz="4" w:space="0" w:color="CCEFF6" w:themeColor="accent4" w:themeTint="99"/>
        <w:left w:val="single" w:sz="4" w:space="0" w:color="CCEFF6" w:themeColor="accent4" w:themeTint="99"/>
        <w:bottom w:val="single" w:sz="4" w:space="0" w:color="CCEFF6" w:themeColor="accent4" w:themeTint="99"/>
        <w:right w:val="single" w:sz="4" w:space="0" w:color="CCEFF6" w:themeColor="accent4" w:themeTint="99"/>
        <w:insideH w:val="single" w:sz="4" w:space="0" w:color="CCEFF6" w:themeColor="accent4" w:themeTint="99"/>
        <w:insideV w:val="single" w:sz="4" w:space="0" w:color="CCEFF6" w:themeColor="accent4" w:themeTint="99"/>
      </w:tblBorders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band1Vert">
      <w:tblPr/>
      <w:tcPr>
        <w:shd w:val="clear" w:color="000000" w:fill="EEF9FC" w:themeFill="accent4" w:themeFillTint="33"/>
      </w:tcPr>
    </w:tblStylePr>
    <w:tblStylePr w:type="band1Horz">
      <w:tblPr/>
      <w:tcPr>
        <w:shd w:val="clear" w:color="000000" w:fill="EEF9FC" w:themeFill="accent4" w:themeFillTint="33"/>
      </w:tcPr>
    </w:tblStylePr>
    <w:tblStylePr w:type="neCell">
      <w:tblPr/>
      <w:tcPr>
        <w:tcBorders>
          <w:bottom w:val="single" w:sz="4" w:space="0" w:color="CCEFF6" w:themeColor="accent4" w:themeTint="99"/>
        </w:tcBorders>
      </w:tcPr>
    </w:tblStylePr>
    <w:tblStylePr w:type="nwCell">
      <w:tblPr/>
      <w:tcPr>
        <w:tcBorders>
          <w:bottom w:val="single" w:sz="4" w:space="0" w:color="CCEFF6" w:themeColor="accent4" w:themeTint="99"/>
        </w:tcBorders>
      </w:tcPr>
    </w:tblStylePr>
    <w:tblStylePr w:type="seCell">
      <w:tblPr/>
      <w:tcPr>
        <w:tcBorders>
          <w:top w:val="single" w:sz="4" w:space="0" w:color="CCEFF6" w:themeColor="accent4" w:themeTint="99"/>
        </w:tcBorders>
      </w:tcPr>
    </w:tblStylePr>
    <w:tblStylePr w:type="swCell">
      <w:tblPr/>
      <w:tcPr>
        <w:tcBorders>
          <w:top w:val="single" w:sz="4" w:space="0" w:color="CCEFF6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63"/>
    <w:pPr>
      <w:spacing w:after="0" w:line="240" w:lineRule="auto"/>
    </w:pPr>
    <w:tblPr>
      <w:tblStyleRowBandSize w:val="1"/>
      <w:tblStyleColBandSize w:val="1"/>
      <w:tblBorders>
        <w:top w:val="single" w:sz="4" w:space="0" w:color="85C2D6" w:themeColor="accent5" w:themeTint="99"/>
        <w:left w:val="single" w:sz="4" w:space="0" w:color="85C2D6" w:themeColor="accent5" w:themeTint="99"/>
        <w:bottom w:val="single" w:sz="4" w:space="0" w:color="85C2D6" w:themeColor="accent5" w:themeTint="99"/>
        <w:right w:val="single" w:sz="4" w:space="0" w:color="85C2D6" w:themeColor="accent5" w:themeTint="99"/>
        <w:insideH w:val="single" w:sz="4" w:space="0" w:color="85C2D6" w:themeColor="accent5" w:themeTint="99"/>
        <w:insideV w:val="single" w:sz="4" w:space="0" w:color="85C2D6" w:themeColor="accent5" w:themeTint="99"/>
      </w:tblBorders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band1Vert">
      <w:tblPr/>
      <w:tcPr>
        <w:shd w:val="clear" w:color="000000" w:fill="D6EAF1" w:themeFill="accent5" w:themeFillTint="33"/>
      </w:tcPr>
    </w:tblStylePr>
    <w:tblStylePr w:type="band1Horz">
      <w:tblPr/>
      <w:tcPr>
        <w:shd w:val="clear" w:color="000000" w:fill="D6EAF1" w:themeFill="accent5" w:themeFillTint="33"/>
      </w:tcPr>
    </w:tblStylePr>
    <w:tblStylePr w:type="neCell">
      <w:tblPr/>
      <w:tcPr>
        <w:tcBorders>
          <w:bottom w:val="single" w:sz="4" w:space="0" w:color="85C2D6" w:themeColor="accent5" w:themeTint="99"/>
        </w:tcBorders>
      </w:tcPr>
    </w:tblStylePr>
    <w:tblStylePr w:type="nwCell">
      <w:tblPr/>
      <w:tcPr>
        <w:tcBorders>
          <w:bottom w:val="single" w:sz="4" w:space="0" w:color="85C2D6" w:themeColor="accent5" w:themeTint="99"/>
        </w:tcBorders>
      </w:tcPr>
    </w:tblStylePr>
    <w:tblStylePr w:type="seCell">
      <w:tblPr/>
      <w:tcPr>
        <w:tcBorders>
          <w:top w:val="single" w:sz="4" w:space="0" w:color="85C2D6" w:themeColor="accent5" w:themeTint="99"/>
        </w:tcBorders>
      </w:tcPr>
    </w:tblStylePr>
    <w:tblStylePr w:type="swCell">
      <w:tblPr/>
      <w:tcPr>
        <w:tcBorders>
          <w:top w:val="single" w:sz="4" w:space="0" w:color="85C2D6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64"/>
    <w:pPr>
      <w:spacing w:after="0" w:line="240" w:lineRule="auto"/>
    </w:pPr>
    <w:tblPr>
      <w:tblStyleRowBandSize w:val="1"/>
      <w:tblStyleColBandSize w:val="1"/>
      <w:tblBorders>
        <w:top w:val="single" w:sz="4" w:space="0" w:color="CFDAFF" w:themeColor="accent6" w:themeTint="99"/>
        <w:left w:val="single" w:sz="4" w:space="0" w:color="CFDAFF" w:themeColor="accent6" w:themeTint="99"/>
        <w:bottom w:val="single" w:sz="4" w:space="0" w:color="CFDAFF" w:themeColor="accent6" w:themeTint="99"/>
        <w:right w:val="single" w:sz="4" w:space="0" w:color="CFDAFF" w:themeColor="accent6" w:themeTint="99"/>
        <w:insideH w:val="single" w:sz="4" w:space="0" w:color="CFDAFF" w:themeColor="accent6" w:themeTint="99"/>
        <w:insideV w:val="single" w:sz="4" w:space="0" w:color="CFDAFF" w:themeColor="accent6" w:themeTint="99"/>
      </w:tblBorders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band1Vert">
      <w:tblPr/>
      <w:tcPr>
        <w:shd w:val="clear" w:color="000000" w:fill="EFF2FF" w:themeFill="accent6" w:themeFillTint="33"/>
      </w:tcPr>
    </w:tblStylePr>
    <w:tblStylePr w:type="band1Horz">
      <w:tblPr/>
      <w:tcPr>
        <w:shd w:val="clear" w:color="000000" w:fill="EFF2FF" w:themeFill="accent6" w:themeFillTint="33"/>
      </w:tcPr>
    </w:tblStylePr>
    <w:tblStylePr w:type="neCell">
      <w:tblPr/>
      <w:tcPr>
        <w:tcBorders>
          <w:bottom w:val="single" w:sz="4" w:space="0" w:color="CFDAFF" w:themeColor="accent6" w:themeTint="99"/>
        </w:tcBorders>
      </w:tcPr>
    </w:tblStylePr>
    <w:tblStylePr w:type="nwCell">
      <w:tblPr/>
      <w:tcPr>
        <w:tcBorders>
          <w:bottom w:val="single" w:sz="4" w:space="0" w:color="CFDAFF" w:themeColor="accent6" w:themeTint="99"/>
        </w:tcBorders>
      </w:tcPr>
    </w:tblStylePr>
    <w:tblStylePr w:type="seCell">
      <w:tblPr/>
      <w:tcPr>
        <w:tcBorders>
          <w:top w:val="single" w:sz="4" w:space="0" w:color="CFDAFF" w:themeColor="accent6" w:themeTint="99"/>
        </w:tcBorders>
      </w:tcPr>
    </w:tblStylePr>
    <w:tblStylePr w:type="swCell">
      <w:tblPr/>
      <w:tcPr>
        <w:tcBorders>
          <w:top w:val="single" w:sz="4" w:space="0" w:color="CFDAFF" w:themeColor="accent6" w:themeTint="99"/>
        </w:tcBorders>
      </w:tcPr>
    </w:tblStylePr>
  </w:style>
  <w:style w:type="table" w:styleId="GridTable4">
    <w:name w:val="Grid Table 4"/>
    <w:basedOn w:val="TableNormal"/>
    <w:uiPriority w:val="65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000000" w:fill="000000" w:themeFill="text1"/>
      </w:tcPr>
    </w:tblStylePr>
    <w:tblStylePr w:type="lastRow">
      <w:rPr>
        <w:b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000000" w:fill="CCCCCC" w:themeFill="text1" w:themeFillTint="33"/>
      </w:tcPr>
    </w:tblStylePr>
    <w:tblStylePr w:type="band1Horz">
      <w:tblPr/>
      <w:tcPr>
        <w:shd w:val="clear" w:color="000000" w:fill="CCCCCC" w:themeFill="text1" w:themeFillTint="33"/>
      </w:tcPr>
    </w:tblStylePr>
  </w:style>
  <w:style w:type="table" w:styleId="GridTable4-Accent1">
    <w:name w:val="Grid Table 4 Accent 1"/>
    <w:basedOn w:val="TableNormal"/>
    <w:uiPriority w:val="66"/>
    <w:pPr>
      <w:spacing w:after="0" w:line="240" w:lineRule="auto"/>
    </w:pPr>
    <w:tblPr>
      <w:tblStyleRowBandSize w:val="1"/>
      <w:tblStyleColBandSize w:val="1"/>
      <w:tblBorders>
        <w:top w:val="single" w:sz="4" w:space="0" w:color="1885D1" w:themeColor="accent1" w:themeTint="99"/>
        <w:left w:val="single" w:sz="4" w:space="0" w:color="1885D1" w:themeColor="accent1" w:themeTint="99"/>
        <w:bottom w:val="single" w:sz="4" w:space="0" w:color="1885D1" w:themeColor="accent1" w:themeTint="99"/>
        <w:right w:val="single" w:sz="4" w:space="0" w:color="1885D1" w:themeColor="accent1" w:themeTint="99"/>
        <w:insideH w:val="single" w:sz="4" w:space="0" w:color="1885D1" w:themeColor="accent1" w:themeTint="99"/>
        <w:insideV w:val="single" w:sz="4" w:space="0" w:color="1885D1" w:themeColor="accent1" w:themeTint="99"/>
      </w:tblBorders>
    </w:tblPr>
    <w:tblStylePr w:type="firstRow">
      <w:rPr>
        <w:b/>
        <w:color w:val="FFFFFF" w:themeColor="background1"/>
      </w:rPr>
      <w:tblPr/>
      <w:tcPr>
        <w:tcBorders>
          <w:top w:val="single" w:sz="4" w:space="0" w:color="051C2C" w:themeColor="accent1"/>
          <w:left w:val="single" w:sz="4" w:space="0" w:color="051C2C" w:themeColor="accent1"/>
          <w:bottom w:val="single" w:sz="4" w:space="0" w:color="051C2C" w:themeColor="accent1"/>
          <w:right w:val="single" w:sz="4" w:space="0" w:color="051C2C" w:themeColor="accent1"/>
          <w:insideH w:val="nil"/>
          <w:insideV w:val="nil"/>
        </w:tcBorders>
        <w:shd w:val="clear" w:color="000000" w:fill="051C2C" w:themeFill="accent1"/>
      </w:tcPr>
    </w:tblStylePr>
    <w:tblStylePr w:type="lastRow">
      <w:rPr>
        <w:b/>
      </w:rPr>
      <w:tblPr/>
      <w:tcPr>
        <w:tcBorders>
          <w:top w:val="double" w:sz="4" w:space="0" w:color="051C2C" w:themeColor="accent1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000000" w:fill="ACD7F5" w:themeFill="accent1" w:themeFillTint="33"/>
      </w:tcPr>
    </w:tblStylePr>
    <w:tblStylePr w:type="band1Horz">
      <w:tblPr/>
      <w:tcPr>
        <w:shd w:val="clear" w:color="000000" w:fill="ACD7F5" w:themeFill="accent1" w:themeFillTint="33"/>
      </w:tcPr>
    </w:tblStylePr>
  </w:style>
  <w:style w:type="table" w:styleId="GridTable4-Accent2">
    <w:name w:val="Grid Table 4 Accent 2"/>
    <w:basedOn w:val="TableNormal"/>
    <w:uiPriority w:val="67"/>
    <w:pPr>
      <w:spacing w:after="0" w:line="240" w:lineRule="auto"/>
    </w:pPr>
    <w:tblPr>
      <w:tblStyleRowBandSize w:val="1"/>
      <w:tblStyleColBandSize w:val="1"/>
      <w:tblBorders>
        <w:top w:val="single" w:sz="4" w:space="0" w:color="5FCDFF" w:themeColor="accent2" w:themeTint="99"/>
        <w:left w:val="single" w:sz="4" w:space="0" w:color="5FCDFF" w:themeColor="accent2" w:themeTint="99"/>
        <w:bottom w:val="single" w:sz="4" w:space="0" w:color="5FCDFF" w:themeColor="accent2" w:themeTint="99"/>
        <w:right w:val="single" w:sz="4" w:space="0" w:color="5FCDFF" w:themeColor="accent2" w:themeTint="99"/>
        <w:insideH w:val="single" w:sz="4" w:space="0" w:color="5FCDFF" w:themeColor="accent2" w:themeTint="99"/>
        <w:insideV w:val="single" w:sz="4" w:space="0" w:color="5FCDFF" w:themeColor="accent2" w:themeTint="99"/>
      </w:tblBorders>
    </w:tblPr>
    <w:tblStylePr w:type="firstRow">
      <w:rPr>
        <w:b/>
        <w:color w:val="FFFFFF" w:themeColor="background1"/>
      </w:rPr>
      <w:tblPr/>
      <w:tcPr>
        <w:tcBorders>
          <w:top w:val="single" w:sz="4" w:space="0" w:color="00A9F4" w:themeColor="accent2"/>
          <w:left w:val="single" w:sz="4" w:space="0" w:color="00A9F4" w:themeColor="accent2"/>
          <w:bottom w:val="single" w:sz="4" w:space="0" w:color="00A9F4" w:themeColor="accent2"/>
          <w:right w:val="single" w:sz="4" w:space="0" w:color="00A9F4" w:themeColor="accent2"/>
          <w:insideH w:val="nil"/>
          <w:insideV w:val="nil"/>
        </w:tcBorders>
        <w:shd w:val="clear" w:color="000000" w:fill="00A9F4" w:themeFill="accent2"/>
      </w:tcPr>
    </w:tblStylePr>
    <w:tblStylePr w:type="lastRow">
      <w:rPr>
        <w:b/>
      </w:rPr>
      <w:tblPr/>
      <w:tcPr>
        <w:tcBorders>
          <w:top w:val="double" w:sz="4" w:space="0" w:color="00A9F4" w:themeColor="accent2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000000" w:fill="C9EEFF" w:themeFill="accent2" w:themeFillTint="33"/>
      </w:tcPr>
    </w:tblStylePr>
    <w:tblStylePr w:type="band1Horz">
      <w:tblPr/>
      <w:tcPr>
        <w:shd w:val="clear" w:color="000000" w:fill="C9EEFF" w:themeFill="accent2" w:themeFillTint="33"/>
      </w:tcPr>
    </w:tblStylePr>
  </w:style>
  <w:style w:type="table" w:styleId="GridTable4-Accent3">
    <w:name w:val="Grid Table 4 Accent 3"/>
    <w:basedOn w:val="TableNormal"/>
    <w:uiPriority w:val="68"/>
    <w:pPr>
      <w:spacing w:after="0" w:line="240" w:lineRule="auto"/>
    </w:pPr>
    <w:tblPr>
      <w:tblStyleRowBandSize w:val="1"/>
      <w:tblStyleColBandSize w:val="1"/>
      <w:tblBorders>
        <w:top w:val="single" w:sz="4" w:space="0" w:color="7A96FF" w:themeColor="accent3" w:themeTint="99"/>
        <w:left w:val="single" w:sz="4" w:space="0" w:color="7A96FF" w:themeColor="accent3" w:themeTint="99"/>
        <w:bottom w:val="single" w:sz="4" w:space="0" w:color="7A96FF" w:themeColor="accent3" w:themeTint="99"/>
        <w:right w:val="single" w:sz="4" w:space="0" w:color="7A96FF" w:themeColor="accent3" w:themeTint="99"/>
        <w:insideH w:val="single" w:sz="4" w:space="0" w:color="7A96FF" w:themeColor="accent3" w:themeTint="99"/>
        <w:insideV w:val="single" w:sz="4" w:space="0" w:color="7A96FF" w:themeColor="accent3" w:themeTint="99"/>
      </w:tblBorders>
    </w:tblPr>
    <w:tblStylePr w:type="firstRow">
      <w:rPr>
        <w:b/>
        <w:color w:val="FFFFFF" w:themeColor="background1"/>
      </w:rPr>
      <w:tblPr/>
      <w:tcPr>
        <w:tcBorders>
          <w:top w:val="single" w:sz="4" w:space="0" w:color="2251FF" w:themeColor="accent3"/>
          <w:left w:val="single" w:sz="4" w:space="0" w:color="2251FF" w:themeColor="accent3"/>
          <w:bottom w:val="single" w:sz="4" w:space="0" w:color="2251FF" w:themeColor="accent3"/>
          <w:right w:val="single" w:sz="4" w:space="0" w:color="2251FF" w:themeColor="accent3"/>
          <w:insideH w:val="nil"/>
          <w:insideV w:val="nil"/>
        </w:tcBorders>
        <w:shd w:val="clear" w:color="000000" w:fill="2251FF" w:themeFill="accent3"/>
      </w:tcPr>
    </w:tblStylePr>
    <w:tblStylePr w:type="lastRow">
      <w:rPr>
        <w:b/>
      </w:rPr>
      <w:tblPr/>
      <w:tcPr>
        <w:tcBorders>
          <w:top w:val="double" w:sz="4" w:space="0" w:color="2251FF" w:themeColor="accent3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000000" w:fill="D2DCFF" w:themeFill="accent3" w:themeFillTint="33"/>
      </w:tcPr>
    </w:tblStylePr>
    <w:tblStylePr w:type="band1Horz">
      <w:tblPr/>
      <w:tcPr>
        <w:shd w:val="clear" w:color="000000" w:fill="D2DCFF" w:themeFill="accent3" w:themeFillTint="33"/>
      </w:tcPr>
    </w:tblStylePr>
  </w:style>
  <w:style w:type="table" w:styleId="GridTable4-Accent4">
    <w:name w:val="Grid Table 4 Accent 4"/>
    <w:basedOn w:val="TableNormal"/>
    <w:uiPriority w:val="69"/>
    <w:pPr>
      <w:spacing w:after="0" w:line="240" w:lineRule="auto"/>
    </w:pPr>
    <w:tblPr>
      <w:tblStyleRowBandSize w:val="1"/>
      <w:tblStyleColBandSize w:val="1"/>
      <w:tblBorders>
        <w:top w:val="single" w:sz="4" w:space="0" w:color="CCEFF6" w:themeColor="accent4" w:themeTint="99"/>
        <w:left w:val="single" w:sz="4" w:space="0" w:color="CCEFF6" w:themeColor="accent4" w:themeTint="99"/>
        <w:bottom w:val="single" w:sz="4" w:space="0" w:color="CCEFF6" w:themeColor="accent4" w:themeTint="99"/>
        <w:right w:val="single" w:sz="4" w:space="0" w:color="CCEFF6" w:themeColor="accent4" w:themeTint="99"/>
        <w:insideH w:val="single" w:sz="4" w:space="0" w:color="CCEFF6" w:themeColor="accent4" w:themeTint="99"/>
        <w:insideV w:val="single" w:sz="4" w:space="0" w:color="CCEFF6" w:themeColor="accent4" w:themeTint="99"/>
      </w:tblBorders>
    </w:tblPr>
    <w:tblStylePr w:type="firstRow">
      <w:rPr>
        <w:b/>
        <w:color w:val="FFFFFF" w:themeColor="background1"/>
      </w:rPr>
      <w:tblPr/>
      <w:tcPr>
        <w:tcBorders>
          <w:top w:val="single" w:sz="4" w:space="0" w:color="AAE6F0" w:themeColor="accent4"/>
          <w:left w:val="single" w:sz="4" w:space="0" w:color="AAE6F0" w:themeColor="accent4"/>
          <w:bottom w:val="single" w:sz="4" w:space="0" w:color="AAE6F0" w:themeColor="accent4"/>
          <w:right w:val="single" w:sz="4" w:space="0" w:color="AAE6F0" w:themeColor="accent4"/>
          <w:insideH w:val="nil"/>
          <w:insideV w:val="nil"/>
        </w:tcBorders>
        <w:shd w:val="clear" w:color="000000" w:fill="AAE6F0" w:themeFill="accent4"/>
      </w:tcPr>
    </w:tblStylePr>
    <w:tblStylePr w:type="lastRow">
      <w:rPr>
        <w:b/>
      </w:rPr>
      <w:tblPr/>
      <w:tcPr>
        <w:tcBorders>
          <w:top w:val="double" w:sz="4" w:space="0" w:color="AAE6F0" w:themeColor="accent4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000000" w:fill="EEF9FC" w:themeFill="accent4" w:themeFillTint="33"/>
      </w:tcPr>
    </w:tblStylePr>
    <w:tblStylePr w:type="band1Horz">
      <w:tblPr/>
      <w:tcPr>
        <w:shd w:val="clear" w:color="000000" w:fill="EEF9FC" w:themeFill="accent4" w:themeFillTint="33"/>
      </w:tcPr>
    </w:tblStylePr>
  </w:style>
  <w:style w:type="table" w:styleId="GridTable4-Accent5">
    <w:name w:val="Grid Table 4 Accent 5"/>
    <w:basedOn w:val="TableNormal"/>
    <w:uiPriority w:val="70"/>
    <w:pPr>
      <w:spacing w:after="0" w:line="240" w:lineRule="auto"/>
    </w:pPr>
    <w:tblPr>
      <w:tblStyleRowBandSize w:val="1"/>
      <w:tblStyleColBandSize w:val="1"/>
      <w:tblBorders>
        <w:top w:val="single" w:sz="4" w:space="0" w:color="85C2D6" w:themeColor="accent5" w:themeTint="99"/>
        <w:left w:val="single" w:sz="4" w:space="0" w:color="85C2D6" w:themeColor="accent5" w:themeTint="99"/>
        <w:bottom w:val="single" w:sz="4" w:space="0" w:color="85C2D6" w:themeColor="accent5" w:themeTint="99"/>
        <w:right w:val="single" w:sz="4" w:space="0" w:color="85C2D6" w:themeColor="accent5" w:themeTint="99"/>
        <w:insideH w:val="single" w:sz="4" w:space="0" w:color="85C2D6" w:themeColor="accent5" w:themeTint="99"/>
        <w:insideV w:val="single" w:sz="4" w:space="0" w:color="85C2D6" w:themeColor="accent5" w:themeTint="99"/>
      </w:tblBorders>
    </w:tblPr>
    <w:tblStylePr w:type="firstRow">
      <w:rPr>
        <w:b/>
        <w:color w:val="FFFFFF" w:themeColor="background1"/>
      </w:rPr>
      <w:tblPr/>
      <w:tcPr>
        <w:tcBorders>
          <w:top w:val="single" w:sz="4" w:space="0" w:color="3C96B4" w:themeColor="accent5"/>
          <w:left w:val="single" w:sz="4" w:space="0" w:color="3C96B4" w:themeColor="accent5"/>
          <w:bottom w:val="single" w:sz="4" w:space="0" w:color="3C96B4" w:themeColor="accent5"/>
          <w:right w:val="single" w:sz="4" w:space="0" w:color="3C96B4" w:themeColor="accent5"/>
          <w:insideH w:val="nil"/>
          <w:insideV w:val="nil"/>
        </w:tcBorders>
        <w:shd w:val="clear" w:color="000000" w:fill="3C96B4" w:themeFill="accent5"/>
      </w:tcPr>
    </w:tblStylePr>
    <w:tblStylePr w:type="lastRow">
      <w:rPr>
        <w:b/>
      </w:rPr>
      <w:tblPr/>
      <w:tcPr>
        <w:tcBorders>
          <w:top w:val="double" w:sz="4" w:space="0" w:color="3C96B4" w:themeColor="accent5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000000" w:fill="D6EAF1" w:themeFill="accent5" w:themeFillTint="33"/>
      </w:tcPr>
    </w:tblStylePr>
    <w:tblStylePr w:type="band1Horz">
      <w:tblPr/>
      <w:tcPr>
        <w:shd w:val="clear" w:color="000000" w:fill="D6EAF1" w:themeFill="accent5" w:themeFillTint="33"/>
      </w:tcPr>
    </w:tblStylePr>
  </w:style>
  <w:style w:type="table" w:styleId="GridTable4-Accent6">
    <w:name w:val="Grid Table 4 Accent 6"/>
    <w:basedOn w:val="TableNormal"/>
    <w:uiPriority w:val="71"/>
    <w:pPr>
      <w:spacing w:after="0" w:line="240" w:lineRule="auto"/>
    </w:pPr>
    <w:tblPr>
      <w:tblStyleRowBandSize w:val="1"/>
      <w:tblStyleColBandSize w:val="1"/>
      <w:tblBorders>
        <w:top w:val="single" w:sz="4" w:space="0" w:color="CFDAFF" w:themeColor="accent6" w:themeTint="99"/>
        <w:left w:val="single" w:sz="4" w:space="0" w:color="CFDAFF" w:themeColor="accent6" w:themeTint="99"/>
        <w:bottom w:val="single" w:sz="4" w:space="0" w:color="CFDAFF" w:themeColor="accent6" w:themeTint="99"/>
        <w:right w:val="single" w:sz="4" w:space="0" w:color="CFDAFF" w:themeColor="accent6" w:themeTint="99"/>
        <w:insideH w:val="single" w:sz="4" w:space="0" w:color="CFDAFF" w:themeColor="accent6" w:themeTint="99"/>
        <w:insideV w:val="single" w:sz="4" w:space="0" w:color="CFDAFF" w:themeColor="accent6" w:themeTint="99"/>
      </w:tblBorders>
    </w:tblPr>
    <w:tblStylePr w:type="firstRow">
      <w:rPr>
        <w:b/>
        <w:color w:val="FFFFFF" w:themeColor="background1"/>
      </w:rPr>
      <w:tblPr/>
      <w:tcPr>
        <w:tcBorders>
          <w:top w:val="single" w:sz="4" w:space="0" w:color="AFC3FF" w:themeColor="accent6"/>
          <w:left w:val="single" w:sz="4" w:space="0" w:color="AFC3FF" w:themeColor="accent6"/>
          <w:bottom w:val="single" w:sz="4" w:space="0" w:color="AFC3FF" w:themeColor="accent6"/>
          <w:right w:val="single" w:sz="4" w:space="0" w:color="AFC3FF" w:themeColor="accent6"/>
          <w:insideH w:val="nil"/>
          <w:insideV w:val="nil"/>
        </w:tcBorders>
        <w:shd w:val="clear" w:color="000000" w:fill="AFC3FF" w:themeFill="accent6"/>
      </w:tcPr>
    </w:tblStylePr>
    <w:tblStylePr w:type="lastRow">
      <w:rPr>
        <w:b/>
      </w:rPr>
      <w:tblPr/>
      <w:tcPr>
        <w:tcBorders>
          <w:top w:val="double" w:sz="4" w:space="0" w:color="AFC3FF" w:themeColor="accent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000000" w:fill="EFF2FF" w:themeFill="accent6" w:themeFillTint="33"/>
      </w:tcPr>
    </w:tblStylePr>
    <w:tblStylePr w:type="band1Horz">
      <w:tblPr/>
      <w:tcPr>
        <w:shd w:val="clear" w:color="000000" w:fill="EFF2FF" w:themeFill="accent6" w:themeFillTint="33"/>
      </w:tcPr>
    </w:tblStylePr>
  </w:style>
  <w:style w:type="table" w:styleId="GridTable5Dark">
    <w:name w:val="Grid Table 5 Dark"/>
    <w:basedOn w:val="TableNormal"/>
    <w:uiPriority w:val="7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000000" w:fill="CCCCCC" w:themeFill="text1" w:themeFillTint="33"/>
    </w:tcPr>
    <w:tblStylePr w:type="firstRow">
      <w:rPr>
        <w:b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000000" w:fill="000000" w:themeFill="text1"/>
      </w:tcPr>
    </w:tblStylePr>
    <w:tblStylePr w:type="lastRow">
      <w:rPr>
        <w:b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000000" w:fill="000000" w:themeFill="text1"/>
      </w:tcPr>
    </w:tblStylePr>
    <w:tblStylePr w:type="firstCol">
      <w:rPr>
        <w:b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000000" w:fill="000000" w:themeFill="text1"/>
      </w:tcPr>
    </w:tblStylePr>
    <w:tblStylePr w:type="lastCol">
      <w:rPr>
        <w:b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000000" w:fill="000000" w:themeFill="text1"/>
      </w:tcPr>
    </w:tblStylePr>
    <w:tblStylePr w:type="band1Vert">
      <w:tblPr/>
      <w:tcPr>
        <w:shd w:val="clear" w:color="000000" w:fill="999999" w:themeFill="text1" w:themeFillTint="66"/>
      </w:tcPr>
    </w:tblStylePr>
    <w:tblStylePr w:type="band1Horz">
      <w:tblPr/>
      <w:tcPr>
        <w:shd w:val="clear" w:color="000000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73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000000" w:fill="ACD7F5" w:themeFill="accent1" w:themeFillTint="33"/>
    </w:tcPr>
    <w:tblStylePr w:type="firstRow">
      <w:rPr>
        <w:b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000000" w:fill="051C2C" w:themeFill="accent1"/>
      </w:tcPr>
    </w:tblStylePr>
    <w:tblStylePr w:type="lastRow">
      <w:rPr>
        <w:b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000000" w:fill="051C2C" w:themeFill="accent1"/>
      </w:tcPr>
    </w:tblStylePr>
    <w:tblStylePr w:type="firstCol">
      <w:rPr>
        <w:b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000000" w:fill="051C2C" w:themeFill="accent1"/>
      </w:tcPr>
    </w:tblStylePr>
    <w:tblStylePr w:type="lastCol">
      <w:rPr>
        <w:b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000000" w:fill="051C2C" w:themeFill="accent1"/>
      </w:tcPr>
    </w:tblStylePr>
    <w:tblStylePr w:type="band1Vert">
      <w:tblPr/>
      <w:tcPr>
        <w:shd w:val="clear" w:color="000000" w:fill="59AFEC" w:themeFill="accent1" w:themeFillTint="66"/>
      </w:tcPr>
    </w:tblStylePr>
    <w:tblStylePr w:type="band1Horz">
      <w:tblPr/>
      <w:tcPr>
        <w:shd w:val="clear" w:color="000000" w:fill="59AFEC" w:themeFill="accent1" w:themeFillTint="66"/>
      </w:tcPr>
    </w:tblStylePr>
  </w:style>
  <w:style w:type="table" w:styleId="GridTable5Dark-Accent2">
    <w:name w:val="Grid Table 5 Dark Accent 2"/>
    <w:basedOn w:val="TableNormal"/>
    <w:uiPriority w:val="74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000000" w:fill="C9EEFF" w:themeFill="accent2" w:themeFillTint="33"/>
    </w:tcPr>
    <w:tblStylePr w:type="firstRow">
      <w:rPr>
        <w:b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000000" w:fill="00A9F4" w:themeFill="accent2"/>
      </w:tcPr>
    </w:tblStylePr>
    <w:tblStylePr w:type="lastRow">
      <w:rPr>
        <w:b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000000" w:fill="00A9F4" w:themeFill="accent2"/>
      </w:tcPr>
    </w:tblStylePr>
    <w:tblStylePr w:type="firstCol">
      <w:rPr>
        <w:b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000000" w:fill="00A9F4" w:themeFill="accent2"/>
      </w:tcPr>
    </w:tblStylePr>
    <w:tblStylePr w:type="lastCol">
      <w:rPr>
        <w:b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000000" w:fill="00A9F4" w:themeFill="accent2"/>
      </w:tcPr>
    </w:tblStylePr>
    <w:tblStylePr w:type="band1Vert">
      <w:tblPr/>
      <w:tcPr>
        <w:shd w:val="clear" w:color="000000" w:fill="94DDFF" w:themeFill="accent2" w:themeFillTint="66"/>
      </w:tcPr>
    </w:tblStylePr>
    <w:tblStylePr w:type="band1Horz">
      <w:tblPr/>
      <w:tcPr>
        <w:shd w:val="clear" w:color="000000" w:fill="94DDFF" w:themeFill="accent2" w:themeFillTint="66"/>
      </w:tcPr>
    </w:tblStylePr>
  </w:style>
  <w:style w:type="table" w:styleId="GridTable5Dark-Accent3">
    <w:name w:val="Grid Table 5 Dark Accent 3"/>
    <w:basedOn w:val="TableNormal"/>
    <w:uiPriority w:val="75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000000" w:fill="D2DCFF" w:themeFill="accent3" w:themeFillTint="33"/>
    </w:tcPr>
    <w:tblStylePr w:type="firstRow">
      <w:rPr>
        <w:b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000000" w:fill="2251FF" w:themeFill="accent3"/>
      </w:tcPr>
    </w:tblStylePr>
    <w:tblStylePr w:type="lastRow">
      <w:rPr>
        <w:b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000000" w:fill="2251FF" w:themeFill="accent3"/>
      </w:tcPr>
    </w:tblStylePr>
    <w:tblStylePr w:type="firstCol">
      <w:rPr>
        <w:b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000000" w:fill="2251FF" w:themeFill="accent3"/>
      </w:tcPr>
    </w:tblStylePr>
    <w:tblStylePr w:type="lastCol">
      <w:rPr>
        <w:b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000000" w:fill="2251FF" w:themeFill="accent3"/>
      </w:tcPr>
    </w:tblStylePr>
    <w:tblStylePr w:type="band1Vert">
      <w:tblPr/>
      <w:tcPr>
        <w:shd w:val="clear" w:color="000000" w:fill="A6B9FF" w:themeFill="accent3" w:themeFillTint="66"/>
      </w:tcPr>
    </w:tblStylePr>
    <w:tblStylePr w:type="band1Horz">
      <w:tblPr/>
      <w:tcPr>
        <w:shd w:val="clear" w:color="000000" w:fill="A6B9FF" w:themeFill="accent3" w:themeFillTint="66"/>
      </w:tcPr>
    </w:tblStylePr>
  </w:style>
  <w:style w:type="table" w:styleId="GridTable5Dark-Accent4">
    <w:name w:val="Grid Table 5 Dark Accent 4"/>
    <w:basedOn w:val="TableNormal"/>
    <w:uiPriority w:val="76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000000" w:fill="EEF9FC" w:themeFill="accent4" w:themeFillTint="33"/>
    </w:tcPr>
    <w:tblStylePr w:type="firstRow">
      <w:rPr>
        <w:b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000000" w:fill="AAE6F0" w:themeFill="accent4"/>
      </w:tcPr>
    </w:tblStylePr>
    <w:tblStylePr w:type="lastRow">
      <w:rPr>
        <w:b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000000" w:fill="AAE6F0" w:themeFill="accent4"/>
      </w:tcPr>
    </w:tblStylePr>
    <w:tblStylePr w:type="firstCol">
      <w:rPr>
        <w:b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000000" w:fill="AAE6F0" w:themeFill="accent4"/>
      </w:tcPr>
    </w:tblStylePr>
    <w:tblStylePr w:type="lastCol">
      <w:rPr>
        <w:b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000000" w:fill="AAE6F0" w:themeFill="accent4"/>
      </w:tcPr>
    </w:tblStylePr>
    <w:tblStylePr w:type="band1Vert">
      <w:tblPr/>
      <w:tcPr>
        <w:shd w:val="clear" w:color="000000" w:fill="DDF4F9" w:themeFill="accent4" w:themeFillTint="66"/>
      </w:tcPr>
    </w:tblStylePr>
    <w:tblStylePr w:type="band1Horz">
      <w:tblPr/>
      <w:tcPr>
        <w:shd w:val="clear" w:color="000000" w:fill="DDF4F9" w:themeFill="accent4" w:themeFillTint="66"/>
      </w:tcPr>
    </w:tblStylePr>
  </w:style>
  <w:style w:type="table" w:styleId="GridTable5Dark-Accent5">
    <w:name w:val="Grid Table 5 Dark Accent 5"/>
    <w:basedOn w:val="TableNormal"/>
    <w:uiPriority w:val="7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000000" w:fill="D6EAF1" w:themeFill="accent5" w:themeFillTint="33"/>
    </w:tcPr>
    <w:tblStylePr w:type="firstRow">
      <w:rPr>
        <w:b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000000" w:fill="3C96B4" w:themeFill="accent5"/>
      </w:tcPr>
    </w:tblStylePr>
    <w:tblStylePr w:type="lastRow">
      <w:rPr>
        <w:b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000000" w:fill="3C96B4" w:themeFill="accent5"/>
      </w:tcPr>
    </w:tblStylePr>
    <w:tblStylePr w:type="firstCol">
      <w:rPr>
        <w:b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000000" w:fill="3C96B4" w:themeFill="accent5"/>
      </w:tcPr>
    </w:tblStylePr>
    <w:tblStylePr w:type="lastCol">
      <w:rPr>
        <w:b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000000" w:fill="3C96B4" w:themeFill="accent5"/>
      </w:tcPr>
    </w:tblStylePr>
    <w:tblStylePr w:type="band1Vert">
      <w:tblPr/>
      <w:tcPr>
        <w:shd w:val="clear" w:color="000000" w:fill="AED6E4" w:themeFill="accent5" w:themeFillTint="66"/>
      </w:tcPr>
    </w:tblStylePr>
    <w:tblStylePr w:type="band1Horz">
      <w:tblPr/>
      <w:tcPr>
        <w:shd w:val="clear" w:color="000000" w:fill="AED6E4" w:themeFill="accent5" w:themeFillTint="66"/>
      </w:tcPr>
    </w:tblStylePr>
  </w:style>
  <w:style w:type="table" w:styleId="GridTable5Dark-Accent6">
    <w:name w:val="Grid Table 5 Dark Accent 6"/>
    <w:basedOn w:val="TableNormal"/>
    <w:uiPriority w:val="78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000000" w:fill="EFF2FF" w:themeFill="accent6" w:themeFillTint="33"/>
    </w:tcPr>
    <w:tblStylePr w:type="firstRow">
      <w:rPr>
        <w:b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000000" w:fill="AFC3FF" w:themeFill="accent6"/>
      </w:tcPr>
    </w:tblStylePr>
    <w:tblStylePr w:type="lastRow">
      <w:rPr>
        <w:b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000000" w:fill="AFC3FF" w:themeFill="accent6"/>
      </w:tcPr>
    </w:tblStylePr>
    <w:tblStylePr w:type="firstCol">
      <w:rPr>
        <w:b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000000" w:fill="AFC3FF" w:themeFill="accent6"/>
      </w:tcPr>
    </w:tblStylePr>
    <w:tblStylePr w:type="lastCol">
      <w:rPr>
        <w:b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000000" w:fill="AFC3FF" w:themeFill="accent6"/>
      </w:tcPr>
    </w:tblStylePr>
    <w:tblStylePr w:type="band1Vert">
      <w:tblPr/>
      <w:tcPr>
        <w:shd w:val="clear" w:color="000000" w:fill="DFE6FF" w:themeFill="accent6" w:themeFillTint="66"/>
      </w:tcPr>
    </w:tblStylePr>
    <w:tblStylePr w:type="band1Horz">
      <w:tblPr/>
      <w:tcPr>
        <w:shd w:val="clear" w:color="000000" w:fill="DFE6FF" w:themeFill="accent6" w:themeFillTint="66"/>
      </w:tcPr>
    </w:tblStylePr>
  </w:style>
  <w:style w:type="table" w:styleId="GridTable6Colorful">
    <w:name w:val="Grid Table 6 Colorful"/>
    <w:basedOn w:val="TableNormal"/>
    <w:uiPriority w:val="7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000000" w:fill="CCCCCC" w:themeFill="text1" w:themeFillTint="33"/>
      </w:tcPr>
    </w:tblStylePr>
    <w:tblStylePr w:type="band1Horz">
      <w:tblPr/>
      <w:tcPr>
        <w:shd w:val="clear" w:color="000000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80"/>
    <w:pPr>
      <w:spacing w:after="0" w:line="240" w:lineRule="auto"/>
    </w:pPr>
    <w:rPr>
      <w:color w:val="031420" w:themeColor="accent1" w:themeShade="BF"/>
    </w:rPr>
    <w:tblPr>
      <w:tblStyleRowBandSize w:val="1"/>
      <w:tblStyleColBandSize w:val="1"/>
      <w:tblBorders>
        <w:top w:val="single" w:sz="4" w:space="0" w:color="1885D1" w:themeColor="accent1" w:themeTint="99"/>
        <w:left w:val="single" w:sz="4" w:space="0" w:color="1885D1" w:themeColor="accent1" w:themeTint="99"/>
        <w:bottom w:val="single" w:sz="4" w:space="0" w:color="1885D1" w:themeColor="accent1" w:themeTint="99"/>
        <w:right w:val="single" w:sz="4" w:space="0" w:color="1885D1" w:themeColor="accent1" w:themeTint="99"/>
        <w:insideH w:val="single" w:sz="4" w:space="0" w:color="1885D1" w:themeColor="accent1" w:themeTint="99"/>
        <w:insideV w:val="single" w:sz="4" w:space="0" w:color="1885D1" w:themeColor="accent1" w:themeTint="99"/>
      </w:tblBorders>
    </w:tblPr>
    <w:tblStylePr w:type="firstRow">
      <w:rPr>
        <w:b/>
      </w:rPr>
      <w:tblPr/>
      <w:tcPr>
        <w:tcBorders>
          <w:bottom w:val="single" w:sz="12" w:space="0" w:color="1885D1" w:themeColor="accent1" w:themeTint="99"/>
        </w:tcBorders>
      </w:tcPr>
    </w:tblStylePr>
    <w:tblStylePr w:type="lastRow">
      <w:rPr>
        <w:b/>
      </w:rPr>
      <w:tblPr/>
      <w:tcPr>
        <w:tcBorders>
          <w:top w:val="double" w:sz="4" w:space="0" w:color="1885D1" w:themeColor="accent1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000000" w:fill="ACD7F5" w:themeFill="accent1" w:themeFillTint="33"/>
      </w:tcPr>
    </w:tblStylePr>
    <w:tblStylePr w:type="band1Horz">
      <w:tblPr/>
      <w:tcPr>
        <w:shd w:val="clear" w:color="000000" w:fill="ACD7F5" w:themeFill="accent1" w:themeFillTint="33"/>
      </w:tcPr>
    </w:tblStylePr>
  </w:style>
  <w:style w:type="table" w:styleId="GridTable6Colorful-Accent2">
    <w:name w:val="Grid Table 6 Colorful Accent 2"/>
    <w:basedOn w:val="TableNormal"/>
    <w:uiPriority w:val="81"/>
    <w:pPr>
      <w:spacing w:after="0" w:line="240" w:lineRule="auto"/>
    </w:pPr>
    <w:rPr>
      <w:color w:val="007EB6" w:themeColor="accent2" w:themeShade="BF"/>
    </w:rPr>
    <w:tblPr>
      <w:tblStyleRowBandSize w:val="1"/>
      <w:tblStyleColBandSize w:val="1"/>
      <w:tblBorders>
        <w:top w:val="single" w:sz="4" w:space="0" w:color="5FCDFF" w:themeColor="accent2" w:themeTint="99"/>
        <w:left w:val="single" w:sz="4" w:space="0" w:color="5FCDFF" w:themeColor="accent2" w:themeTint="99"/>
        <w:bottom w:val="single" w:sz="4" w:space="0" w:color="5FCDFF" w:themeColor="accent2" w:themeTint="99"/>
        <w:right w:val="single" w:sz="4" w:space="0" w:color="5FCDFF" w:themeColor="accent2" w:themeTint="99"/>
        <w:insideH w:val="single" w:sz="4" w:space="0" w:color="5FCDFF" w:themeColor="accent2" w:themeTint="99"/>
        <w:insideV w:val="single" w:sz="4" w:space="0" w:color="5FCDFF" w:themeColor="accent2" w:themeTint="99"/>
      </w:tblBorders>
    </w:tblPr>
    <w:tblStylePr w:type="firstRow">
      <w:rPr>
        <w:b/>
      </w:rPr>
      <w:tblPr/>
      <w:tcPr>
        <w:tcBorders>
          <w:bottom w:val="single" w:sz="12" w:space="0" w:color="5FCDFF" w:themeColor="accent2" w:themeTint="99"/>
        </w:tcBorders>
      </w:tcPr>
    </w:tblStylePr>
    <w:tblStylePr w:type="lastRow">
      <w:rPr>
        <w:b/>
      </w:rPr>
      <w:tblPr/>
      <w:tcPr>
        <w:tcBorders>
          <w:top w:val="double" w:sz="4" w:space="0" w:color="5FCDFF" w:themeColor="accent2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000000" w:fill="C9EEFF" w:themeFill="accent2" w:themeFillTint="33"/>
      </w:tcPr>
    </w:tblStylePr>
    <w:tblStylePr w:type="band1Horz">
      <w:tblPr/>
      <w:tcPr>
        <w:shd w:val="clear" w:color="000000" w:fill="C9EEFF" w:themeFill="accent2" w:themeFillTint="33"/>
      </w:tcPr>
    </w:tblStylePr>
  </w:style>
  <w:style w:type="table" w:styleId="GridTable6Colorful-Accent3">
    <w:name w:val="Grid Table 6 Colorful Accent 3"/>
    <w:basedOn w:val="TableNormal"/>
    <w:uiPriority w:val="82"/>
    <w:pPr>
      <w:spacing w:after="0" w:line="240" w:lineRule="auto"/>
    </w:pPr>
    <w:rPr>
      <w:color w:val="002DD8" w:themeColor="accent3" w:themeShade="BF"/>
    </w:rPr>
    <w:tblPr>
      <w:tblStyleRowBandSize w:val="1"/>
      <w:tblStyleColBandSize w:val="1"/>
      <w:tblBorders>
        <w:top w:val="single" w:sz="4" w:space="0" w:color="7A96FF" w:themeColor="accent3" w:themeTint="99"/>
        <w:left w:val="single" w:sz="4" w:space="0" w:color="7A96FF" w:themeColor="accent3" w:themeTint="99"/>
        <w:bottom w:val="single" w:sz="4" w:space="0" w:color="7A96FF" w:themeColor="accent3" w:themeTint="99"/>
        <w:right w:val="single" w:sz="4" w:space="0" w:color="7A96FF" w:themeColor="accent3" w:themeTint="99"/>
        <w:insideH w:val="single" w:sz="4" w:space="0" w:color="7A96FF" w:themeColor="accent3" w:themeTint="99"/>
        <w:insideV w:val="single" w:sz="4" w:space="0" w:color="7A96FF" w:themeColor="accent3" w:themeTint="99"/>
      </w:tblBorders>
    </w:tblPr>
    <w:tblStylePr w:type="firstRow">
      <w:rPr>
        <w:b/>
      </w:rPr>
      <w:tblPr/>
      <w:tcPr>
        <w:tcBorders>
          <w:bottom w:val="single" w:sz="12" w:space="0" w:color="7A96FF" w:themeColor="accent3" w:themeTint="99"/>
        </w:tcBorders>
      </w:tcPr>
    </w:tblStylePr>
    <w:tblStylePr w:type="lastRow">
      <w:rPr>
        <w:b/>
      </w:rPr>
      <w:tblPr/>
      <w:tcPr>
        <w:tcBorders>
          <w:top w:val="double" w:sz="4" w:space="0" w:color="7A96FF" w:themeColor="accent3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000000" w:fill="D2DCFF" w:themeFill="accent3" w:themeFillTint="33"/>
      </w:tcPr>
    </w:tblStylePr>
    <w:tblStylePr w:type="band1Horz">
      <w:tblPr/>
      <w:tcPr>
        <w:shd w:val="clear" w:color="000000" w:fill="D2DCFF" w:themeFill="accent3" w:themeFillTint="33"/>
      </w:tcPr>
    </w:tblStylePr>
  </w:style>
  <w:style w:type="table" w:styleId="GridTable6Colorful-Accent4">
    <w:name w:val="Grid Table 6 Colorful Accent 4"/>
    <w:basedOn w:val="TableNormal"/>
    <w:uiPriority w:val="83"/>
    <w:pPr>
      <w:spacing w:after="0" w:line="240" w:lineRule="auto"/>
    </w:pPr>
    <w:rPr>
      <w:color w:val="52CCE0" w:themeColor="accent4" w:themeShade="BF"/>
    </w:rPr>
    <w:tblPr>
      <w:tblStyleRowBandSize w:val="1"/>
      <w:tblStyleColBandSize w:val="1"/>
      <w:tblBorders>
        <w:top w:val="single" w:sz="4" w:space="0" w:color="CCEFF6" w:themeColor="accent4" w:themeTint="99"/>
        <w:left w:val="single" w:sz="4" w:space="0" w:color="CCEFF6" w:themeColor="accent4" w:themeTint="99"/>
        <w:bottom w:val="single" w:sz="4" w:space="0" w:color="CCEFF6" w:themeColor="accent4" w:themeTint="99"/>
        <w:right w:val="single" w:sz="4" w:space="0" w:color="CCEFF6" w:themeColor="accent4" w:themeTint="99"/>
        <w:insideH w:val="single" w:sz="4" w:space="0" w:color="CCEFF6" w:themeColor="accent4" w:themeTint="99"/>
        <w:insideV w:val="single" w:sz="4" w:space="0" w:color="CCEFF6" w:themeColor="accent4" w:themeTint="99"/>
      </w:tblBorders>
    </w:tblPr>
    <w:tblStylePr w:type="firstRow">
      <w:rPr>
        <w:b/>
      </w:rPr>
      <w:tblPr/>
      <w:tcPr>
        <w:tcBorders>
          <w:bottom w:val="single" w:sz="12" w:space="0" w:color="CCEFF6" w:themeColor="accent4" w:themeTint="99"/>
        </w:tcBorders>
      </w:tcPr>
    </w:tblStylePr>
    <w:tblStylePr w:type="lastRow">
      <w:rPr>
        <w:b/>
      </w:rPr>
      <w:tblPr/>
      <w:tcPr>
        <w:tcBorders>
          <w:top w:val="double" w:sz="4" w:space="0" w:color="CCEFF6" w:themeColor="accent4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000000" w:fill="EEF9FC" w:themeFill="accent4" w:themeFillTint="33"/>
      </w:tcPr>
    </w:tblStylePr>
    <w:tblStylePr w:type="band1Horz">
      <w:tblPr/>
      <w:tcPr>
        <w:shd w:val="clear" w:color="000000" w:fill="EEF9FC" w:themeFill="accent4" w:themeFillTint="33"/>
      </w:tcPr>
    </w:tblStylePr>
  </w:style>
  <w:style w:type="table" w:styleId="GridTable6Colorful-Accent5">
    <w:name w:val="Grid Table 6 Colorful Accent 5"/>
    <w:basedOn w:val="TableNormal"/>
    <w:uiPriority w:val="84"/>
    <w:pPr>
      <w:spacing w:after="0" w:line="240" w:lineRule="auto"/>
    </w:pPr>
    <w:rPr>
      <w:color w:val="2D7086" w:themeColor="accent5" w:themeShade="BF"/>
    </w:rPr>
    <w:tblPr>
      <w:tblStyleRowBandSize w:val="1"/>
      <w:tblStyleColBandSize w:val="1"/>
      <w:tblBorders>
        <w:top w:val="single" w:sz="4" w:space="0" w:color="85C2D6" w:themeColor="accent5" w:themeTint="99"/>
        <w:left w:val="single" w:sz="4" w:space="0" w:color="85C2D6" w:themeColor="accent5" w:themeTint="99"/>
        <w:bottom w:val="single" w:sz="4" w:space="0" w:color="85C2D6" w:themeColor="accent5" w:themeTint="99"/>
        <w:right w:val="single" w:sz="4" w:space="0" w:color="85C2D6" w:themeColor="accent5" w:themeTint="99"/>
        <w:insideH w:val="single" w:sz="4" w:space="0" w:color="85C2D6" w:themeColor="accent5" w:themeTint="99"/>
        <w:insideV w:val="single" w:sz="4" w:space="0" w:color="85C2D6" w:themeColor="accent5" w:themeTint="99"/>
      </w:tblBorders>
    </w:tblPr>
    <w:tblStylePr w:type="firstRow">
      <w:rPr>
        <w:b/>
      </w:rPr>
      <w:tblPr/>
      <w:tcPr>
        <w:tcBorders>
          <w:bottom w:val="single" w:sz="12" w:space="0" w:color="85C2D6" w:themeColor="accent5" w:themeTint="99"/>
        </w:tcBorders>
      </w:tcPr>
    </w:tblStylePr>
    <w:tblStylePr w:type="lastRow">
      <w:rPr>
        <w:b/>
      </w:rPr>
      <w:tblPr/>
      <w:tcPr>
        <w:tcBorders>
          <w:top w:val="double" w:sz="4" w:space="0" w:color="85C2D6" w:themeColor="accent5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000000" w:fill="D6EAF1" w:themeFill="accent5" w:themeFillTint="33"/>
      </w:tcPr>
    </w:tblStylePr>
    <w:tblStylePr w:type="band1Horz">
      <w:tblPr/>
      <w:tcPr>
        <w:shd w:val="clear" w:color="000000" w:fill="D6EAF1" w:themeFill="accent5" w:themeFillTint="33"/>
      </w:tcPr>
    </w:tblStylePr>
  </w:style>
  <w:style w:type="table" w:styleId="GridTable6Colorful-Accent6">
    <w:name w:val="Grid Table 6 Colorful Accent 6"/>
    <w:basedOn w:val="TableNormal"/>
    <w:uiPriority w:val="85"/>
    <w:pPr>
      <w:spacing w:after="0" w:line="240" w:lineRule="auto"/>
    </w:pPr>
    <w:rPr>
      <w:color w:val="4371FF" w:themeColor="accent6" w:themeShade="BF"/>
    </w:rPr>
    <w:tblPr>
      <w:tblStyleRowBandSize w:val="1"/>
      <w:tblStyleColBandSize w:val="1"/>
      <w:tblBorders>
        <w:top w:val="single" w:sz="4" w:space="0" w:color="CFDAFF" w:themeColor="accent6" w:themeTint="99"/>
        <w:left w:val="single" w:sz="4" w:space="0" w:color="CFDAFF" w:themeColor="accent6" w:themeTint="99"/>
        <w:bottom w:val="single" w:sz="4" w:space="0" w:color="CFDAFF" w:themeColor="accent6" w:themeTint="99"/>
        <w:right w:val="single" w:sz="4" w:space="0" w:color="CFDAFF" w:themeColor="accent6" w:themeTint="99"/>
        <w:insideH w:val="single" w:sz="4" w:space="0" w:color="CFDAFF" w:themeColor="accent6" w:themeTint="99"/>
        <w:insideV w:val="single" w:sz="4" w:space="0" w:color="CFDAFF" w:themeColor="accent6" w:themeTint="99"/>
      </w:tblBorders>
    </w:tblPr>
    <w:tblStylePr w:type="firstRow">
      <w:rPr>
        <w:b/>
      </w:rPr>
      <w:tblPr/>
      <w:tcPr>
        <w:tcBorders>
          <w:bottom w:val="single" w:sz="12" w:space="0" w:color="CFDAFF" w:themeColor="accent6" w:themeTint="99"/>
        </w:tcBorders>
      </w:tcPr>
    </w:tblStylePr>
    <w:tblStylePr w:type="lastRow">
      <w:rPr>
        <w:b/>
      </w:rPr>
      <w:tblPr/>
      <w:tcPr>
        <w:tcBorders>
          <w:top w:val="double" w:sz="4" w:space="0" w:color="CFDAFF" w:themeColor="accent6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000000" w:fill="EFF2FF" w:themeFill="accent6" w:themeFillTint="33"/>
      </w:tcPr>
    </w:tblStylePr>
    <w:tblStylePr w:type="band1Horz">
      <w:tblPr/>
      <w:tcPr>
        <w:shd w:val="clear" w:color="000000" w:fill="EFF2FF" w:themeFill="accent6" w:themeFillTint="33"/>
      </w:tcPr>
    </w:tblStylePr>
  </w:style>
  <w:style w:type="table" w:styleId="GridTable7Colorful">
    <w:name w:val="Grid Table 7 Colorful"/>
    <w:basedOn w:val="TableNormal"/>
    <w:uiPriority w:val="86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band1Vert">
      <w:tblPr/>
      <w:tcPr>
        <w:shd w:val="clear" w:color="000000" w:fill="CCCCCC" w:themeFill="text1" w:themeFillTint="33"/>
      </w:tcPr>
    </w:tblStylePr>
    <w:tblStylePr w:type="band1Horz">
      <w:tblPr/>
      <w:tcPr>
        <w:shd w:val="clear" w:color="000000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87"/>
    <w:pPr>
      <w:spacing w:after="0" w:line="240" w:lineRule="auto"/>
    </w:pPr>
    <w:rPr>
      <w:color w:val="031420" w:themeColor="accent1" w:themeShade="BF"/>
    </w:rPr>
    <w:tblPr>
      <w:tblStyleRowBandSize w:val="1"/>
      <w:tblStyleColBandSize w:val="1"/>
      <w:tblBorders>
        <w:top w:val="single" w:sz="4" w:space="0" w:color="1885D1" w:themeColor="accent1" w:themeTint="99"/>
        <w:left w:val="single" w:sz="4" w:space="0" w:color="1885D1" w:themeColor="accent1" w:themeTint="99"/>
        <w:bottom w:val="single" w:sz="4" w:space="0" w:color="1885D1" w:themeColor="accent1" w:themeTint="99"/>
        <w:right w:val="single" w:sz="4" w:space="0" w:color="1885D1" w:themeColor="accent1" w:themeTint="99"/>
        <w:insideH w:val="single" w:sz="4" w:space="0" w:color="1885D1" w:themeColor="accent1" w:themeTint="99"/>
        <w:insideV w:val="single" w:sz="4" w:space="0" w:color="1885D1" w:themeColor="accent1" w:themeTint="99"/>
      </w:tblBorders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band1Vert">
      <w:tblPr/>
      <w:tcPr>
        <w:shd w:val="clear" w:color="000000" w:fill="ACD7F5" w:themeFill="accent1" w:themeFillTint="33"/>
      </w:tcPr>
    </w:tblStylePr>
    <w:tblStylePr w:type="band1Horz">
      <w:tblPr/>
      <w:tcPr>
        <w:shd w:val="clear" w:color="000000" w:fill="ACD7F5" w:themeFill="accent1" w:themeFillTint="33"/>
      </w:tcPr>
    </w:tblStylePr>
    <w:tblStylePr w:type="neCell">
      <w:tblPr/>
      <w:tcPr>
        <w:tcBorders>
          <w:bottom w:val="single" w:sz="4" w:space="0" w:color="1885D1" w:themeColor="accent1" w:themeTint="99"/>
        </w:tcBorders>
      </w:tcPr>
    </w:tblStylePr>
    <w:tblStylePr w:type="nwCell">
      <w:tblPr/>
      <w:tcPr>
        <w:tcBorders>
          <w:bottom w:val="single" w:sz="4" w:space="0" w:color="1885D1" w:themeColor="accent1" w:themeTint="99"/>
        </w:tcBorders>
      </w:tcPr>
    </w:tblStylePr>
    <w:tblStylePr w:type="seCell">
      <w:tblPr/>
      <w:tcPr>
        <w:tcBorders>
          <w:top w:val="single" w:sz="4" w:space="0" w:color="1885D1" w:themeColor="accent1" w:themeTint="99"/>
        </w:tcBorders>
      </w:tcPr>
    </w:tblStylePr>
    <w:tblStylePr w:type="swCell">
      <w:tblPr/>
      <w:tcPr>
        <w:tcBorders>
          <w:top w:val="single" w:sz="4" w:space="0" w:color="1885D1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88"/>
    <w:pPr>
      <w:spacing w:after="0" w:line="240" w:lineRule="auto"/>
    </w:pPr>
    <w:rPr>
      <w:color w:val="007EB6" w:themeColor="accent2" w:themeShade="BF"/>
    </w:rPr>
    <w:tblPr>
      <w:tblStyleRowBandSize w:val="1"/>
      <w:tblStyleColBandSize w:val="1"/>
      <w:tblBorders>
        <w:top w:val="single" w:sz="4" w:space="0" w:color="5FCDFF" w:themeColor="accent2" w:themeTint="99"/>
        <w:left w:val="single" w:sz="4" w:space="0" w:color="5FCDFF" w:themeColor="accent2" w:themeTint="99"/>
        <w:bottom w:val="single" w:sz="4" w:space="0" w:color="5FCDFF" w:themeColor="accent2" w:themeTint="99"/>
        <w:right w:val="single" w:sz="4" w:space="0" w:color="5FCDFF" w:themeColor="accent2" w:themeTint="99"/>
        <w:insideH w:val="single" w:sz="4" w:space="0" w:color="5FCDFF" w:themeColor="accent2" w:themeTint="99"/>
        <w:insideV w:val="single" w:sz="4" w:space="0" w:color="5FCDFF" w:themeColor="accent2" w:themeTint="99"/>
      </w:tblBorders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band1Vert">
      <w:tblPr/>
      <w:tcPr>
        <w:shd w:val="clear" w:color="000000" w:fill="C9EEFF" w:themeFill="accent2" w:themeFillTint="33"/>
      </w:tcPr>
    </w:tblStylePr>
    <w:tblStylePr w:type="band1Horz">
      <w:tblPr/>
      <w:tcPr>
        <w:shd w:val="clear" w:color="000000" w:fill="C9EEFF" w:themeFill="accent2" w:themeFillTint="33"/>
      </w:tcPr>
    </w:tblStylePr>
    <w:tblStylePr w:type="neCell">
      <w:tblPr/>
      <w:tcPr>
        <w:tcBorders>
          <w:bottom w:val="single" w:sz="4" w:space="0" w:color="5FCDFF" w:themeColor="accent2" w:themeTint="99"/>
        </w:tcBorders>
      </w:tcPr>
    </w:tblStylePr>
    <w:tblStylePr w:type="nwCell">
      <w:tblPr/>
      <w:tcPr>
        <w:tcBorders>
          <w:bottom w:val="single" w:sz="4" w:space="0" w:color="5FCDFF" w:themeColor="accent2" w:themeTint="99"/>
        </w:tcBorders>
      </w:tcPr>
    </w:tblStylePr>
    <w:tblStylePr w:type="seCell">
      <w:tblPr/>
      <w:tcPr>
        <w:tcBorders>
          <w:top w:val="single" w:sz="4" w:space="0" w:color="5FCDFF" w:themeColor="accent2" w:themeTint="99"/>
        </w:tcBorders>
      </w:tcPr>
    </w:tblStylePr>
    <w:tblStylePr w:type="swCell">
      <w:tblPr/>
      <w:tcPr>
        <w:tcBorders>
          <w:top w:val="single" w:sz="4" w:space="0" w:color="5FCDFF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89"/>
    <w:pPr>
      <w:spacing w:after="0" w:line="240" w:lineRule="auto"/>
    </w:pPr>
    <w:rPr>
      <w:color w:val="002DD8" w:themeColor="accent3" w:themeShade="BF"/>
    </w:rPr>
    <w:tblPr>
      <w:tblStyleRowBandSize w:val="1"/>
      <w:tblStyleColBandSize w:val="1"/>
      <w:tblBorders>
        <w:top w:val="single" w:sz="4" w:space="0" w:color="7A96FF" w:themeColor="accent3" w:themeTint="99"/>
        <w:left w:val="single" w:sz="4" w:space="0" w:color="7A96FF" w:themeColor="accent3" w:themeTint="99"/>
        <w:bottom w:val="single" w:sz="4" w:space="0" w:color="7A96FF" w:themeColor="accent3" w:themeTint="99"/>
        <w:right w:val="single" w:sz="4" w:space="0" w:color="7A96FF" w:themeColor="accent3" w:themeTint="99"/>
        <w:insideH w:val="single" w:sz="4" w:space="0" w:color="7A96FF" w:themeColor="accent3" w:themeTint="99"/>
        <w:insideV w:val="single" w:sz="4" w:space="0" w:color="7A96FF" w:themeColor="accent3" w:themeTint="99"/>
      </w:tblBorders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band1Vert">
      <w:tblPr/>
      <w:tcPr>
        <w:shd w:val="clear" w:color="000000" w:fill="D2DCFF" w:themeFill="accent3" w:themeFillTint="33"/>
      </w:tcPr>
    </w:tblStylePr>
    <w:tblStylePr w:type="band1Horz">
      <w:tblPr/>
      <w:tcPr>
        <w:shd w:val="clear" w:color="000000" w:fill="D2DCFF" w:themeFill="accent3" w:themeFillTint="33"/>
      </w:tcPr>
    </w:tblStylePr>
    <w:tblStylePr w:type="neCell">
      <w:tblPr/>
      <w:tcPr>
        <w:tcBorders>
          <w:bottom w:val="single" w:sz="4" w:space="0" w:color="7A96FF" w:themeColor="accent3" w:themeTint="99"/>
        </w:tcBorders>
      </w:tcPr>
    </w:tblStylePr>
    <w:tblStylePr w:type="nwCell">
      <w:tblPr/>
      <w:tcPr>
        <w:tcBorders>
          <w:bottom w:val="single" w:sz="4" w:space="0" w:color="7A96FF" w:themeColor="accent3" w:themeTint="99"/>
        </w:tcBorders>
      </w:tcPr>
    </w:tblStylePr>
    <w:tblStylePr w:type="seCell">
      <w:tblPr/>
      <w:tcPr>
        <w:tcBorders>
          <w:top w:val="single" w:sz="4" w:space="0" w:color="7A96FF" w:themeColor="accent3" w:themeTint="99"/>
        </w:tcBorders>
      </w:tcPr>
    </w:tblStylePr>
    <w:tblStylePr w:type="swCell">
      <w:tblPr/>
      <w:tcPr>
        <w:tcBorders>
          <w:top w:val="single" w:sz="4" w:space="0" w:color="7A96FF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90"/>
    <w:pPr>
      <w:spacing w:after="0" w:line="240" w:lineRule="auto"/>
    </w:pPr>
    <w:rPr>
      <w:color w:val="52CCE0" w:themeColor="accent4" w:themeShade="BF"/>
    </w:rPr>
    <w:tblPr>
      <w:tblStyleRowBandSize w:val="1"/>
      <w:tblStyleColBandSize w:val="1"/>
      <w:tblBorders>
        <w:top w:val="single" w:sz="4" w:space="0" w:color="CCEFF6" w:themeColor="accent4" w:themeTint="99"/>
        <w:left w:val="single" w:sz="4" w:space="0" w:color="CCEFF6" w:themeColor="accent4" w:themeTint="99"/>
        <w:bottom w:val="single" w:sz="4" w:space="0" w:color="CCEFF6" w:themeColor="accent4" w:themeTint="99"/>
        <w:right w:val="single" w:sz="4" w:space="0" w:color="CCEFF6" w:themeColor="accent4" w:themeTint="99"/>
        <w:insideH w:val="single" w:sz="4" w:space="0" w:color="CCEFF6" w:themeColor="accent4" w:themeTint="99"/>
        <w:insideV w:val="single" w:sz="4" w:space="0" w:color="CCEFF6" w:themeColor="accent4" w:themeTint="99"/>
      </w:tblBorders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band1Vert">
      <w:tblPr/>
      <w:tcPr>
        <w:shd w:val="clear" w:color="000000" w:fill="EEF9FC" w:themeFill="accent4" w:themeFillTint="33"/>
      </w:tcPr>
    </w:tblStylePr>
    <w:tblStylePr w:type="band1Horz">
      <w:tblPr/>
      <w:tcPr>
        <w:shd w:val="clear" w:color="000000" w:fill="EEF9FC" w:themeFill="accent4" w:themeFillTint="33"/>
      </w:tcPr>
    </w:tblStylePr>
    <w:tblStylePr w:type="neCell">
      <w:tblPr/>
      <w:tcPr>
        <w:tcBorders>
          <w:bottom w:val="single" w:sz="4" w:space="0" w:color="CCEFF6" w:themeColor="accent4" w:themeTint="99"/>
        </w:tcBorders>
      </w:tcPr>
    </w:tblStylePr>
    <w:tblStylePr w:type="nwCell">
      <w:tblPr/>
      <w:tcPr>
        <w:tcBorders>
          <w:bottom w:val="single" w:sz="4" w:space="0" w:color="CCEFF6" w:themeColor="accent4" w:themeTint="99"/>
        </w:tcBorders>
      </w:tcPr>
    </w:tblStylePr>
    <w:tblStylePr w:type="seCell">
      <w:tblPr/>
      <w:tcPr>
        <w:tcBorders>
          <w:top w:val="single" w:sz="4" w:space="0" w:color="CCEFF6" w:themeColor="accent4" w:themeTint="99"/>
        </w:tcBorders>
      </w:tcPr>
    </w:tblStylePr>
    <w:tblStylePr w:type="swCell">
      <w:tblPr/>
      <w:tcPr>
        <w:tcBorders>
          <w:top w:val="single" w:sz="4" w:space="0" w:color="CCEFF6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91"/>
    <w:pPr>
      <w:spacing w:after="0" w:line="240" w:lineRule="auto"/>
    </w:pPr>
    <w:rPr>
      <w:color w:val="2D7086" w:themeColor="accent5" w:themeShade="BF"/>
    </w:rPr>
    <w:tblPr>
      <w:tblStyleRowBandSize w:val="1"/>
      <w:tblStyleColBandSize w:val="1"/>
      <w:tblBorders>
        <w:top w:val="single" w:sz="4" w:space="0" w:color="85C2D6" w:themeColor="accent5" w:themeTint="99"/>
        <w:left w:val="single" w:sz="4" w:space="0" w:color="85C2D6" w:themeColor="accent5" w:themeTint="99"/>
        <w:bottom w:val="single" w:sz="4" w:space="0" w:color="85C2D6" w:themeColor="accent5" w:themeTint="99"/>
        <w:right w:val="single" w:sz="4" w:space="0" w:color="85C2D6" w:themeColor="accent5" w:themeTint="99"/>
        <w:insideH w:val="single" w:sz="4" w:space="0" w:color="85C2D6" w:themeColor="accent5" w:themeTint="99"/>
        <w:insideV w:val="single" w:sz="4" w:space="0" w:color="85C2D6" w:themeColor="accent5" w:themeTint="99"/>
      </w:tblBorders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band1Vert">
      <w:tblPr/>
      <w:tcPr>
        <w:shd w:val="clear" w:color="000000" w:fill="D6EAF1" w:themeFill="accent5" w:themeFillTint="33"/>
      </w:tcPr>
    </w:tblStylePr>
    <w:tblStylePr w:type="band1Horz">
      <w:tblPr/>
      <w:tcPr>
        <w:shd w:val="clear" w:color="000000" w:fill="D6EAF1" w:themeFill="accent5" w:themeFillTint="33"/>
      </w:tcPr>
    </w:tblStylePr>
    <w:tblStylePr w:type="neCell">
      <w:tblPr/>
      <w:tcPr>
        <w:tcBorders>
          <w:bottom w:val="single" w:sz="4" w:space="0" w:color="85C2D6" w:themeColor="accent5" w:themeTint="99"/>
        </w:tcBorders>
      </w:tcPr>
    </w:tblStylePr>
    <w:tblStylePr w:type="nwCell">
      <w:tblPr/>
      <w:tcPr>
        <w:tcBorders>
          <w:bottom w:val="single" w:sz="4" w:space="0" w:color="85C2D6" w:themeColor="accent5" w:themeTint="99"/>
        </w:tcBorders>
      </w:tcPr>
    </w:tblStylePr>
    <w:tblStylePr w:type="seCell">
      <w:tblPr/>
      <w:tcPr>
        <w:tcBorders>
          <w:top w:val="single" w:sz="4" w:space="0" w:color="85C2D6" w:themeColor="accent5" w:themeTint="99"/>
        </w:tcBorders>
      </w:tcPr>
    </w:tblStylePr>
    <w:tblStylePr w:type="swCell">
      <w:tblPr/>
      <w:tcPr>
        <w:tcBorders>
          <w:top w:val="single" w:sz="4" w:space="0" w:color="85C2D6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92"/>
    <w:pPr>
      <w:spacing w:after="0" w:line="240" w:lineRule="auto"/>
    </w:pPr>
    <w:rPr>
      <w:color w:val="4371FF" w:themeColor="accent6" w:themeShade="BF"/>
    </w:rPr>
    <w:tblPr>
      <w:tblStyleRowBandSize w:val="1"/>
      <w:tblStyleColBandSize w:val="1"/>
      <w:tblBorders>
        <w:top w:val="single" w:sz="4" w:space="0" w:color="CFDAFF" w:themeColor="accent6" w:themeTint="99"/>
        <w:left w:val="single" w:sz="4" w:space="0" w:color="CFDAFF" w:themeColor="accent6" w:themeTint="99"/>
        <w:bottom w:val="single" w:sz="4" w:space="0" w:color="CFDAFF" w:themeColor="accent6" w:themeTint="99"/>
        <w:right w:val="single" w:sz="4" w:space="0" w:color="CFDAFF" w:themeColor="accent6" w:themeTint="99"/>
        <w:insideH w:val="single" w:sz="4" w:space="0" w:color="CFDAFF" w:themeColor="accent6" w:themeTint="99"/>
        <w:insideV w:val="single" w:sz="4" w:space="0" w:color="CFDAFF" w:themeColor="accent6" w:themeTint="99"/>
      </w:tblBorders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band1Vert">
      <w:tblPr/>
      <w:tcPr>
        <w:shd w:val="clear" w:color="000000" w:fill="EFF2FF" w:themeFill="accent6" w:themeFillTint="33"/>
      </w:tcPr>
    </w:tblStylePr>
    <w:tblStylePr w:type="band1Horz">
      <w:tblPr/>
      <w:tcPr>
        <w:shd w:val="clear" w:color="000000" w:fill="EFF2FF" w:themeFill="accent6" w:themeFillTint="33"/>
      </w:tcPr>
    </w:tblStylePr>
    <w:tblStylePr w:type="neCell">
      <w:tblPr/>
      <w:tcPr>
        <w:tcBorders>
          <w:bottom w:val="single" w:sz="4" w:space="0" w:color="CFDAFF" w:themeColor="accent6" w:themeTint="99"/>
        </w:tcBorders>
      </w:tcPr>
    </w:tblStylePr>
    <w:tblStylePr w:type="nwCell">
      <w:tblPr/>
      <w:tcPr>
        <w:tcBorders>
          <w:bottom w:val="single" w:sz="4" w:space="0" w:color="CFDAFF" w:themeColor="accent6" w:themeTint="99"/>
        </w:tcBorders>
      </w:tcPr>
    </w:tblStylePr>
    <w:tblStylePr w:type="seCell">
      <w:tblPr/>
      <w:tcPr>
        <w:tcBorders>
          <w:top w:val="single" w:sz="4" w:space="0" w:color="CFDAFF" w:themeColor="accent6" w:themeTint="99"/>
        </w:tcBorders>
      </w:tcPr>
    </w:tblStylePr>
    <w:tblStylePr w:type="swCell">
      <w:tblPr/>
      <w:tcPr>
        <w:tcBorders>
          <w:top w:val="single" w:sz="4" w:space="0" w:color="CFDAFF" w:themeColor="accent6" w:themeTint="99"/>
        </w:tcBorders>
      </w:tcPr>
    </w:tblStylePr>
  </w:style>
  <w:style w:type="table" w:styleId="ListTable1Light">
    <w:name w:val="List Table 1 Light"/>
    <w:basedOn w:val="TableNormal"/>
    <w:uiPriority w:val="93"/>
    <w:pPr>
      <w:spacing w:after="0" w:line="240" w:lineRule="auto"/>
    </w:pPr>
    <w:tblPr>
      <w:tblStyleRowBandSize w:val="1"/>
      <w:tblStyleColBandSize w:val="1"/>
    </w:tblPr>
    <w:tblStylePr w:type="firstRow">
      <w:rPr>
        <w:b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000000" w:fill="CCCCCC" w:themeFill="text1" w:themeFillTint="33"/>
      </w:tcPr>
    </w:tblStylePr>
    <w:tblStylePr w:type="band1Horz">
      <w:tblPr/>
      <w:tcPr>
        <w:shd w:val="clear" w:color="000000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94"/>
    <w:pPr>
      <w:spacing w:after="0" w:line="240" w:lineRule="auto"/>
    </w:pPr>
    <w:tblPr>
      <w:tblStyleRowBandSize w:val="1"/>
      <w:tblStyleColBandSize w:val="1"/>
    </w:tblPr>
    <w:tblStylePr w:type="firstRow">
      <w:rPr>
        <w:b/>
      </w:rPr>
      <w:tblPr/>
      <w:tcPr>
        <w:tcBorders>
          <w:bottom w:val="single" w:sz="4" w:space="0" w:color="1885D1" w:themeColor="accent1" w:themeTint="99"/>
        </w:tcBorders>
      </w:tcPr>
    </w:tblStylePr>
    <w:tblStylePr w:type="lastRow">
      <w:rPr>
        <w:b/>
      </w:rPr>
      <w:tblPr/>
      <w:tcPr>
        <w:tcBorders>
          <w:top w:val="single" w:sz="4" w:space="0" w:color="1885D1" w:themeColor="accent1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000000" w:fill="ACD7F5" w:themeFill="accent1" w:themeFillTint="33"/>
      </w:tcPr>
    </w:tblStylePr>
    <w:tblStylePr w:type="band1Horz">
      <w:tblPr/>
      <w:tcPr>
        <w:shd w:val="clear" w:color="000000" w:fill="ACD7F5" w:themeFill="accent1" w:themeFillTint="33"/>
      </w:tcPr>
    </w:tblStylePr>
  </w:style>
  <w:style w:type="table" w:styleId="ListTable1Light-Accent2">
    <w:name w:val="List Table 1 Light Accent 2"/>
    <w:basedOn w:val="TableNormal"/>
    <w:uiPriority w:val="95"/>
    <w:pPr>
      <w:spacing w:after="0" w:line="240" w:lineRule="auto"/>
    </w:pPr>
    <w:tblPr>
      <w:tblStyleRowBandSize w:val="1"/>
      <w:tblStyleColBandSize w:val="1"/>
    </w:tblPr>
    <w:tblStylePr w:type="firstRow">
      <w:rPr>
        <w:b/>
      </w:rPr>
      <w:tblPr/>
      <w:tcPr>
        <w:tcBorders>
          <w:bottom w:val="single" w:sz="4" w:space="0" w:color="5FCDFF" w:themeColor="accent2" w:themeTint="99"/>
        </w:tcBorders>
      </w:tcPr>
    </w:tblStylePr>
    <w:tblStylePr w:type="lastRow">
      <w:rPr>
        <w:b/>
      </w:rPr>
      <w:tblPr/>
      <w:tcPr>
        <w:tcBorders>
          <w:top w:val="single" w:sz="4" w:space="0" w:color="5FCDFF" w:themeColor="accent2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000000" w:fill="C9EEFF" w:themeFill="accent2" w:themeFillTint="33"/>
      </w:tcPr>
    </w:tblStylePr>
    <w:tblStylePr w:type="band1Horz">
      <w:tblPr/>
      <w:tcPr>
        <w:shd w:val="clear" w:color="000000" w:fill="C9EEFF" w:themeFill="accent2" w:themeFillTint="33"/>
      </w:tcPr>
    </w:tblStylePr>
  </w:style>
  <w:style w:type="table" w:styleId="ListTable1Light-Accent3">
    <w:name w:val="List Table 1 Light Accent 3"/>
    <w:basedOn w:val="TableNormal"/>
    <w:uiPriority w:val="96"/>
    <w:pPr>
      <w:spacing w:after="0" w:line="240" w:lineRule="auto"/>
    </w:pPr>
    <w:tblPr>
      <w:tblStyleRowBandSize w:val="1"/>
      <w:tblStyleColBandSize w:val="1"/>
    </w:tblPr>
    <w:tblStylePr w:type="firstRow">
      <w:rPr>
        <w:b/>
      </w:rPr>
      <w:tblPr/>
      <w:tcPr>
        <w:tcBorders>
          <w:bottom w:val="single" w:sz="4" w:space="0" w:color="7A96FF" w:themeColor="accent3" w:themeTint="99"/>
        </w:tcBorders>
      </w:tcPr>
    </w:tblStylePr>
    <w:tblStylePr w:type="lastRow">
      <w:rPr>
        <w:b/>
      </w:rPr>
      <w:tblPr/>
      <w:tcPr>
        <w:tcBorders>
          <w:top w:val="single" w:sz="4" w:space="0" w:color="7A96FF" w:themeColor="accent3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000000" w:fill="D2DCFF" w:themeFill="accent3" w:themeFillTint="33"/>
      </w:tcPr>
    </w:tblStylePr>
    <w:tblStylePr w:type="band1Horz">
      <w:tblPr/>
      <w:tcPr>
        <w:shd w:val="clear" w:color="000000" w:fill="D2DCFF" w:themeFill="accent3" w:themeFillTint="33"/>
      </w:tcPr>
    </w:tblStylePr>
  </w:style>
  <w:style w:type="table" w:styleId="ListTable1Light-Accent4">
    <w:name w:val="List Table 1 Light Accent 4"/>
    <w:basedOn w:val="TableNormal"/>
    <w:uiPriority w:val="97"/>
    <w:pPr>
      <w:spacing w:after="0" w:line="240" w:lineRule="auto"/>
    </w:pPr>
    <w:tblPr>
      <w:tblStyleRowBandSize w:val="1"/>
      <w:tblStyleColBandSize w:val="1"/>
    </w:tblPr>
    <w:tblStylePr w:type="firstRow">
      <w:rPr>
        <w:b/>
      </w:rPr>
      <w:tblPr/>
      <w:tcPr>
        <w:tcBorders>
          <w:bottom w:val="single" w:sz="4" w:space="0" w:color="CCEFF6" w:themeColor="accent4" w:themeTint="99"/>
        </w:tcBorders>
      </w:tcPr>
    </w:tblStylePr>
    <w:tblStylePr w:type="lastRow">
      <w:rPr>
        <w:b/>
      </w:rPr>
      <w:tblPr/>
      <w:tcPr>
        <w:tcBorders>
          <w:top w:val="single" w:sz="4" w:space="0" w:color="CCEFF6" w:themeColor="accent4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000000" w:fill="EEF9FC" w:themeFill="accent4" w:themeFillTint="33"/>
      </w:tcPr>
    </w:tblStylePr>
    <w:tblStylePr w:type="band1Horz">
      <w:tblPr/>
      <w:tcPr>
        <w:shd w:val="clear" w:color="000000" w:fill="EEF9FC" w:themeFill="accent4" w:themeFillTint="33"/>
      </w:tcPr>
    </w:tblStylePr>
  </w:style>
  <w:style w:type="table" w:styleId="ListTable1Light-Accent5">
    <w:name w:val="List Table 1 Light Accent 5"/>
    <w:basedOn w:val="TableNormal"/>
    <w:uiPriority w:val="98"/>
    <w:pPr>
      <w:spacing w:after="0" w:line="240" w:lineRule="auto"/>
    </w:pPr>
    <w:tblPr>
      <w:tblStyleRowBandSize w:val="1"/>
      <w:tblStyleColBandSize w:val="1"/>
    </w:tblPr>
    <w:tblStylePr w:type="firstRow">
      <w:rPr>
        <w:b/>
      </w:rPr>
      <w:tblPr/>
      <w:tcPr>
        <w:tcBorders>
          <w:bottom w:val="single" w:sz="4" w:space="0" w:color="85C2D6" w:themeColor="accent5" w:themeTint="99"/>
        </w:tcBorders>
      </w:tcPr>
    </w:tblStylePr>
    <w:tblStylePr w:type="lastRow">
      <w:rPr>
        <w:b/>
      </w:rPr>
      <w:tblPr/>
      <w:tcPr>
        <w:tcBorders>
          <w:top w:val="single" w:sz="4" w:space="0" w:color="85C2D6" w:themeColor="accent5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000000" w:fill="D6EAF1" w:themeFill="accent5" w:themeFillTint="33"/>
      </w:tcPr>
    </w:tblStylePr>
    <w:tblStylePr w:type="band1Horz">
      <w:tblPr/>
      <w:tcPr>
        <w:shd w:val="clear" w:color="000000" w:fill="D6EAF1" w:themeFill="accent5" w:themeFillTint="33"/>
      </w:tcPr>
    </w:tblStylePr>
  </w:style>
  <w:style w:type="table" w:styleId="ListTable1Light-Accent6">
    <w:name w:val="List Table 1 Light Accent 6"/>
    <w:basedOn w:val="Table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</w:rPr>
      <w:tblPr/>
      <w:tcPr>
        <w:tcBorders>
          <w:bottom w:val="single" w:sz="4" w:space="0" w:color="CFDAFF" w:themeColor="accent6" w:themeTint="99"/>
        </w:tcBorders>
      </w:tcPr>
    </w:tblStylePr>
    <w:tblStylePr w:type="lastRow">
      <w:rPr>
        <w:b/>
      </w:rPr>
      <w:tblPr/>
      <w:tcPr>
        <w:tcBorders>
          <w:top w:val="single" w:sz="4" w:space="0" w:color="CFDAFF" w:themeColor="accent6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000000" w:fill="EFF2FF" w:themeFill="accent6" w:themeFillTint="33"/>
      </w:tcPr>
    </w:tblStylePr>
    <w:tblStylePr w:type="band1Horz">
      <w:tblPr/>
      <w:tcPr>
        <w:shd w:val="clear" w:color="000000" w:fill="EFF2FF" w:themeFill="accent6" w:themeFillTint="33"/>
      </w:tcPr>
    </w:tblStylePr>
  </w:style>
  <w:style w:type="table" w:styleId="ListTable2">
    <w:name w:val="List Table 2"/>
    <w:basedOn w:val="TableNormal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</w:r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000000" w:fill="CCCCCC" w:themeFill="text1" w:themeFillTint="33"/>
      </w:tcPr>
    </w:tblStylePr>
    <w:tblStylePr w:type="band1Horz">
      <w:tblPr/>
      <w:tcPr>
        <w:shd w:val="clear" w:color="000000" w:fill="CCCCCC" w:themeFill="text1" w:themeFillTint="33"/>
      </w:tcPr>
    </w:tblStylePr>
  </w:style>
  <w:style w:type="table" w:styleId="ListTable2-Accent1">
    <w:name w:val="List Table 2 Accent 1"/>
    <w:basedOn w:val="TableNormal"/>
    <w:pPr>
      <w:spacing w:after="0" w:line="240" w:lineRule="auto"/>
    </w:pPr>
    <w:tblPr>
      <w:tblStyleRowBandSize w:val="1"/>
      <w:tblStyleColBandSize w:val="1"/>
      <w:tblBorders>
        <w:top w:val="single" w:sz="4" w:space="0" w:color="1885D1" w:themeColor="accent1" w:themeTint="99"/>
        <w:bottom w:val="single" w:sz="4" w:space="0" w:color="1885D1" w:themeColor="accent1" w:themeTint="99"/>
        <w:insideH w:val="single" w:sz="4" w:space="0" w:color="1885D1" w:themeColor="accent1" w:themeTint="99"/>
      </w:tblBorders>
    </w:tblPr>
    <w:tblStylePr w:type="firstRow">
      <w:rPr>
        <w:b/>
      </w:r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000000" w:fill="ACD7F5" w:themeFill="accent1" w:themeFillTint="33"/>
      </w:tcPr>
    </w:tblStylePr>
    <w:tblStylePr w:type="band1Horz">
      <w:tblPr/>
      <w:tcPr>
        <w:shd w:val="clear" w:color="000000" w:fill="ACD7F5" w:themeFill="accent1" w:themeFillTint="33"/>
      </w:tcPr>
    </w:tblStylePr>
  </w:style>
  <w:style w:type="table" w:styleId="ListTable2-Accent2">
    <w:name w:val="List Table 2 Accent 2"/>
    <w:basedOn w:val="TableNormal"/>
    <w:pPr>
      <w:spacing w:after="0" w:line="240" w:lineRule="auto"/>
    </w:pPr>
    <w:tblPr>
      <w:tblStyleRowBandSize w:val="1"/>
      <w:tblStyleColBandSize w:val="1"/>
      <w:tblBorders>
        <w:top w:val="single" w:sz="4" w:space="0" w:color="5FCDFF" w:themeColor="accent2" w:themeTint="99"/>
        <w:bottom w:val="single" w:sz="4" w:space="0" w:color="5FCDFF" w:themeColor="accent2" w:themeTint="99"/>
        <w:insideH w:val="single" w:sz="4" w:space="0" w:color="5FCDFF" w:themeColor="accent2" w:themeTint="99"/>
      </w:tblBorders>
    </w:tblPr>
    <w:tblStylePr w:type="firstRow">
      <w:rPr>
        <w:b/>
      </w:r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000000" w:fill="C9EEFF" w:themeFill="accent2" w:themeFillTint="33"/>
      </w:tcPr>
    </w:tblStylePr>
    <w:tblStylePr w:type="band1Horz">
      <w:tblPr/>
      <w:tcPr>
        <w:shd w:val="clear" w:color="000000" w:fill="C9EEFF" w:themeFill="accent2" w:themeFillTint="33"/>
      </w:tcPr>
    </w:tblStylePr>
  </w:style>
  <w:style w:type="table" w:styleId="ListTable2-Accent3">
    <w:name w:val="List Table 2 Accent 3"/>
    <w:basedOn w:val="TableNormal"/>
    <w:pPr>
      <w:spacing w:after="0" w:line="240" w:lineRule="auto"/>
    </w:pPr>
    <w:tblPr>
      <w:tblStyleRowBandSize w:val="1"/>
      <w:tblStyleColBandSize w:val="1"/>
      <w:tblBorders>
        <w:top w:val="single" w:sz="4" w:space="0" w:color="7A96FF" w:themeColor="accent3" w:themeTint="99"/>
        <w:bottom w:val="single" w:sz="4" w:space="0" w:color="7A96FF" w:themeColor="accent3" w:themeTint="99"/>
        <w:insideH w:val="single" w:sz="4" w:space="0" w:color="7A96FF" w:themeColor="accent3" w:themeTint="99"/>
      </w:tblBorders>
    </w:tblPr>
    <w:tblStylePr w:type="firstRow">
      <w:rPr>
        <w:b/>
      </w:r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000000" w:fill="D2DCFF" w:themeFill="accent3" w:themeFillTint="33"/>
      </w:tcPr>
    </w:tblStylePr>
    <w:tblStylePr w:type="band1Horz">
      <w:tblPr/>
      <w:tcPr>
        <w:shd w:val="clear" w:color="000000" w:fill="D2DCFF" w:themeFill="accent3" w:themeFillTint="33"/>
      </w:tcPr>
    </w:tblStylePr>
  </w:style>
  <w:style w:type="table" w:styleId="ListTable2-Accent4">
    <w:name w:val="List Table 2 Accent 4"/>
    <w:basedOn w:val="TableNormal"/>
    <w:pPr>
      <w:spacing w:after="0" w:line="240" w:lineRule="auto"/>
    </w:pPr>
    <w:tblPr>
      <w:tblStyleRowBandSize w:val="1"/>
      <w:tblStyleColBandSize w:val="1"/>
      <w:tblBorders>
        <w:top w:val="single" w:sz="4" w:space="0" w:color="CCEFF6" w:themeColor="accent4" w:themeTint="99"/>
        <w:bottom w:val="single" w:sz="4" w:space="0" w:color="CCEFF6" w:themeColor="accent4" w:themeTint="99"/>
        <w:insideH w:val="single" w:sz="4" w:space="0" w:color="CCEFF6" w:themeColor="accent4" w:themeTint="99"/>
      </w:tblBorders>
    </w:tblPr>
    <w:tblStylePr w:type="firstRow">
      <w:rPr>
        <w:b/>
      </w:r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000000" w:fill="EEF9FC" w:themeFill="accent4" w:themeFillTint="33"/>
      </w:tcPr>
    </w:tblStylePr>
    <w:tblStylePr w:type="band1Horz">
      <w:tblPr/>
      <w:tcPr>
        <w:shd w:val="clear" w:color="000000" w:fill="EEF9FC" w:themeFill="accent4" w:themeFillTint="33"/>
      </w:tcPr>
    </w:tblStylePr>
  </w:style>
  <w:style w:type="table" w:styleId="ListTable2-Accent5">
    <w:name w:val="List Table 2 Accent 5"/>
    <w:basedOn w:val="TableNormal"/>
    <w:pPr>
      <w:spacing w:after="0" w:line="240" w:lineRule="auto"/>
    </w:pPr>
    <w:tblPr>
      <w:tblStyleRowBandSize w:val="1"/>
      <w:tblStyleColBandSize w:val="1"/>
      <w:tblBorders>
        <w:top w:val="single" w:sz="4" w:space="0" w:color="85C2D6" w:themeColor="accent5" w:themeTint="99"/>
        <w:bottom w:val="single" w:sz="4" w:space="0" w:color="85C2D6" w:themeColor="accent5" w:themeTint="99"/>
        <w:insideH w:val="single" w:sz="4" w:space="0" w:color="85C2D6" w:themeColor="accent5" w:themeTint="99"/>
      </w:tblBorders>
    </w:tblPr>
    <w:tblStylePr w:type="firstRow">
      <w:rPr>
        <w:b/>
      </w:r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000000" w:fill="D6EAF1" w:themeFill="accent5" w:themeFillTint="33"/>
      </w:tcPr>
    </w:tblStylePr>
    <w:tblStylePr w:type="band1Horz">
      <w:tblPr/>
      <w:tcPr>
        <w:shd w:val="clear" w:color="000000" w:fill="D6EAF1" w:themeFill="accent5" w:themeFillTint="33"/>
      </w:tcPr>
    </w:tblStylePr>
  </w:style>
  <w:style w:type="table" w:styleId="ListTable2-Accent6">
    <w:name w:val="List Table 2 Accent 6"/>
    <w:basedOn w:val="TableNormal"/>
    <w:pPr>
      <w:spacing w:after="0" w:line="240" w:lineRule="auto"/>
    </w:pPr>
    <w:tblPr>
      <w:tblStyleRowBandSize w:val="1"/>
      <w:tblStyleColBandSize w:val="1"/>
      <w:tblBorders>
        <w:top w:val="single" w:sz="4" w:space="0" w:color="CFDAFF" w:themeColor="accent6" w:themeTint="99"/>
        <w:bottom w:val="single" w:sz="4" w:space="0" w:color="CFDAFF" w:themeColor="accent6" w:themeTint="99"/>
        <w:insideH w:val="single" w:sz="4" w:space="0" w:color="CFDAFF" w:themeColor="accent6" w:themeTint="99"/>
      </w:tblBorders>
    </w:tblPr>
    <w:tblStylePr w:type="firstRow">
      <w:rPr>
        <w:b/>
      </w:r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000000" w:fill="EFF2FF" w:themeFill="accent6" w:themeFillTint="33"/>
      </w:tcPr>
    </w:tblStylePr>
    <w:tblStylePr w:type="band1Horz">
      <w:tblPr/>
      <w:tcPr>
        <w:shd w:val="clear" w:color="000000" w:fill="EFF2FF" w:themeFill="accent6" w:themeFillTint="33"/>
      </w:tcPr>
    </w:tblStylePr>
  </w:style>
  <w:style w:type="table" w:styleId="ListTable3">
    <w:name w:val="List Table 3"/>
    <w:basedOn w:val="TableNormal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color w:val="FFFFFF" w:themeColor="background1"/>
      </w:rPr>
      <w:tblPr/>
      <w:tcPr>
        <w:shd w:val="clear" w:color="000000" w:fill="000000" w:themeFill="text1"/>
      </w:tcPr>
    </w:tblStylePr>
    <w:tblStylePr w:type="lastRow">
      <w:rPr>
        <w:b/>
      </w:rPr>
      <w:tblPr/>
      <w:tcPr>
        <w:tcBorders>
          <w:top w:val="double" w:sz="4" w:space="0" w:color="000000" w:themeColor="text1"/>
        </w:tcBorders>
        <w:shd w:val="clear" w:color="000000" w:fill="FFFFFF" w:themeFill="background1"/>
      </w:tcPr>
    </w:tblStylePr>
    <w:tblStylePr w:type="firstCol">
      <w:rPr>
        <w:b/>
      </w:rPr>
      <w:tblPr/>
      <w:tcPr>
        <w:tcBorders>
          <w:right w:val="nil"/>
        </w:tcBorders>
        <w:shd w:val="clear" w:color="000000" w:fill="FFFFFF" w:themeFill="background1"/>
      </w:tcPr>
    </w:tblStylePr>
    <w:tblStylePr w:type="lastCol">
      <w:rPr>
        <w:b/>
      </w:rPr>
      <w:tblPr/>
      <w:tcPr>
        <w:tcBorders>
          <w:left w:val="nil"/>
        </w:tcBorders>
        <w:shd w:val="clear" w:color="000000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pPr>
      <w:spacing w:after="0" w:line="240" w:lineRule="auto"/>
    </w:pPr>
    <w:tblPr>
      <w:tblStyleRowBandSize w:val="1"/>
      <w:tblStyleColBandSize w:val="1"/>
      <w:tblBorders>
        <w:top w:val="single" w:sz="4" w:space="0" w:color="051C2C" w:themeColor="accent1"/>
        <w:left w:val="single" w:sz="4" w:space="0" w:color="051C2C" w:themeColor="accent1"/>
        <w:bottom w:val="single" w:sz="4" w:space="0" w:color="051C2C" w:themeColor="accent1"/>
        <w:right w:val="single" w:sz="4" w:space="0" w:color="051C2C" w:themeColor="accent1"/>
      </w:tblBorders>
    </w:tblPr>
    <w:tblStylePr w:type="firstRow">
      <w:rPr>
        <w:b/>
        <w:color w:val="FFFFFF" w:themeColor="background1"/>
      </w:rPr>
      <w:tblPr/>
      <w:tcPr>
        <w:shd w:val="clear" w:color="000000" w:fill="051C2C" w:themeFill="accent1"/>
      </w:tcPr>
    </w:tblStylePr>
    <w:tblStylePr w:type="lastRow">
      <w:rPr>
        <w:b/>
      </w:rPr>
      <w:tblPr/>
      <w:tcPr>
        <w:tcBorders>
          <w:top w:val="double" w:sz="4" w:space="0" w:color="051C2C" w:themeColor="accent1"/>
        </w:tcBorders>
        <w:shd w:val="clear" w:color="000000" w:fill="FFFFFF" w:themeFill="background1"/>
      </w:tcPr>
    </w:tblStylePr>
    <w:tblStylePr w:type="firstCol">
      <w:rPr>
        <w:b/>
      </w:rPr>
      <w:tblPr/>
      <w:tcPr>
        <w:tcBorders>
          <w:right w:val="nil"/>
        </w:tcBorders>
        <w:shd w:val="clear" w:color="000000" w:fill="FFFFFF" w:themeFill="background1"/>
      </w:tcPr>
    </w:tblStylePr>
    <w:tblStylePr w:type="lastCol">
      <w:rPr>
        <w:b/>
      </w:rPr>
      <w:tblPr/>
      <w:tcPr>
        <w:tcBorders>
          <w:left w:val="nil"/>
        </w:tcBorders>
        <w:shd w:val="clear" w:color="000000" w:fill="FFFFFF" w:themeFill="background1"/>
      </w:tcPr>
    </w:tblStylePr>
    <w:tblStylePr w:type="band1Vert">
      <w:tblPr/>
      <w:tcPr>
        <w:tcBorders>
          <w:left w:val="single" w:sz="4" w:space="0" w:color="051C2C" w:themeColor="accent1"/>
          <w:right w:val="single" w:sz="4" w:space="0" w:color="051C2C" w:themeColor="accent1"/>
        </w:tcBorders>
      </w:tcPr>
    </w:tblStylePr>
    <w:tblStylePr w:type="band1Horz">
      <w:tblPr/>
      <w:tcPr>
        <w:tcBorders>
          <w:top w:val="single" w:sz="4" w:space="0" w:color="051C2C" w:themeColor="accent1"/>
          <w:bottom w:val="single" w:sz="4" w:space="0" w:color="051C2C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51C2C" w:themeColor="accent1"/>
          <w:left w:val="nil"/>
        </w:tcBorders>
      </w:tcPr>
    </w:tblStylePr>
    <w:tblStylePr w:type="swCell">
      <w:tblPr/>
      <w:tcPr>
        <w:tcBorders>
          <w:top w:val="double" w:sz="4" w:space="0" w:color="051C2C" w:themeColor="accent1"/>
          <w:right w:val="nil"/>
        </w:tcBorders>
      </w:tcPr>
    </w:tblStylePr>
  </w:style>
  <w:style w:type="table" w:styleId="ListTable3-Accent2">
    <w:name w:val="List Table 3 Accent 2"/>
    <w:basedOn w:val="TableNormal"/>
    <w:pPr>
      <w:spacing w:after="0" w:line="240" w:lineRule="auto"/>
    </w:pPr>
    <w:tblPr>
      <w:tblStyleRowBandSize w:val="1"/>
      <w:tblStyleColBandSize w:val="1"/>
      <w:tblBorders>
        <w:top w:val="single" w:sz="4" w:space="0" w:color="00A9F4" w:themeColor="accent2"/>
        <w:left w:val="single" w:sz="4" w:space="0" w:color="00A9F4" w:themeColor="accent2"/>
        <w:bottom w:val="single" w:sz="4" w:space="0" w:color="00A9F4" w:themeColor="accent2"/>
        <w:right w:val="single" w:sz="4" w:space="0" w:color="00A9F4" w:themeColor="accent2"/>
      </w:tblBorders>
    </w:tblPr>
    <w:tblStylePr w:type="firstRow">
      <w:rPr>
        <w:b/>
        <w:color w:val="FFFFFF" w:themeColor="background1"/>
      </w:rPr>
      <w:tblPr/>
      <w:tcPr>
        <w:shd w:val="clear" w:color="000000" w:fill="00A9F4" w:themeFill="accent2"/>
      </w:tcPr>
    </w:tblStylePr>
    <w:tblStylePr w:type="lastRow">
      <w:rPr>
        <w:b/>
      </w:rPr>
      <w:tblPr/>
      <w:tcPr>
        <w:tcBorders>
          <w:top w:val="double" w:sz="4" w:space="0" w:color="00A9F4" w:themeColor="accent2"/>
        </w:tcBorders>
        <w:shd w:val="clear" w:color="000000" w:fill="FFFFFF" w:themeFill="background1"/>
      </w:tcPr>
    </w:tblStylePr>
    <w:tblStylePr w:type="firstCol">
      <w:rPr>
        <w:b/>
      </w:rPr>
      <w:tblPr/>
      <w:tcPr>
        <w:tcBorders>
          <w:right w:val="nil"/>
        </w:tcBorders>
        <w:shd w:val="clear" w:color="000000" w:fill="FFFFFF" w:themeFill="background1"/>
      </w:tcPr>
    </w:tblStylePr>
    <w:tblStylePr w:type="lastCol">
      <w:rPr>
        <w:b/>
      </w:rPr>
      <w:tblPr/>
      <w:tcPr>
        <w:tcBorders>
          <w:left w:val="nil"/>
        </w:tcBorders>
        <w:shd w:val="clear" w:color="000000" w:fill="FFFFFF" w:themeFill="background1"/>
      </w:tcPr>
    </w:tblStylePr>
    <w:tblStylePr w:type="band1Vert">
      <w:tblPr/>
      <w:tcPr>
        <w:tcBorders>
          <w:left w:val="single" w:sz="4" w:space="0" w:color="00A9F4" w:themeColor="accent2"/>
          <w:right w:val="single" w:sz="4" w:space="0" w:color="00A9F4" w:themeColor="accent2"/>
        </w:tcBorders>
      </w:tcPr>
    </w:tblStylePr>
    <w:tblStylePr w:type="band1Horz">
      <w:tblPr/>
      <w:tcPr>
        <w:tcBorders>
          <w:top w:val="single" w:sz="4" w:space="0" w:color="00A9F4" w:themeColor="accent2"/>
          <w:bottom w:val="single" w:sz="4" w:space="0" w:color="00A9F4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A9F4" w:themeColor="accent2"/>
          <w:left w:val="nil"/>
        </w:tcBorders>
      </w:tcPr>
    </w:tblStylePr>
    <w:tblStylePr w:type="swCell">
      <w:tblPr/>
      <w:tcPr>
        <w:tcBorders>
          <w:top w:val="double" w:sz="4" w:space="0" w:color="00A9F4" w:themeColor="accent2"/>
          <w:right w:val="nil"/>
        </w:tcBorders>
      </w:tcPr>
    </w:tblStylePr>
  </w:style>
  <w:style w:type="table" w:styleId="ListTable3-Accent3">
    <w:name w:val="List Table 3 Accent 3"/>
    <w:basedOn w:val="TableNormal"/>
    <w:pPr>
      <w:spacing w:after="0" w:line="240" w:lineRule="auto"/>
    </w:pPr>
    <w:tblPr>
      <w:tblStyleRowBandSize w:val="1"/>
      <w:tblStyleColBandSize w:val="1"/>
      <w:tblBorders>
        <w:top w:val="single" w:sz="4" w:space="0" w:color="2251FF" w:themeColor="accent3"/>
        <w:left w:val="single" w:sz="4" w:space="0" w:color="2251FF" w:themeColor="accent3"/>
        <w:bottom w:val="single" w:sz="4" w:space="0" w:color="2251FF" w:themeColor="accent3"/>
        <w:right w:val="single" w:sz="4" w:space="0" w:color="2251FF" w:themeColor="accent3"/>
      </w:tblBorders>
    </w:tblPr>
    <w:tblStylePr w:type="firstRow">
      <w:rPr>
        <w:b/>
        <w:color w:val="FFFFFF" w:themeColor="background1"/>
      </w:rPr>
      <w:tblPr/>
      <w:tcPr>
        <w:shd w:val="clear" w:color="000000" w:fill="2251FF" w:themeFill="accent3"/>
      </w:tcPr>
    </w:tblStylePr>
    <w:tblStylePr w:type="lastRow">
      <w:rPr>
        <w:b/>
      </w:rPr>
      <w:tblPr/>
      <w:tcPr>
        <w:tcBorders>
          <w:top w:val="double" w:sz="4" w:space="0" w:color="2251FF" w:themeColor="accent3"/>
        </w:tcBorders>
        <w:shd w:val="clear" w:color="000000" w:fill="FFFFFF" w:themeFill="background1"/>
      </w:tcPr>
    </w:tblStylePr>
    <w:tblStylePr w:type="firstCol">
      <w:rPr>
        <w:b/>
      </w:rPr>
      <w:tblPr/>
      <w:tcPr>
        <w:tcBorders>
          <w:right w:val="nil"/>
        </w:tcBorders>
        <w:shd w:val="clear" w:color="000000" w:fill="FFFFFF" w:themeFill="background1"/>
      </w:tcPr>
    </w:tblStylePr>
    <w:tblStylePr w:type="lastCol">
      <w:rPr>
        <w:b/>
      </w:rPr>
      <w:tblPr/>
      <w:tcPr>
        <w:tcBorders>
          <w:left w:val="nil"/>
        </w:tcBorders>
        <w:shd w:val="clear" w:color="000000" w:fill="FFFFFF" w:themeFill="background1"/>
      </w:tcPr>
    </w:tblStylePr>
    <w:tblStylePr w:type="band1Vert">
      <w:tblPr/>
      <w:tcPr>
        <w:tcBorders>
          <w:left w:val="single" w:sz="4" w:space="0" w:color="2251FF" w:themeColor="accent3"/>
          <w:right w:val="single" w:sz="4" w:space="0" w:color="2251FF" w:themeColor="accent3"/>
        </w:tcBorders>
      </w:tcPr>
    </w:tblStylePr>
    <w:tblStylePr w:type="band1Horz">
      <w:tblPr/>
      <w:tcPr>
        <w:tcBorders>
          <w:top w:val="single" w:sz="4" w:space="0" w:color="2251FF" w:themeColor="accent3"/>
          <w:bottom w:val="single" w:sz="4" w:space="0" w:color="2251FF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2251FF" w:themeColor="accent3"/>
          <w:left w:val="nil"/>
        </w:tcBorders>
      </w:tcPr>
    </w:tblStylePr>
    <w:tblStylePr w:type="swCell">
      <w:tblPr/>
      <w:tcPr>
        <w:tcBorders>
          <w:top w:val="double" w:sz="4" w:space="0" w:color="2251FF" w:themeColor="accent3"/>
          <w:right w:val="nil"/>
        </w:tcBorders>
      </w:tcPr>
    </w:tblStylePr>
  </w:style>
  <w:style w:type="table" w:styleId="ListTable3-Accent4">
    <w:name w:val="List Table 3 Accent 4"/>
    <w:basedOn w:val="TableNormal"/>
    <w:pPr>
      <w:spacing w:after="0" w:line="240" w:lineRule="auto"/>
    </w:pPr>
    <w:tblPr>
      <w:tblStyleRowBandSize w:val="1"/>
      <w:tblStyleColBandSize w:val="1"/>
      <w:tblBorders>
        <w:top w:val="single" w:sz="4" w:space="0" w:color="AAE6F0" w:themeColor="accent4"/>
        <w:left w:val="single" w:sz="4" w:space="0" w:color="AAE6F0" w:themeColor="accent4"/>
        <w:bottom w:val="single" w:sz="4" w:space="0" w:color="AAE6F0" w:themeColor="accent4"/>
        <w:right w:val="single" w:sz="4" w:space="0" w:color="AAE6F0" w:themeColor="accent4"/>
      </w:tblBorders>
    </w:tblPr>
    <w:tblStylePr w:type="firstRow">
      <w:rPr>
        <w:b/>
        <w:color w:val="FFFFFF" w:themeColor="background1"/>
      </w:rPr>
      <w:tblPr/>
      <w:tcPr>
        <w:shd w:val="clear" w:color="000000" w:fill="AAE6F0" w:themeFill="accent4"/>
      </w:tcPr>
    </w:tblStylePr>
    <w:tblStylePr w:type="lastRow">
      <w:rPr>
        <w:b/>
      </w:rPr>
      <w:tblPr/>
      <w:tcPr>
        <w:tcBorders>
          <w:top w:val="double" w:sz="4" w:space="0" w:color="AAE6F0" w:themeColor="accent4"/>
        </w:tcBorders>
        <w:shd w:val="clear" w:color="000000" w:fill="FFFFFF" w:themeFill="background1"/>
      </w:tcPr>
    </w:tblStylePr>
    <w:tblStylePr w:type="firstCol">
      <w:rPr>
        <w:b/>
      </w:rPr>
      <w:tblPr/>
      <w:tcPr>
        <w:tcBorders>
          <w:right w:val="nil"/>
        </w:tcBorders>
        <w:shd w:val="clear" w:color="000000" w:fill="FFFFFF" w:themeFill="background1"/>
      </w:tcPr>
    </w:tblStylePr>
    <w:tblStylePr w:type="lastCol">
      <w:rPr>
        <w:b/>
      </w:rPr>
      <w:tblPr/>
      <w:tcPr>
        <w:tcBorders>
          <w:left w:val="nil"/>
        </w:tcBorders>
        <w:shd w:val="clear" w:color="000000" w:fill="FFFFFF" w:themeFill="background1"/>
      </w:tcPr>
    </w:tblStylePr>
    <w:tblStylePr w:type="band1Vert">
      <w:tblPr/>
      <w:tcPr>
        <w:tcBorders>
          <w:left w:val="single" w:sz="4" w:space="0" w:color="AAE6F0" w:themeColor="accent4"/>
          <w:right w:val="single" w:sz="4" w:space="0" w:color="AAE6F0" w:themeColor="accent4"/>
        </w:tcBorders>
      </w:tcPr>
    </w:tblStylePr>
    <w:tblStylePr w:type="band1Horz">
      <w:tblPr/>
      <w:tcPr>
        <w:tcBorders>
          <w:top w:val="single" w:sz="4" w:space="0" w:color="AAE6F0" w:themeColor="accent4"/>
          <w:bottom w:val="single" w:sz="4" w:space="0" w:color="AAE6F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AE6F0" w:themeColor="accent4"/>
          <w:left w:val="nil"/>
        </w:tcBorders>
      </w:tcPr>
    </w:tblStylePr>
    <w:tblStylePr w:type="swCell">
      <w:tblPr/>
      <w:tcPr>
        <w:tcBorders>
          <w:top w:val="double" w:sz="4" w:space="0" w:color="AAE6F0" w:themeColor="accent4"/>
          <w:right w:val="nil"/>
        </w:tcBorders>
      </w:tcPr>
    </w:tblStylePr>
  </w:style>
  <w:style w:type="table" w:styleId="ListTable3-Accent5">
    <w:name w:val="List Table 3 Accent 5"/>
    <w:basedOn w:val="TableNormal"/>
    <w:pPr>
      <w:spacing w:after="0" w:line="240" w:lineRule="auto"/>
    </w:pPr>
    <w:tblPr>
      <w:tblStyleRowBandSize w:val="1"/>
      <w:tblStyleColBandSize w:val="1"/>
      <w:tblBorders>
        <w:top w:val="single" w:sz="4" w:space="0" w:color="3C96B4" w:themeColor="accent5"/>
        <w:left w:val="single" w:sz="4" w:space="0" w:color="3C96B4" w:themeColor="accent5"/>
        <w:bottom w:val="single" w:sz="4" w:space="0" w:color="3C96B4" w:themeColor="accent5"/>
        <w:right w:val="single" w:sz="4" w:space="0" w:color="3C96B4" w:themeColor="accent5"/>
      </w:tblBorders>
    </w:tblPr>
    <w:tblStylePr w:type="firstRow">
      <w:rPr>
        <w:b/>
        <w:color w:val="FFFFFF" w:themeColor="background1"/>
      </w:rPr>
      <w:tblPr/>
      <w:tcPr>
        <w:shd w:val="clear" w:color="000000" w:fill="3C96B4" w:themeFill="accent5"/>
      </w:tcPr>
    </w:tblStylePr>
    <w:tblStylePr w:type="lastRow">
      <w:rPr>
        <w:b/>
      </w:rPr>
      <w:tblPr/>
      <w:tcPr>
        <w:tcBorders>
          <w:top w:val="double" w:sz="4" w:space="0" w:color="3C96B4" w:themeColor="accent5"/>
        </w:tcBorders>
        <w:shd w:val="clear" w:color="000000" w:fill="FFFFFF" w:themeFill="background1"/>
      </w:tcPr>
    </w:tblStylePr>
    <w:tblStylePr w:type="firstCol">
      <w:rPr>
        <w:b/>
      </w:rPr>
      <w:tblPr/>
      <w:tcPr>
        <w:tcBorders>
          <w:right w:val="nil"/>
        </w:tcBorders>
        <w:shd w:val="clear" w:color="000000" w:fill="FFFFFF" w:themeFill="background1"/>
      </w:tcPr>
    </w:tblStylePr>
    <w:tblStylePr w:type="lastCol">
      <w:rPr>
        <w:b/>
      </w:rPr>
      <w:tblPr/>
      <w:tcPr>
        <w:tcBorders>
          <w:left w:val="nil"/>
        </w:tcBorders>
        <w:shd w:val="clear" w:color="000000" w:fill="FFFFFF" w:themeFill="background1"/>
      </w:tcPr>
    </w:tblStylePr>
    <w:tblStylePr w:type="band1Vert">
      <w:tblPr/>
      <w:tcPr>
        <w:tcBorders>
          <w:left w:val="single" w:sz="4" w:space="0" w:color="3C96B4" w:themeColor="accent5"/>
          <w:right w:val="single" w:sz="4" w:space="0" w:color="3C96B4" w:themeColor="accent5"/>
        </w:tcBorders>
      </w:tcPr>
    </w:tblStylePr>
    <w:tblStylePr w:type="band1Horz">
      <w:tblPr/>
      <w:tcPr>
        <w:tcBorders>
          <w:top w:val="single" w:sz="4" w:space="0" w:color="3C96B4" w:themeColor="accent5"/>
          <w:bottom w:val="single" w:sz="4" w:space="0" w:color="3C96B4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C96B4" w:themeColor="accent5"/>
          <w:left w:val="nil"/>
        </w:tcBorders>
      </w:tcPr>
    </w:tblStylePr>
    <w:tblStylePr w:type="swCell">
      <w:tblPr/>
      <w:tcPr>
        <w:tcBorders>
          <w:top w:val="double" w:sz="4" w:space="0" w:color="3C96B4" w:themeColor="accent5"/>
          <w:right w:val="nil"/>
        </w:tcBorders>
      </w:tcPr>
    </w:tblStylePr>
  </w:style>
  <w:style w:type="table" w:styleId="ListTable3-Accent6">
    <w:name w:val="List Table 3 Accent 6"/>
    <w:basedOn w:val="TableNormal"/>
    <w:pPr>
      <w:spacing w:after="0" w:line="240" w:lineRule="auto"/>
    </w:pPr>
    <w:tblPr>
      <w:tblStyleRowBandSize w:val="1"/>
      <w:tblStyleColBandSize w:val="1"/>
      <w:tblBorders>
        <w:top w:val="single" w:sz="4" w:space="0" w:color="AFC3FF" w:themeColor="accent6"/>
        <w:left w:val="single" w:sz="4" w:space="0" w:color="AFC3FF" w:themeColor="accent6"/>
        <w:bottom w:val="single" w:sz="4" w:space="0" w:color="AFC3FF" w:themeColor="accent6"/>
        <w:right w:val="single" w:sz="4" w:space="0" w:color="AFC3FF" w:themeColor="accent6"/>
      </w:tblBorders>
    </w:tblPr>
    <w:tblStylePr w:type="firstRow">
      <w:rPr>
        <w:b/>
        <w:color w:val="FFFFFF" w:themeColor="background1"/>
      </w:rPr>
      <w:tblPr/>
      <w:tcPr>
        <w:shd w:val="clear" w:color="000000" w:fill="AFC3FF" w:themeFill="accent6"/>
      </w:tcPr>
    </w:tblStylePr>
    <w:tblStylePr w:type="lastRow">
      <w:rPr>
        <w:b/>
      </w:rPr>
      <w:tblPr/>
      <w:tcPr>
        <w:tcBorders>
          <w:top w:val="double" w:sz="4" w:space="0" w:color="AFC3FF" w:themeColor="accent6"/>
        </w:tcBorders>
        <w:shd w:val="clear" w:color="000000" w:fill="FFFFFF" w:themeFill="background1"/>
      </w:tcPr>
    </w:tblStylePr>
    <w:tblStylePr w:type="firstCol">
      <w:rPr>
        <w:b/>
      </w:rPr>
      <w:tblPr/>
      <w:tcPr>
        <w:tcBorders>
          <w:right w:val="nil"/>
        </w:tcBorders>
        <w:shd w:val="clear" w:color="000000" w:fill="FFFFFF" w:themeFill="background1"/>
      </w:tcPr>
    </w:tblStylePr>
    <w:tblStylePr w:type="lastCol">
      <w:rPr>
        <w:b/>
      </w:rPr>
      <w:tblPr/>
      <w:tcPr>
        <w:tcBorders>
          <w:left w:val="nil"/>
        </w:tcBorders>
        <w:shd w:val="clear" w:color="000000" w:fill="FFFFFF" w:themeFill="background1"/>
      </w:tcPr>
    </w:tblStylePr>
    <w:tblStylePr w:type="band1Vert">
      <w:tblPr/>
      <w:tcPr>
        <w:tcBorders>
          <w:left w:val="single" w:sz="4" w:space="0" w:color="AFC3FF" w:themeColor="accent6"/>
          <w:right w:val="single" w:sz="4" w:space="0" w:color="AFC3FF" w:themeColor="accent6"/>
        </w:tcBorders>
      </w:tcPr>
    </w:tblStylePr>
    <w:tblStylePr w:type="band1Horz">
      <w:tblPr/>
      <w:tcPr>
        <w:tcBorders>
          <w:top w:val="single" w:sz="4" w:space="0" w:color="AFC3FF" w:themeColor="accent6"/>
          <w:bottom w:val="single" w:sz="4" w:space="0" w:color="AFC3FF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FC3FF" w:themeColor="accent6"/>
          <w:left w:val="nil"/>
        </w:tcBorders>
      </w:tcPr>
    </w:tblStylePr>
    <w:tblStylePr w:type="swCell">
      <w:tblPr/>
      <w:tcPr>
        <w:tcBorders>
          <w:top w:val="double" w:sz="4" w:space="0" w:color="AFC3FF" w:themeColor="accent6"/>
          <w:right w:val="nil"/>
        </w:tcBorders>
      </w:tcPr>
    </w:tblStylePr>
  </w:style>
  <w:style w:type="table" w:styleId="ListTable4">
    <w:name w:val="List Table 4"/>
    <w:basedOn w:val="TableNormal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000000" w:fill="000000" w:themeFill="text1"/>
      </w:tcPr>
    </w:tblStylePr>
    <w:tblStylePr w:type="lastRow">
      <w:rPr>
        <w:b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000000" w:fill="CCCCCC" w:themeFill="text1" w:themeFillTint="33"/>
      </w:tcPr>
    </w:tblStylePr>
    <w:tblStylePr w:type="band1Horz">
      <w:tblPr/>
      <w:tcPr>
        <w:shd w:val="clear" w:color="000000" w:fill="CCCCCC" w:themeFill="text1" w:themeFillTint="33"/>
      </w:tcPr>
    </w:tblStylePr>
  </w:style>
  <w:style w:type="table" w:styleId="ListTable4-Accent1">
    <w:name w:val="List Table 4 Accent 1"/>
    <w:basedOn w:val="TableNormal"/>
    <w:pPr>
      <w:spacing w:after="0" w:line="240" w:lineRule="auto"/>
    </w:pPr>
    <w:tblPr>
      <w:tblStyleRowBandSize w:val="1"/>
      <w:tblStyleColBandSize w:val="1"/>
      <w:tblBorders>
        <w:top w:val="single" w:sz="4" w:space="0" w:color="1885D1" w:themeColor="accent1" w:themeTint="99"/>
        <w:left w:val="single" w:sz="4" w:space="0" w:color="1885D1" w:themeColor="accent1" w:themeTint="99"/>
        <w:bottom w:val="single" w:sz="4" w:space="0" w:color="1885D1" w:themeColor="accent1" w:themeTint="99"/>
        <w:right w:val="single" w:sz="4" w:space="0" w:color="1885D1" w:themeColor="accent1" w:themeTint="99"/>
        <w:insideH w:val="single" w:sz="4" w:space="0" w:color="1885D1" w:themeColor="accent1" w:themeTint="99"/>
      </w:tblBorders>
    </w:tblPr>
    <w:tblStylePr w:type="firstRow">
      <w:rPr>
        <w:b/>
        <w:color w:val="FFFFFF" w:themeColor="background1"/>
      </w:rPr>
      <w:tblPr/>
      <w:tcPr>
        <w:tcBorders>
          <w:top w:val="single" w:sz="4" w:space="0" w:color="051C2C" w:themeColor="accent1"/>
          <w:left w:val="single" w:sz="4" w:space="0" w:color="051C2C" w:themeColor="accent1"/>
          <w:bottom w:val="single" w:sz="4" w:space="0" w:color="051C2C" w:themeColor="accent1"/>
          <w:right w:val="single" w:sz="4" w:space="0" w:color="051C2C" w:themeColor="accent1"/>
          <w:insideH w:val="nil"/>
        </w:tcBorders>
        <w:shd w:val="clear" w:color="000000" w:fill="051C2C" w:themeFill="accent1"/>
      </w:tcPr>
    </w:tblStylePr>
    <w:tblStylePr w:type="lastRow">
      <w:rPr>
        <w:b/>
      </w:rPr>
      <w:tblPr/>
      <w:tcPr>
        <w:tcBorders>
          <w:top w:val="double" w:sz="4" w:space="0" w:color="1885D1" w:themeColor="accent1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000000" w:fill="ACD7F5" w:themeFill="accent1" w:themeFillTint="33"/>
      </w:tcPr>
    </w:tblStylePr>
    <w:tblStylePr w:type="band1Horz">
      <w:tblPr/>
      <w:tcPr>
        <w:shd w:val="clear" w:color="000000" w:fill="ACD7F5" w:themeFill="accent1" w:themeFillTint="33"/>
      </w:tcPr>
    </w:tblStylePr>
  </w:style>
  <w:style w:type="table" w:styleId="ListTable4-Accent2">
    <w:name w:val="List Table 4 Accent 2"/>
    <w:basedOn w:val="TableNormal"/>
    <w:pPr>
      <w:spacing w:after="0" w:line="240" w:lineRule="auto"/>
    </w:pPr>
    <w:tblPr>
      <w:tblStyleRowBandSize w:val="1"/>
      <w:tblStyleColBandSize w:val="1"/>
      <w:tblBorders>
        <w:top w:val="single" w:sz="4" w:space="0" w:color="5FCDFF" w:themeColor="accent2" w:themeTint="99"/>
        <w:left w:val="single" w:sz="4" w:space="0" w:color="5FCDFF" w:themeColor="accent2" w:themeTint="99"/>
        <w:bottom w:val="single" w:sz="4" w:space="0" w:color="5FCDFF" w:themeColor="accent2" w:themeTint="99"/>
        <w:right w:val="single" w:sz="4" w:space="0" w:color="5FCDFF" w:themeColor="accent2" w:themeTint="99"/>
        <w:insideH w:val="single" w:sz="4" w:space="0" w:color="5FCDFF" w:themeColor="accent2" w:themeTint="99"/>
      </w:tblBorders>
    </w:tblPr>
    <w:tblStylePr w:type="firstRow">
      <w:rPr>
        <w:b/>
        <w:color w:val="FFFFFF" w:themeColor="background1"/>
      </w:rPr>
      <w:tblPr/>
      <w:tcPr>
        <w:tcBorders>
          <w:top w:val="single" w:sz="4" w:space="0" w:color="00A9F4" w:themeColor="accent2"/>
          <w:left w:val="single" w:sz="4" w:space="0" w:color="00A9F4" w:themeColor="accent2"/>
          <w:bottom w:val="single" w:sz="4" w:space="0" w:color="00A9F4" w:themeColor="accent2"/>
          <w:right w:val="single" w:sz="4" w:space="0" w:color="00A9F4" w:themeColor="accent2"/>
          <w:insideH w:val="nil"/>
        </w:tcBorders>
        <w:shd w:val="clear" w:color="000000" w:fill="00A9F4" w:themeFill="accent2"/>
      </w:tcPr>
    </w:tblStylePr>
    <w:tblStylePr w:type="lastRow">
      <w:rPr>
        <w:b/>
      </w:rPr>
      <w:tblPr/>
      <w:tcPr>
        <w:tcBorders>
          <w:top w:val="double" w:sz="4" w:space="0" w:color="5FCDFF" w:themeColor="accent2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000000" w:fill="C9EEFF" w:themeFill="accent2" w:themeFillTint="33"/>
      </w:tcPr>
    </w:tblStylePr>
    <w:tblStylePr w:type="band1Horz">
      <w:tblPr/>
      <w:tcPr>
        <w:shd w:val="clear" w:color="000000" w:fill="C9EEFF" w:themeFill="accent2" w:themeFillTint="33"/>
      </w:tcPr>
    </w:tblStylePr>
  </w:style>
  <w:style w:type="table" w:styleId="ListTable4-Accent3">
    <w:name w:val="List Table 4 Accent 3"/>
    <w:basedOn w:val="TableNormal"/>
    <w:pPr>
      <w:spacing w:after="0" w:line="240" w:lineRule="auto"/>
    </w:pPr>
    <w:tblPr>
      <w:tblStyleRowBandSize w:val="1"/>
      <w:tblStyleColBandSize w:val="1"/>
      <w:tblBorders>
        <w:top w:val="single" w:sz="4" w:space="0" w:color="7A96FF" w:themeColor="accent3" w:themeTint="99"/>
        <w:left w:val="single" w:sz="4" w:space="0" w:color="7A96FF" w:themeColor="accent3" w:themeTint="99"/>
        <w:bottom w:val="single" w:sz="4" w:space="0" w:color="7A96FF" w:themeColor="accent3" w:themeTint="99"/>
        <w:right w:val="single" w:sz="4" w:space="0" w:color="7A96FF" w:themeColor="accent3" w:themeTint="99"/>
        <w:insideH w:val="single" w:sz="4" w:space="0" w:color="7A96FF" w:themeColor="accent3" w:themeTint="99"/>
      </w:tblBorders>
    </w:tblPr>
    <w:tblStylePr w:type="firstRow">
      <w:rPr>
        <w:b/>
        <w:color w:val="FFFFFF" w:themeColor="background1"/>
      </w:rPr>
      <w:tblPr/>
      <w:tcPr>
        <w:tcBorders>
          <w:top w:val="single" w:sz="4" w:space="0" w:color="2251FF" w:themeColor="accent3"/>
          <w:left w:val="single" w:sz="4" w:space="0" w:color="2251FF" w:themeColor="accent3"/>
          <w:bottom w:val="single" w:sz="4" w:space="0" w:color="2251FF" w:themeColor="accent3"/>
          <w:right w:val="single" w:sz="4" w:space="0" w:color="2251FF" w:themeColor="accent3"/>
          <w:insideH w:val="nil"/>
        </w:tcBorders>
        <w:shd w:val="clear" w:color="000000" w:fill="2251FF" w:themeFill="accent3"/>
      </w:tcPr>
    </w:tblStylePr>
    <w:tblStylePr w:type="lastRow">
      <w:rPr>
        <w:b/>
      </w:rPr>
      <w:tblPr/>
      <w:tcPr>
        <w:tcBorders>
          <w:top w:val="double" w:sz="4" w:space="0" w:color="7A96FF" w:themeColor="accent3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000000" w:fill="D2DCFF" w:themeFill="accent3" w:themeFillTint="33"/>
      </w:tcPr>
    </w:tblStylePr>
    <w:tblStylePr w:type="band1Horz">
      <w:tblPr/>
      <w:tcPr>
        <w:shd w:val="clear" w:color="000000" w:fill="D2DCFF" w:themeFill="accent3" w:themeFillTint="33"/>
      </w:tcPr>
    </w:tblStylePr>
  </w:style>
  <w:style w:type="table" w:styleId="ListTable4-Accent4">
    <w:name w:val="List Table 4 Accent 4"/>
    <w:basedOn w:val="TableNormal"/>
    <w:pPr>
      <w:spacing w:after="0" w:line="240" w:lineRule="auto"/>
    </w:pPr>
    <w:tblPr>
      <w:tblStyleRowBandSize w:val="1"/>
      <w:tblStyleColBandSize w:val="1"/>
      <w:tblBorders>
        <w:top w:val="single" w:sz="4" w:space="0" w:color="CCEFF6" w:themeColor="accent4" w:themeTint="99"/>
        <w:left w:val="single" w:sz="4" w:space="0" w:color="CCEFF6" w:themeColor="accent4" w:themeTint="99"/>
        <w:bottom w:val="single" w:sz="4" w:space="0" w:color="CCEFF6" w:themeColor="accent4" w:themeTint="99"/>
        <w:right w:val="single" w:sz="4" w:space="0" w:color="CCEFF6" w:themeColor="accent4" w:themeTint="99"/>
        <w:insideH w:val="single" w:sz="4" w:space="0" w:color="CCEFF6" w:themeColor="accent4" w:themeTint="99"/>
      </w:tblBorders>
    </w:tblPr>
    <w:tblStylePr w:type="firstRow">
      <w:rPr>
        <w:b/>
        <w:color w:val="FFFFFF" w:themeColor="background1"/>
      </w:rPr>
      <w:tblPr/>
      <w:tcPr>
        <w:tcBorders>
          <w:top w:val="single" w:sz="4" w:space="0" w:color="AAE6F0" w:themeColor="accent4"/>
          <w:left w:val="single" w:sz="4" w:space="0" w:color="AAE6F0" w:themeColor="accent4"/>
          <w:bottom w:val="single" w:sz="4" w:space="0" w:color="AAE6F0" w:themeColor="accent4"/>
          <w:right w:val="single" w:sz="4" w:space="0" w:color="AAE6F0" w:themeColor="accent4"/>
          <w:insideH w:val="nil"/>
        </w:tcBorders>
        <w:shd w:val="clear" w:color="000000" w:fill="AAE6F0" w:themeFill="accent4"/>
      </w:tcPr>
    </w:tblStylePr>
    <w:tblStylePr w:type="lastRow">
      <w:rPr>
        <w:b/>
      </w:rPr>
      <w:tblPr/>
      <w:tcPr>
        <w:tcBorders>
          <w:top w:val="double" w:sz="4" w:space="0" w:color="CCEFF6" w:themeColor="accent4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000000" w:fill="EEF9FC" w:themeFill="accent4" w:themeFillTint="33"/>
      </w:tcPr>
    </w:tblStylePr>
    <w:tblStylePr w:type="band1Horz">
      <w:tblPr/>
      <w:tcPr>
        <w:shd w:val="clear" w:color="000000" w:fill="EEF9FC" w:themeFill="accent4" w:themeFillTint="33"/>
      </w:tcPr>
    </w:tblStylePr>
  </w:style>
  <w:style w:type="table" w:styleId="ListTable4-Accent5">
    <w:name w:val="List Table 4 Accent 5"/>
    <w:basedOn w:val="TableNormal"/>
    <w:pPr>
      <w:spacing w:after="0" w:line="240" w:lineRule="auto"/>
    </w:pPr>
    <w:tblPr>
      <w:tblStyleRowBandSize w:val="1"/>
      <w:tblStyleColBandSize w:val="1"/>
      <w:tblBorders>
        <w:top w:val="single" w:sz="4" w:space="0" w:color="85C2D6" w:themeColor="accent5" w:themeTint="99"/>
        <w:left w:val="single" w:sz="4" w:space="0" w:color="85C2D6" w:themeColor="accent5" w:themeTint="99"/>
        <w:bottom w:val="single" w:sz="4" w:space="0" w:color="85C2D6" w:themeColor="accent5" w:themeTint="99"/>
        <w:right w:val="single" w:sz="4" w:space="0" w:color="85C2D6" w:themeColor="accent5" w:themeTint="99"/>
        <w:insideH w:val="single" w:sz="4" w:space="0" w:color="85C2D6" w:themeColor="accent5" w:themeTint="99"/>
      </w:tblBorders>
    </w:tblPr>
    <w:tblStylePr w:type="firstRow">
      <w:rPr>
        <w:b/>
        <w:color w:val="FFFFFF" w:themeColor="background1"/>
      </w:rPr>
      <w:tblPr/>
      <w:tcPr>
        <w:tcBorders>
          <w:top w:val="single" w:sz="4" w:space="0" w:color="3C96B4" w:themeColor="accent5"/>
          <w:left w:val="single" w:sz="4" w:space="0" w:color="3C96B4" w:themeColor="accent5"/>
          <w:bottom w:val="single" w:sz="4" w:space="0" w:color="3C96B4" w:themeColor="accent5"/>
          <w:right w:val="single" w:sz="4" w:space="0" w:color="3C96B4" w:themeColor="accent5"/>
          <w:insideH w:val="nil"/>
        </w:tcBorders>
        <w:shd w:val="clear" w:color="000000" w:fill="3C96B4" w:themeFill="accent5"/>
      </w:tcPr>
    </w:tblStylePr>
    <w:tblStylePr w:type="lastRow">
      <w:rPr>
        <w:b/>
      </w:rPr>
      <w:tblPr/>
      <w:tcPr>
        <w:tcBorders>
          <w:top w:val="double" w:sz="4" w:space="0" w:color="85C2D6" w:themeColor="accent5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000000" w:fill="D6EAF1" w:themeFill="accent5" w:themeFillTint="33"/>
      </w:tcPr>
    </w:tblStylePr>
    <w:tblStylePr w:type="band1Horz">
      <w:tblPr/>
      <w:tcPr>
        <w:shd w:val="clear" w:color="000000" w:fill="D6EAF1" w:themeFill="accent5" w:themeFillTint="33"/>
      </w:tcPr>
    </w:tblStylePr>
  </w:style>
  <w:style w:type="table" w:styleId="ListTable4-Accent6">
    <w:name w:val="List Table 4 Accent 6"/>
    <w:basedOn w:val="TableNormal"/>
    <w:pPr>
      <w:spacing w:after="0" w:line="240" w:lineRule="auto"/>
    </w:pPr>
    <w:tblPr>
      <w:tblStyleRowBandSize w:val="1"/>
      <w:tblStyleColBandSize w:val="1"/>
      <w:tblBorders>
        <w:top w:val="single" w:sz="4" w:space="0" w:color="CFDAFF" w:themeColor="accent6" w:themeTint="99"/>
        <w:left w:val="single" w:sz="4" w:space="0" w:color="CFDAFF" w:themeColor="accent6" w:themeTint="99"/>
        <w:bottom w:val="single" w:sz="4" w:space="0" w:color="CFDAFF" w:themeColor="accent6" w:themeTint="99"/>
        <w:right w:val="single" w:sz="4" w:space="0" w:color="CFDAFF" w:themeColor="accent6" w:themeTint="99"/>
        <w:insideH w:val="single" w:sz="4" w:space="0" w:color="CFDAFF" w:themeColor="accent6" w:themeTint="99"/>
      </w:tblBorders>
    </w:tblPr>
    <w:tblStylePr w:type="firstRow">
      <w:rPr>
        <w:b/>
        <w:color w:val="FFFFFF" w:themeColor="background1"/>
      </w:rPr>
      <w:tblPr/>
      <w:tcPr>
        <w:tcBorders>
          <w:top w:val="single" w:sz="4" w:space="0" w:color="AFC3FF" w:themeColor="accent6"/>
          <w:left w:val="single" w:sz="4" w:space="0" w:color="AFC3FF" w:themeColor="accent6"/>
          <w:bottom w:val="single" w:sz="4" w:space="0" w:color="AFC3FF" w:themeColor="accent6"/>
          <w:right w:val="single" w:sz="4" w:space="0" w:color="AFC3FF" w:themeColor="accent6"/>
          <w:insideH w:val="nil"/>
        </w:tcBorders>
        <w:shd w:val="clear" w:color="000000" w:fill="AFC3FF" w:themeFill="accent6"/>
      </w:tcPr>
    </w:tblStylePr>
    <w:tblStylePr w:type="lastRow">
      <w:rPr>
        <w:b/>
      </w:rPr>
      <w:tblPr/>
      <w:tcPr>
        <w:tcBorders>
          <w:top w:val="double" w:sz="4" w:space="0" w:color="CFDAFF" w:themeColor="accent6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000000" w:fill="EFF2FF" w:themeFill="accent6" w:themeFillTint="33"/>
      </w:tcPr>
    </w:tblStylePr>
    <w:tblStylePr w:type="band1Horz">
      <w:tblPr/>
      <w:tcPr>
        <w:shd w:val="clear" w:color="000000" w:fill="EFF2FF" w:themeFill="accent6" w:themeFillTint="33"/>
      </w:tcPr>
    </w:tblStylePr>
  </w:style>
  <w:style w:type="table" w:styleId="ListTable6Colorful">
    <w:name w:val="List Table 6 Colorful"/>
    <w:basedOn w:val="TableNormal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000000" w:fill="CCCCCC" w:themeFill="text1" w:themeFillTint="33"/>
      </w:tcPr>
    </w:tblStylePr>
    <w:tblStylePr w:type="band1Horz">
      <w:tblPr/>
      <w:tcPr>
        <w:shd w:val="clear" w:color="000000" w:fill="CCCCCC" w:themeFill="text1" w:themeFillTint="33"/>
      </w:tcPr>
    </w:tblStylePr>
  </w:style>
  <w:style w:type="table" w:styleId="ListTable6Colorful-Accent1">
    <w:name w:val="List Table 6 Colorful Accent 1"/>
    <w:basedOn w:val="TableNormal"/>
    <w:pPr>
      <w:spacing w:after="0" w:line="240" w:lineRule="auto"/>
    </w:pPr>
    <w:rPr>
      <w:color w:val="031420" w:themeColor="accent1" w:themeShade="BF"/>
    </w:rPr>
    <w:tblPr>
      <w:tblStyleRowBandSize w:val="1"/>
      <w:tblStyleColBandSize w:val="1"/>
      <w:tblBorders>
        <w:top w:val="single" w:sz="4" w:space="0" w:color="051C2C" w:themeColor="accent1"/>
        <w:bottom w:val="single" w:sz="4" w:space="0" w:color="051C2C" w:themeColor="accent1"/>
      </w:tblBorders>
    </w:tblPr>
    <w:tblStylePr w:type="firstRow">
      <w:rPr>
        <w:b/>
      </w:rPr>
      <w:tblPr/>
      <w:tcPr>
        <w:tcBorders>
          <w:bottom w:val="single" w:sz="4" w:space="0" w:color="051C2C" w:themeColor="accent1"/>
        </w:tcBorders>
      </w:tcPr>
    </w:tblStylePr>
    <w:tblStylePr w:type="lastRow">
      <w:rPr>
        <w:b/>
      </w:rPr>
      <w:tblPr/>
      <w:tcPr>
        <w:tcBorders>
          <w:top w:val="double" w:sz="4" w:space="0" w:color="051C2C" w:themeColor="accent1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000000" w:fill="ACD7F5" w:themeFill="accent1" w:themeFillTint="33"/>
      </w:tcPr>
    </w:tblStylePr>
    <w:tblStylePr w:type="band1Horz">
      <w:tblPr/>
      <w:tcPr>
        <w:shd w:val="clear" w:color="000000" w:fill="ACD7F5" w:themeFill="accent1" w:themeFillTint="33"/>
      </w:tcPr>
    </w:tblStylePr>
  </w:style>
  <w:style w:type="table" w:styleId="ListTable6Colorful-Accent2">
    <w:name w:val="List Table 6 Colorful Accent 2"/>
    <w:basedOn w:val="TableNormal"/>
    <w:pPr>
      <w:spacing w:after="0" w:line="240" w:lineRule="auto"/>
    </w:pPr>
    <w:rPr>
      <w:color w:val="007EB6" w:themeColor="accent2" w:themeShade="BF"/>
    </w:rPr>
    <w:tblPr>
      <w:tblStyleRowBandSize w:val="1"/>
      <w:tblStyleColBandSize w:val="1"/>
      <w:tblBorders>
        <w:top w:val="single" w:sz="4" w:space="0" w:color="00A9F4" w:themeColor="accent2"/>
        <w:bottom w:val="single" w:sz="4" w:space="0" w:color="00A9F4" w:themeColor="accent2"/>
      </w:tblBorders>
    </w:tblPr>
    <w:tblStylePr w:type="firstRow">
      <w:rPr>
        <w:b/>
      </w:rPr>
      <w:tblPr/>
      <w:tcPr>
        <w:tcBorders>
          <w:bottom w:val="single" w:sz="4" w:space="0" w:color="00A9F4" w:themeColor="accent2"/>
        </w:tcBorders>
      </w:tcPr>
    </w:tblStylePr>
    <w:tblStylePr w:type="lastRow">
      <w:rPr>
        <w:b/>
      </w:rPr>
      <w:tblPr/>
      <w:tcPr>
        <w:tcBorders>
          <w:top w:val="double" w:sz="4" w:space="0" w:color="00A9F4" w:themeColor="accent2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000000" w:fill="C9EEFF" w:themeFill="accent2" w:themeFillTint="33"/>
      </w:tcPr>
    </w:tblStylePr>
    <w:tblStylePr w:type="band1Horz">
      <w:tblPr/>
      <w:tcPr>
        <w:shd w:val="clear" w:color="000000" w:fill="C9EEFF" w:themeFill="accent2" w:themeFillTint="33"/>
      </w:tcPr>
    </w:tblStylePr>
  </w:style>
  <w:style w:type="table" w:styleId="ListTable6Colorful-Accent3">
    <w:name w:val="List Table 6 Colorful Accent 3"/>
    <w:basedOn w:val="TableNormal"/>
    <w:pPr>
      <w:spacing w:after="0" w:line="240" w:lineRule="auto"/>
    </w:pPr>
    <w:rPr>
      <w:color w:val="002DD8" w:themeColor="accent3" w:themeShade="BF"/>
    </w:rPr>
    <w:tblPr>
      <w:tblStyleRowBandSize w:val="1"/>
      <w:tblStyleColBandSize w:val="1"/>
      <w:tblBorders>
        <w:top w:val="single" w:sz="4" w:space="0" w:color="2251FF" w:themeColor="accent3"/>
        <w:bottom w:val="single" w:sz="4" w:space="0" w:color="2251FF" w:themeColor="accent3"/>
      </w:tblBorders>
    </w:tblPr>
    <w:tblStylePr w:type="firstRow">
      <w:rPr>
        <w:b/>
      </w:rPr>
      <w:tblPr/>
      <w:tcPr>
        <w:tcBorders>
          <w:bottom w:val="single" w:sz="4" w:space="0" w:color="2251FF" w:themeColor="accent3"/>
        </w:tcBorders>
      </w:tcPr>
    </w:tblStylePr>
    <w:tblStylePr w:type="lastRow">
      <w:rPr>
        <w:b/>
      </w:rPr>
      <w:tblPr/>
      <w:tcPr>
        <w:tcBorders>
          <w:top w:val="double" w:sz="4" w:space="0" w:color="2251FF" w:themeColor="accent3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000000" w:fill="D2DCFF" w:themeFill="accent3" w:themeFillTint="33"/>
      </w:tcPr>
    </w:tblStylePr>
    <w:tblStylePr w:type="band1Horz">
      <w:tblPr/>
      <w:tcPr>
        <w:shd w:val="clear" w:color="000000" w:fill="D2DCFF" w:themeFill="accent3" w:themeFillTint="33"/>
      </w:tcPr>
    </w:tblStylePr>
  </w:style>
  <w:style w:type="table" w:styleId="ListTable6Colorful-Accent4">
    <w:name w:val="List Table 6 Colorful Accent 4"/>
    <w:basedOn w:val="TableNormal"/>
    <w:pPr>
      <w:spacing w:after="0" w:line="240" w:lineRule="auto"/>
    </w:pPr>
    <w:rPr>
      <w:color w:val="52CCE0" w:themeColor="accent4" w:themeShade="BF"/>
    </w:rPr>
    <w:tblPr>
      <w:tblStyleRowBandSize w:val="1"/>
      <w:tblStyleColBandSize w:val="1"/>
      <w:tblBorders>
        <w:top w:val="single" w:sz="4" w:space="0" w:color="AAE6F0" w:themeColor="accent4"/>
        <w:bottom w:val="single" w:sz="4" w:space="0" w:color="AAE6F0" w:themeColor="accent4"/>
      </w:tblBorders>
    </w:tblPr>
    <w:tblStylePr w:type="firstRow">
      <w:rPr>
        <w:b/>
      </w:rPr>
      <w:tblPr/>
      <w:tcPr>
        <w:tcBorders>
          <w:bottom w:val="single" w:sz="4" w:space="0" w:color="AAE6F0" w:themeColor="accent4"/>
        </w:tcBorders>
      </w:tcPr>
    </w:tblStylePr>
    <w:tblStylePr w:type="lastRow">
      <w:rPr>
        <w:b/>
      </w:rPr>
      <w:tblPr/>
      <w:tcPr>
        <w:tcBorders>
          <w:top w:val="double" w:sz="4" w:space="0" w:color="AAE6F0" w:themeColor="accent4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000000" w:fill="EEF9FC" w:themeFill="accent4" w:themeFillTint="33"/>
      </w:tcPr>
    </w:tblStylePr>
    <w:tblStylePr w:type="band1Horz">
      <w:tblPr/>
      <w:tcPr>
        <w:shd w:val="clear" w:color="000000" w:fill="EEF9FC" w:themeFill="accent4" w:themeFillTint="33"/>
      </w:tcPr>
    </w:tblStylePr>
  </w:style>
  <w:style w:type="table" w:styleId="ListTable6Colorful-Accent5">
    <w:name w:val="List Table 6 Colorful Accent 5"/>
    <w:basedOn w:val="TableNormal"/>
    <w:pPr>
      <w:spacing w:after="0" w:line="240" w:lineRule="auto"/>
    </w:pPr>
    <w:rPr>
      <w:color w:val="2D7086" w:themeColor="accent5" w:themeShade="BF"/>
    </w:rPr>
    <w:tblPr>
      <w:tblStyleRowBandSize w:val="1"/>
      <w:tblStyleColBandSize w:val="1"/>
      <w:tblBorders>
        <w:top w:val="single" w:sz="4" w:space="0" w:color="3C96B4" w:themeColor="accent5"/>
        <w:bottom w:val="single" w:sz="4" w:space="0" w:color="3C96B4" w:themeColor="accent5"/>
      </w:tblBorders>
    </w:tblPr>
    <w:tblStylePr w:type="firstRow">
      <w:rPr>
        <w:b/>
      </w:rPr>
      <w:tblPr/>
      <w:tcPr>
        <w:tcBorders>
          <w:bottom w:val="single" w:sz="4" w:space="0" w:color="3C96B4" w:themeColor="accent5"/>
        </w:tcBorders>
      </w:tcPr>
    </w:tblStylePr>
    <w:tblStylePr w:type="lastRow">
      <w:rPr>
        <w:b/>
      </w:rPr>
      <w:tblPr/>
      <w:tcPr>
        <w:tcBorders>
          <w:top w:val="double" w:sz="4" w:space="0" w:color="3C96B4" w:themeColor="accent5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000000" w:fill="D6EAF1" w:themeFill="accent5" w:themeFillTint="33"/>
      </w:tcPr>
    </w:tblStylePr>
    <w:tblStylePr w:type="band1Horz">
      <w:tblPr/>
      <w:tcPr>
        <w:shd w:val="clear" w:color="000000" w:fill="D6EAF1" w:themeFill="accent5" w:themeFillTint="33"/>
      </w:tcPr>
    </w:tblStylePr>
  </w:style>
  <w:style w:type="table" w:styleId="ListTable6Colorful-Accent6">
    <w:name w:val="List Table 6 Colorful Accent 6"/>
    <w:basedOn w:val="TableNormal"/>
    <w:pPr>
      <w:spacing w:after="0" w:line="240" w:lineRule="auto"/>
    </w:pPr>
    <w:rPr>
      <w:color w:val="4371FF" w:themeColor="accent6" w:themeShade="BF"/>
    </w:rPr>
    <w:tblPr>
      <w:tblStyleRowBandSize w:val="1"/>
      <w:tblStyleColBandSize w:val="1"/>
      <w:tblBorders>
        <w:top w:val="single" w:sz="4" w:space="0" w:color="AFC3FF" w:themeColor="accent6"/>
        <w:bottom w:val="single" w:sz="4" w:space="0" w:color="AFC3FF" w:themeColor="accent6"/>
      </w:tblBorders>
    </w:tblPr>
    <w:tblStylePr w:type="firstRow">
      <w:rPr>
        <w:b/>
      </w:rPr>
      <w:tblPr/>
      <w:tcPr>
        <w:tcBorders>
          <w:bottom w:val="single" w:sz="4" w:space="0" w:color="AFC3FF" w:themeColor="accent6"/>
        </w:tcBorders>
      </w:tcPr>
    </w:tblStylePr>
    <w:tblStylePr w:type="lastRow">
      <w:rPr>
        <w:b/>
      </w:rPr>
      <w:tblPr/>
      <w:tcPr>
        <w:tcBorders>
          <w:top w:val="double" w:sz="4" w:space="0" w:color="AFC3FF" w:themeColor="accent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000000" w:fill="EFF2FF" w:themeFill="accent6" w:themeFillTint="33"/>
      </w:tcPr>
    </w:tblStylePr>
    <w:tblStylePr w:type="band1Horz">
      <w:tblPr/>
      <w:tcPr>
        <w:shd w:val="clear" w:color="000000" w:fill="EFF2FF" w:themeFill="accent6" w:themeFillTint="33"/>
      </w:tcPr>
    </w:tblStylePr>
  </w:style>
  <w:style w:type="table" w:styleId="ListTable7Colorful">
    <w:name w:val="List Table 7 Colorful"/>
    <w:basedOn w:val="TableNormal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sz w:val="26"/>
        <w:szCs w:val="26"/>
      </w:rPr>
      <w:tblPr/>
      <w:tcPr>
        <w:tcBorders>
          <w:bottom w:val="single" w:sz="4" w:space="0" w:color="000000" w:themeColor="text1"/>
        </w:tcBorders>
        <w:shd w:val="clear" w:color="000000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sz w:val="26"/>
        <w:szCs w:val="26"/>
      </w:rPr>
      <w:tblPr/>
      <w:tcPr>
        <w:tcBorders>
          <w:top w:val="single" w:sz="4" w:space="0" w:color="000000" w:themeColor="text1"/>
        </w:tcBorders>
        <w:shd w:val="clear" w:color="000000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sz w:val="26"/>
        <w:szCs w:val="26"/>
      </w:rPr>
      <w:tblPr/>
      <w:tcPr>
        <w:tcBorders>
          <w:right w:val="single" w:sz="4" w:space="0" w:color="000000" w:themeColor="text1"/>
        </w:tcBorders>
        <w:shd w:val="clear" w:color="000000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sz w:val="26"/>
        <w:szCs w:val="26"/>
      </w:rPr>
      <w:tblPr/>
      <w:tcPr>
        <w:tcBorders>
          <w:left w:val="single" w:sz="4" w:space="0" w:color="000000" w:themeColor="text1"/>
        </w:tcBorders>
        <w:shd w:val="clear" w:color="000000" w:fill="FFFFFF" w:themeFill="background1"/>
      </w:tcPr>
    </w:tblStylePr>
    <w:tblStylePr w:type="band1Vert">
      <w:tblPr/>
      <w:tcPr>
        <w:shd w:val="clear" w:color="000000" w:fill="CCCCCC" w:themeFill="text1" w:themeFillTint="33"/>
      </w:tcPr>
    </w:tblStylePr>
    <w:tblStylePr w:type="band1Horz">
      <w:tblPr/>
      <w:tcPr>
        <w:shd w:val="clear" w:color="000000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pPr>
      <w:spacing w:after="0" w:line="240" w:lineRule="auto"/>
    </w:pPr>
    <w:rPr>
      <w:color w:val="031420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sz w:val="26"/>
        <w:szCs w:val="26"/>
      </w:rPr>
      <w:tblPr/>
      <w:tcPr>
        <w:tcBorders>
          <w:bottom w:val="single" w:sz="4" w:space="0" w:color="051C2C" w:themeColor="accent1"/>
        </w:tcBorders>
        <w:shd w:val="clear" w:color="000000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sz w:val="26"/>
        <w:szCs w:val="26"/>
      </w:rPr>
      <w:tblPr/>
      <w:tcPr>
        <w:tcBorders>
          <w:top w:val="single" w:sz="4" w:space="0" w:color="051C2C" w:themeColor="accent1"/>
        </w:tcBorders>
        <w:shd w:val="clear" w:color="000000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sz w:val="26"/>
        <w:szCs w:val="26"/>
      </w:rPr>
      <w:tblPr/>
      <w:tcPr>
        <w:tcBorders>
          <w:right w:val="single" w:sz="4" w:space="0" w:color="051C2C" w:themeColor="accent1"/>
        </w:tcBorders>
        <w:shd w:val="clear" w:color="000000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sz w:val="26"/>
        <w:szCs w:val="26"/>
      </w:rPr>
      <w:tblPr/>
      <w:tcPr>
        <w:tcBorders>
          <w:left w:val="single" w:sz="4" w:space="0" w:color="051C2C" w:themeColor="accent1"/>
        </w:tcBorders>
        <w:shd w:val="clear" w:color="000000" w:fill="FFFFFF" w:themeFill="background1"/>
      </w:tcPr>
    </w:tblStylePr>
    <w:tblStylePr w:type="band1Vert">
      <w:tblPr/>
      <w:tcPr>
        <w:shd w:val="clear" w:color="000000" w:fill="ACD7F5" w:themeFill="accent1" w:themeFillTint="33"/>
      </w:tcPr>
    </w:tblStylePr>
    <w:tblStylePr w:type="band1Horz">
      <w:tblPr/>
      <w:tcPr>
        <w:shd w:val="clear" w:color="000000" w:fill="ACD7F5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pPr>
      <w:spacing w:after="0" w:line="240" w:lineRule="auto"/>
    </w:pPr>
    <w:rPr>
      <w:color w:val="007EB6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sz w:val="26"/>
        <w:szCs w:val="26"/>
      </w:rPr>
      <w:tblPr/>
      <w:tcPr>
        <w:tcBorders>
          <w:bottom w:val="single" w:sz="4" w:space="0" w:color="00A9F4" w:themeColor="accent2"/>
        </w:tcBorders>
        <w:shd w:val="clear" w:color="000000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sz w:val="26"/>
        <w:szCs w:val="26"/>
      </w:rPr>
      <w:tblPr/>
      <w:tcPr>
        <w:tcBorders>
          <w:top w:val="single" w:sz="4" w:space="0" w:color="00A9F4" w:themeColor="accent2"/>
        </w:tcBorders>
        <w:shd w:val="clear" w:color="000000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sz w:val="26"/>
        <w:szCs w:val="26"/>
      </w:rPr>
      <w:tblPr/>
      <w:tcPr>
        <w:tcBorders>
          <w:right w:val="single" w:sz="4" w:space="0" w:color="00A9F4" w:themeColor="accent2"/>
        </w:tcBorders>
        <w:shd w:val="clear" w:color="000000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sz w:val="26"/>
        <w:szCs w:val="26"/>
      </w:rPr>
      <w:tblPr/>
      <w:tcPr>
        <w:tcBorders>
          <w:left w:val="single" w:sz="4" w:space="0" w:color="00A9F4" w:themeColor="accent2"/>
        </w:tcBorders>
        <w:shd w:val="clear" w:color="000000" w:fill="FFFFFF" w:themeFill="background1"/>
      </w:tcPr>
    </w:tblStylePr>
    <w:tblStylePr w:type="band1Vert">
      <w:tblPr/>
      <w:tcPr>
        <w:shd w:val="clear" w:color="000000" w:fill="C9EEFF" w:themeFill="accent2" w:themeFillTint="33"/>
      </w:tcPr>
    </w:tblStylePr>
    <w:tblStylePr w:type="band1Horz">
      <w:tblPr/>
      <w:tcPr>
        <w:shd w:val="clear" w:color="000000" w:fill="C9EEF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pPr>
      <w:spacing w:after="0" w:line="240" w:lineRule="auto"/>
    </w:pPr>
    <w:rPr>
      <w:color w:val="002DD8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sz w:val="26"/>
        <w:szCs w:val="26"/>
      </w:rPr>
      <w:tblPr/>
      <w:tcPr>
        <w:tcBorders>
          <w:bottom w:val="single" w:sz="4" w:space="0" w:color="2251FF" w:themeColor="accent3"/>
        </w:tcBorders>
        <w:shd w:val="clear" w:color="000000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sz w:val="26"/>
        <w:szCs w:val="26"/>
      </w:rPr>
      <w:tblPr/>
      <w:tcPr>
        <w:tcBorders>
          <w:top w:val="single" w:sz="4" w:space="0" w:color="2251FF" w:themeColor="accent3"/>
        </w:tcBorders>
        <w:shd w:val="clear" w:color="000000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sz w:val="26"/>
        <w:szCs w:val="26"/>
      </w:rPr>
      <w:tblPr/>
      <w:tcPr>
        <w:tcBorders>
          <w:right w:val="single" w:sz="4" w:space="0" w:color="2251FF" w:themeColor="accent3"/>
        </w:tcBorders>
        <w:shd w:val="clear" w:color="000000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sz w:val="26"/>
        <w:szCs w:val="26"/>
      </w:rPr>
      <w:tblPr/>
      <w:tcPr>
        <w:tcBorders>
          <w:left w:val="single" w:sz="4" w:space="0" w:color="2251FF" w:themeColor="accent3"/>
        </w:tcBorders>
        <w:shd w:val="clear" w:color="000000" w:fill="FFFFFF" w:themeFill="background1"/>
      </w:tcPr>
    </w:tblStylePr>
    <w:tblStylePr w:type="band1Vert">
      <w:tblPr/>
      <w:tcPr>
        <w:shd w:val="clear" w:color="000000" w:fill="D2DCFF" w:themeFill="accent3" w:themeFillTint="33"/>
      </w:tcPr>
    </w:tblStylePr>
    <w:tblStylePr w:type="band1Horz">
      <w:tblPr/>
      <w:tcPr>
        <w:shd w:val="clear" w:color="000000" w:fill="D2DCFF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pPr>
      <w:spacing w:after="0" w:line="240" w:lineRule="auto"/>
    </w:pPr>
    <w:rPr>
      <w:color w:val="52CCE0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sz w:val="26"/>
        <w:szCs w:val="26"/>
      </w:rPr>
      <w:tblPr/>
      <w:tcPr>
        <w:tcBorders>
          <w:bottom w:val="single" w:sz="4" w:space="0" w:color="AAE6F0" w:themeColor="accent4"/>
        </w:tcBorders>
        <w:shd w:val="clear" w:color="000000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sz w:val="26"/>
        <w:szCs w:val="26"/>
      </w:rPr>
      <w:tblPr/>
      <w:tcPr>
        <w:tcBorders>
          <w:top w:val="single" w:sz="4" w:space="0" w:color="AAE6F0" w:themeColor="accent4"/>
        </w:tcBorders>
        <w:shd w:val="clear" w:color="000000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sz w:val="26"/>
        <w:szCs w:val="26"/>
      </w:rPr>
      <w:tblPr/>
      <w:tcPr>
        <w:tcBorders>
          <w:right w:val="single" w:sz="4" w:space="0" w:color="AAE6F0" w:themeColor="accent4"/>
        </w:tcBorders>
        <w:shd w:val="clear" w:color="000000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sz w:val="26"/>
        <w:szCs w:val="26"/>
      </w:rPr>
      <w:tblPr/>
      <w:tcPr>
        <w:tcBorders>
          <w:left w:val="single" w:sz="4" w:space="0" w:color="AAE6F0" w:themeColor="accent4"/>
        </w:tcBorders>
        <w:shd w:val="clear" w:color="000000" w:fill="FFFFFF" w:themeFill="background1"/>
      </w:tcPr>
    </w:tblStylePr>
    <w:tblStylePr w:type="band1Vert">
      <w:tblPr/>
      <w:tcPr>
        <w:shd w:val="clear" w:color="000000" w:fill="EEF9FC" w:themeFill="accent4" w:themeFillTint="33"/>
      </w:tcPr>
    </w:tblStylePr>
    <w:tblStylePr w:type="band1Horz">
      <w:tblPr/>
      <w:tcPr>
        <w:shd w:val="clear" w:color="000000" w:fill="EEF9F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pPr>
      <w:spacing w:after="0" w:line="240" w:lineRule="auto"/>
    </w:pPr>
    <w:rPr>
      <w:color w:val="2D7086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sz w:val="26"/>
        <w:szCs w:val="26"/>
      </w:rPr>
      <w:tblPr/>
      <w:tcPr>
        <w:tcBorders>
          <w:bottom w:val="single" w:sz="4" w:space="0" w:color="3C96B4" w:themeColor="accent5"/>
        </w:tcBorders>
        <w:shd w:val="clear" w:color="000000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sz w:val="26"/>
        <w:szCs w:val="26"/>
      </w:rPr>
      <w:tblPr/>
      <w:tcPr>
        <w:tcBorders>
          <w:top w:val="single" w:sz="4" w:space="0" w:color="3C96B4" w:themeColor="accent5"/>
        </w:tcBorders>
        <w:shd w:val="clear" w:color="000000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sz w:val="26"/>
        <w:szCs w:val="26"/>
      </w:rPr>
      <w:tblPr/>
      <w:tcPr>
        <w:tcBorders>
          <w:right w:val="single" w:sz="4" w:space="0" w:color="3C96B4" w:themeColor="accent5"/>
        </w:tcBorders>
        <w:shd w:val="clear" w:color="000000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sz w:val="26"/>
        <w:szCs w:val="26"/>
      </w:rPr>
      <w:tblPr/>
      <w:tcPr>
        <w:tcBorders>
          <w:left w:val="single" w:sz="4" w:space="0" w:color="3C96B4" w:themeColor="accent5"/>
        </w:tcBorders>
        <w:shd w:val="clear" w:color="000000" w:fill="FFFFFF" w:themeFill="background1"/>
      </w:tcPr>
    </w:tblStylePr>
    <w:tblStylePr w:type="band1Vert">
      <w:tblPr/>
      <w:tcPr>
        <w:shd w:val="clear" w:color="000000" w:fill="D6EAF1" w:themeFill="accent5" w:themeFillTint="33"/>
      </w:tcPr>
    </w:tblStylePr>
    <w:tblStylePr w:type="band1Horz">
      <w:tblPr/>
      <w:tcPr>
        <w:shd w:val="clear" w:color="000000" w:fill="D6EAF1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pPr>
      <w:spacing w:after="0" w:line="240" w:lineRule="auto"/>
    </w:pPr>
    <w:rPr>
      <w:color w:val="4371FF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sz w:val="26"/>
        <w:szCs w:val="26"/>
      </w:rPr>
      <w:tblPr/>
      <w:tcPr>
        <w:tcBorders>
          <w:bottom w:val="single" w:sz="4" w:space="0" w:color="AFC3FF" w:themeColor="accent6"/>
        </w:tcBorders>
        <w:shd w:val="clear" w:color="000000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sz w:val="26"/>
        <w:szCs w:val="26"/>
      </w:rPr>
      <w:tblPr/>
      <w:tcPr>
        <w:tcBorders>
          <w:top w:val="single" w:sz="4" w:space="0" w:color="AFC3FF" w:themeColor="accent6"/>
        </w:tcBorders>
        <w:shd w:val="clear" w:color="000000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sz w:val="26"/>
        <w:szCs w:val="26"/>
      </w:rPr>
      <w:tblPr/>
      <w:tcPr>
        <w:tcBorders>
          <w:right w:val="single" w:sz="4" w:space="0" w:color="AFC3FF" w:themeColor="accent6"/>
        </w:tcBorders>
        <w:shd w:val="clear" w:color="000000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sz w:val="26"/>
        <w:szCs w:val="26"/>
      </w:rPr>
      <w:tblPr/>
      <w:tcPr>
        <w:tcBorders>
          <w:left w:val="single" w:sz="4" w:space="0" w:color="AFC3FF" w:themeColor="accent6"/>
        </w:tcBorders>
        <w:shd w:val="clear" w:color="000000" w:fill="FFFFFF" w:themeFill="background1"/>
      </w:tcPr>
    </w:tblStylePr>
    <w:tblStylePr w:type="band1Vert">
      <w:tblPr/>
      <w:tcPr>
        <w:shd w:val="clear" w:color="000000" w:fill="EFF2FF" w:themeFill="accent6" w:themeFillTint="33"/>
      </w:tcPr>
    </w:tblStylePr>
    <w:tblStylePr w:type="band1Horz">
      <w:tblPr/>
      <w:tcPr>
        <w:shd w:val="clear" w:color="000000" w:fill="EFF2FF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Heading1Char">
    <w:name w:val="Heading 1 Char"/>
    <w:basedOn w:val="DefaultParagraphFont"/>
    <w:link w:val="Heading1"/>
    <w:rPr>
      <w:rFonts w:eastAsia="Times New Roman" w:cs="Times New Roman"/>
      <w:b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semiHidden/>
    <w:rPr>
      <w:rFonts w:eastAsia="Times New Roman" w:cs="Times New Roman"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semiHidden/>
    <w:rPr>
      <w:rFonts w:eastAsia="Times New Roman" w:cs="Times New Roman"/>
      <w:b/>
      <w:sz w:val="24"/>
      <w:szCs w:val="24"/>
      <w:lang w:val="en-US"/>
    </w:rPr>
  </w:style>
  <w:style w:type="character" w:customStyle="1" w:styleId="Heading4Char">
    <w:name w:val="Heading 4 Char"/>
    <w:basedOn w:val="DefaultParagraphFont"/>
    <w:link w:val="Heading4"/>
    <w:semiHidden/>
    <w:rPr>
      <w:rFonts w:eastAsia="Times New Roman" w:cs="Times New Roman"/>
      <w:sz w:val="24"/>
      <w:szCs w:val="24"/>
      <w:lang w:val="en-US"/>
    </w:rPr>
  </w:style>
  <w:style w:type="character" w:customStyle="1" w:styleId="Heading5Char">
    <w:name w:val="Heading 5 Char"/>
    <w:basedOn w:val="DefaultParagraphFont"/>
    <w:link w:val="Heading5"/>
    <w:semiHidden/>
    <w:rPr>
      <w:rFonts w:eastAsia="Times New Roman" w:cs="Times New Roman"/>
      <w:b/>
      <w:sz w:val="26"/>
      <w:szCs w:val="26"/>
      <w:lang w:val="en-US"/>
    </w:rPr>
  </w:style>
  <w:style w:type="character" w:customStyle="1" w:styleId="Heading6Char">
    <w:name w:val="Heading 6 Char"/>
    <w:basedOn w:val="DefaultParagraphFont"/>
    <w:link w:val="Heading6"/>
    <w:semiHidden/>
    <w:rPr>
      <w:rFonts w:asciiTheme="majorHAnsi" w:eastAsiaTheme="majorEastAsia" w:hAnsiTheme="majorHAnsi" w:cstheme="majorBidi"/>
      <w:color w:val="020D15" w:themeColor="accent1" w:themeShade="7F"/>
      <w:lang w:val="en-US"/>
    </w:rPr>
  </w:style>
  <w:style w:type="character" w:customStyle="1" w:styleId="Heading7Char">
    <w:name w:val="Heading 7 Char"/>
    <w:basedOn w:val="DefaultParagraphFont"/>
    <w:link w:val="Heading7"/>
    <w:semiHidden/>
    <w:rPr>
      <w:rFonts w:asciiTheme="majorHAnsi" w:eastAsiaTheme="majorEastAsia" w:hAnsiTheme="majorHAnsi" w:cstheme="majorBidi"/>
      <w:i/>
      <w:color w:val="020D15" w:themeColor="accent1" w:themeShade="7F"/>
      <w:lang w:val="en-US"/>
    </w:rPr>
  </w:style>
  <w:style w:type="character" w:customStyle="1" w:styleId="Heading8Char">
    <w:name w:val="Heading 8 Char"/>
    <w:basedOn w:val="DefaultParagraphFont"/>
    <w:link w:val="Heading8"/>
    <w:semiHidden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US"/>
    </w:rPr>
  </w:style>
  <w:style w:type="character" w:customStyle="1" w:styleId="Heading9Char">
    <w:name w:val="Heading 9 Char"/>
    <w:basedOn w:val="DefaultParagraphFont"/>
    <w:link w:val="Heading9"/>
    <w:semiHidden/>
    <w:rPr>
      <w:rFonts w:asciiTheme="majorHAnsi" w:eastAsiaTheme="majorEastAsia" w:hAnsiTheme="majorHAnsi" w:cstheme="majorBidi"/>
      <w:i/>
      <w:color w:val="272727" w:themeColor="text1" w:themeTint="D8"/>
      <w:sz w:val="21"/>
      <w:szCs w:val="21"/>
      <w:lang w:val="en-US"/>
    </w:rPr>
  </w:style>
  <w:style w:type="table" w:customStyle="1" w:styleId="McKinseyTable2">
    <w:name w:val="McKinsey Table 2"/>
    <w:basedOn w:val="TableNormal"/>
    <w:pPr>
      <w:spacing w:after="0" w:line="240" w:lineRule="auto"/>
    </w:pPr>
    <w:rPr>
      <w:lang w:val="en-US"/>
    </w:rPr>
    <w:tblPr>
      <w:tblStyleRowBandSize w:val="1"/>
    </w:tblPr>
    <w:tblStylePr w:type="firstRow">
      <w:tblPr/>
      <w:tcPr>
        <w:tcBorders>
          <w:top w:val="nil"/>
          <w:left w:val="nil"/>
          <w:bottom w:val="single" w:sz="12" w:space="0" w:color="7F7F7F"/>
          <w:right w:val="nil"/>
          <w:insideH w:val="nil"/>
          <w:insideV w:val="nil"/>
        </w:tcBorders>
      </w:tcPr>
    </w:tblStylePr>
    <w:tblStylePr w:type="lastRow">
      <w:tblPr/>
      <w:tcPr>
        <w:tcBorders>
          <w:bottom w:val="single" w:sz="12" w:space="0" w:color="7F7F7F"/>
        </w:tcBorders>
      </w:tcPr>
    </w:tblStylePr>
    <w:tblStylePr w:type="band1Horz">
      <w:tblPr/>
      <w:tcPr>
        <w:tcBorders>
          <w:bottom w:val="single" w:sz="4" w:space="0" w:color="7F7F7F"/>
        </w:tcBorders>
      </w:tcPr>
    </w:tblStylePr>
    <w:tblStylePr w:type="band2Horz">
      <w:tblPr/>
      <w:tcPr>
        <w:tcBorders>
          <w:bottom w:val="single" w:sz="4" w:space="0" w:color="7F7F7F"/>
        </w:tcBorders>
      </w:tcPr>
    </w:tblStylePr>
  </w:style>
  <w:style w:type="paragraph" w:styleId="Footer">
    <w:name w:val="footer"/>
    <w:basedOn w:val="Normal"/>
    <w:link w:val="FooterChar"/>
    <w:pPr>
      <w:ind w:left="-1809"/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rPr>
      <w:rFonts w:eastAsia="Times New Roman" w:cs="Times New Roman"/>
      <w:sz w:val="20"/>
      <w:szCs w:val="20"/>
      <w:lang w:val="en-US"/>
    </w:rPr>
  </w:style>
  <w:style w:type="paragraph" w:customStyle="1" w:styleId="991Title">
    <w:name w:val="99.1 Title"/>
    <w:link w:val="991TitleChar"/>
    <w:pPr>
      <w:spacing w:before="100" w:beforeAutospacing="1" w:after="100" w:afterAutospacing="1" w:line="240" w:lineRule="auto"/>
    </w:pPr>
    <w:rPr>
      <w:rFonts w:asciiTheme="majorHAnsi" w:eastAsia="Times New Roman" w:hAnsiTheme="majorHAnsi" w:cs="Times New Roman"/>
      <w:b/>
      <w:sz w:val="64"/>
      <w:szCs w:val="64"/>
      <w:lang w:val="en-US"/>
    </w:rPr>
  </w:style>
  <w:style w:type="paragraph" w:customStyle="1" w:styleId="TitlePageDisclaimer">
    <w:name w:val="Title Page Disclaimer"/>
    <w:basedOn w:val="Normal"/>
    <w:link w:val="TitlePageDisclaimerChar"/>
    <w:semiHidden/>
    <w:pPr>
      <w:spacing w:after="0" w:line="240" w:lineRule="auto"/>
    </w:pPr>
    <w:rPr>
      <w:rFonts w:ascii="Arial" w:hAnsi="Arial"/>
      <w:color w:val="000000"/>
      <w:sz w:val="20"/>
      <w:szCs w:val="20"/>
    </w:rPr>
  </w:style>
  <w:style w:type="character" w:customStyle="1" w:styleId="TitlePageDisclaimerChar">
    <w:name w:val="Title Page Disclaimer Char"/>
    <w:basedOn w:val="DefaultParagraphFont"/>
    <w:link w:val="TitlePageDisclaimer"/>
    <w:semiHidden/>
    <w:rPr>
      <w:rFonts w:ascii="Arial" w:eastAsia="Times New Roman" w:hAnsi="Arial" w:cs="Times New Roman"/>
      <w:color w:val="000000"/>
      <w:sz w:val="20"/>
      <w:szCs w:val="20"/>
      <w:lang w:val="en-US"/>
    </w:rPr>
  </w:style>
  <w:style w:type="character" w:customStyle="1" w:styleId="991TitleChar">
    <w:name w:val="99.1 Title Char"/>
    <w:basedOn w:val="DefaultParagraphFont"/>
    <w:link w:val="991Title"/>
    <w:rPr>
      <w:rFonts w:asciiTheme="majorHAnsi" w:eastAsia="Times New Roman" w:hAnsiTheme="majorHAnsi" w:cs="Times New Roman"/>
      <w:b/>
      <w:sz w:val="64"/>
      <w:szCs w:val="64"/>
      <w:lang w:val="en-US"/>
    </w:rPr>
  </w:style>
  <w:style w:type="paragraph" w:customStyle="1" w:styleId="00Body">
    <w:name w:val="00 Body"/>
    <w:basedOn w:val="Normal"/>
    <w:link w:val="00BodyChar"/>
    <w:qFormat/>
    <w:pPr>
      <w:spacing w:before="180"/>
    </w:pPr>
  </w:style>
  <w:style w:type="character" w:styleId="EndnoteReference">
    <w:name w:val="endnote reference"/>
    <w:basedOn w:val="EndnoteTextChar"/>
    <w:semiHidden/>
    <w:rPr>
      <w:rFonts w:ascii="Theinhardt Pan Light" w:eastAsia="Times New Roman" w:hAnsi="Theinhardt Pan Light" w:cs="Times New Roman"/>
      <w:caps w:val="0"/>
      <w:smallCaps w:val="0"/>
      <w:sz w:val="20"/>
      <w:szCs w:val="20"/>
      <w:vertAlign w:val="superscript"/>
      <w:lang w:val="en-US"/>
    </w:rPr>
  </w:style>
  <w:style w:type="paragraph" w:customStyle="1" w:styleId="993Eyebrow">
    <w:name w:val="99.3 Eyebrow"/>
    <w:basedOn w:val="Normal"/>
    <w:next w:val="991Title"/>
    <w:pPr>
      <w:spacing w:before="360" w:after="60"/>
    </w:pPr>
    <w:rPr>
      <w:rFonts w:cs="Theinhardt Medium"/>
      <w:b/>
      <w:sz w:val="24"/>
      <w:szCs w:val="24"/>
    </w:rPr>
  </w:style>
  <w:style w:type="paragraph" w:customStyle="1" w:styleId="992Subtitle">
    <w:name w:val="99.2 Subtitle"/>
    <w:basedOn w:val="Normal"/>
    <w:pPr>
      <w:spacing w:before="60"/>
    </w:pPr>
    <w:rPr>
      <w:sz w:val="32"/>
      <w:szCs w:val="32"/>
    </w:rPr>
  </w:style>
  <w:style w:type="character" w:customStyle="1" w:styleId="TitleChar">
    <w:name w:val="Title Char"/>
    <w:basedOn w:val="DefaultParagraphFont"/>
    <w:link w:val="Title"/>
    <w:rPr>
      <w:rFonts w:asciiTheme="majorHAnsi" w:eastAsia="Times New Roman" w:hAnsiTheme="majorHAnsi" w:cs="Times New Roman"/>
      <w:b/>
      <w:sz w:val="64"/>
      <w:szCs w:val="64"/>
      <w:lang w:val="en-US"/>
    </w:rPr>
  </w:style>
  <w:style w:type="paragraph" w:customStyle="1" w:styleId="27TBStat">
    <w:name w:val="27 TB Stat"/>
    <w:pPr>
      <w:spacing w:after="60" w:line="215" w:lineRule="auto"/>
    </w:pPr>
    <w:rPr>
      <w:rFonts w:asciiTheme="majorHAnsi" w:eastAsia="Times New Roman" w:hAnsiTheme="majorHAnsi" w:cs="Times New Roman"/>
      <w:b/>
      <w:color w:val="000000"/>
      <w:sz w:val="72"/>
      <w:szCs w:val="72"/>
      <w:lang w:val="en-US"/>
    </w:rPr>
  </w:style>
  <w:style w:type="character" w:styleId="CommentReference">
    <w:name w:val="annotation reference"/>
    <w:basedOn w:val="DefaultParagraphFont"/>
    <w:semiHidden/>
    <w:rPr>
      <w:sz w:val="16"/>
      <w:szCs w:val="16"/>
    </w:rPr>
  </w:style>
  <w:style w:type="paragraph" w:styleId="EndnoteText">
    <w:name w:val="endnote text"/>
    <w:basedOn w:val="Normal"/>
    <w:link w:val="EndnoteTextChar"/>
    <w:semiHidden/>
    <w:pPr>
      <w:spacing w:line="240" w:lineRule="auto"/>
      <w:ind w:left="216" w:hanging="216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semiHidden/>
    <w:rPr>
      <w:rFonts w:eastAsia="Times New Roman" w:cs="Times New Roman"/>
      <w:sz w:val="20"/>
      <w:szCs w:val="20"/>
      <w:lang w:val="en-US"/>
    </w:rPr>
  </w:style>
  <w:style w:type="paragraph" w:styleId="FootnoteText">
    <w:name w:val="footnote text"/>
    <w:basedOn w:val="Normal"/>
    <w:link w:val="FootnoteTextChar"/>
    <w:semiHidden/>
    <w:pPr>
      <w:spacing w:line="240" w:lineRule="auto"/>
      <w:ind w:left="126" w:hanging="126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Pr>
      <w:rFonts w:eastAsia="Times New Roman" w:cs="Times New Roman"/>
      <w:sz w:val="20"/>
      <w:szCs w:val="20"/>
      <w:lang w:val="en-US"/>
    </w:rPr>
  </w:style>
  <w:style w:type="paragraph" w:customStyle="1" w:styleId="20MajorH1">
    <w:name w:val="20 Major H1"/>
    <w:basedOn w:val="Normal"/>
    <w:next w:val="00Body"/>
    <w:link w:val="20MajorH1Char"/>
    <w:qFormat/>
    <w:pPr>
      <w:spacing w:before="480"/>
      <w:outlineLvl w:val="0"/>
    </w:pPr>
    <w:rPr>
      <w:b/>
      <w:sz w:val="32"/>
      <w:szCs w:val="32"/>
    </w:rPr>
  </w:style>
  <w:style w:type="paragraph" w:customStyle="1" w:styleId="21MinorH2">
    <w:name w:val="21 Minor H2"/>
    <w:basedOn w:val="Normal"/>
    <w:next w:val="00Body"/>
    <w:link w:val="21MinorH2Char"/>
    <w:qFormat/>
    <w:pPr>
      <w:spacing w:before="360"/>
      <w:outlineLvl w:val="1"/>
    </w:pPr>
    <w:rPr>
      <w:sz w:val="28"/>
      <w:szCs w:val="28"/>
    </w:rPr>
  </w:style>
  <w:style w:type="character" w:customStyle="1" w:styleId="20MajorH1Char">
    <w:name w:val="20 Major H1 Char"/>
    <w:basedOn w:val="DefaultParagraphFont"/>
    <w:link w:val="20MajorH1"/>
    <w:rPr>
      <w:rFonts w:eastAsia="Times New Roman" w:cs="Times New Roman"/>
      <w:b/>
      <w:sz w:val="32"/>
      <w:szCs w:val="32"/>
      <w:lang w:val="en-US"/>
    </w:rPr>
  </w:style>
  <w:style w:type="paragraph" w:customStyle="1" w:styleId="993-Square">
    <w:name w:val="99 3-Square"/>
    <w:basedOn w:val="Normal"/>
    <w:next w:val="00Body"/>
    <w:pPr>
      <w:spacing w:line="240" w:lineRule="auto"/>
      <w:jc w:val="center"/>
    </w:pPr>
  </w:style>
  <w:style w:type="character" w:customStyle="1" w:styleId="21MinorH2Char">
    <w:name w:val="21 Minor H2 Char"/>
    <w:basedOn w:val="DefaultParagraphFont"/>
    <w:link w:val="21MinorH2"/>
    <w:rPr>
      <w:rFonts w:eastAsia="Times New Roman" w:cs="Times New Roman"/>
      <w:sz w:val="28"/>
      <w:szCs w:val="28"/>
      <w:lang w:val="en-US"/>
    </w:rPr>
  </w:style>
  <w:style w:type="paragraph" w:customStyle="1" w:styleId="99EndDate">
    <w:name w:val="99 End Date"/>
    <w:basedOn w:val="00Body"/>
    <w:pPr>
      <w:spacing w:before="300" w:line="275" w:lineRule="auto"/>
      <w:jc w:val="right"/>
    </w:pPr>
    <w:rPr>
      <w:b/>
      <w:i/>
      <w:sz w:val="20"/>
      <w:szCs w:val="20"/>
    </w:rPr>
  </w:style>
  <w:style w:type="paragraph" w:styleId="TOAHeading">
    <w:name w:val="toa heading"/>
    <w:basedOn w:val="20MajorH1"/>
    <w:next w:val="Normal"/>
    <w:unhideWhenUsed/>
    <w:pPr>
      <w:outlineLvl w:val="9"/>
    </w:pPr>
    <w:rPr>
      <w:lang w:val="ru-RU"/>
    </w:rPr>
  </w:style>
  <w:style w:type="paragraph" w:customStyle="1" w:styleId="10TableBody">
    <w:name w:val="10 Table Body"/>
    <w:basedOn w:val="Normal"/>
    <w:next w:val="00Body"/>
    <w:rPr>
      <w:rFonts w:cstheme="minorHAnsi"/>
    </w:rPr>
  </w:style>
  <w:style w:type="paragraph" w:customStyle="1" w:styleId="22Sub1H3">
    <w:name w:val="22 Sub 1 H3"/>
    <w:basedOn w:val="Normal"/>
    <w:next w:val="00Body"/>
    <w:link w:val="22Sub1H3Char"/>
    <w:qFormat/>
    <w:pPr>
      <w:spacing w:before="360"/>
      <w:outlineLvl w:val="2"/>
    </w:pPr>
    <w:rPr>
      <w:b/>
      <w:sz w:val="24"/>
      <w:szCs w:val="24"/>
    </w:rPr>
  </w:style>
  <w:style w:type="paragraph" w:customStyle="1" w:styleId="304Sub2H4">
    <w:name w:val="30.4 #Sub 2 H4"/>
    <w:basedOn w:val="22Sub2H4"/>
    <w:next w:val="00Body"/>
    <w:pPr>
      <w:numPr>
        <w:ilvl w:val="3"/>
        <w:numId w:val="24"/>
      </w:numPr>
    </w:pPr>
  </w:style>
  <w:style w:type="character" w:customStyle="1" w:styleId="22Sub1H3Char">
    <w:name w:val="22 Sub 1 H3 Char"/>
    <w:basedOn w:val="DefaultParagraphFont"/>
    <w:link w:val="22Sub1H3"/>
    <w:rPr>
      <w:rFonts w:eastAsia="Times New Roman" w:cs="Times New Roman"/>
      <w:b/>
      <w:sz w:val="24"/>
      <w:szCs w:val="24"/>
      <w:lang w:val="en-US"/>
    </w:rPr>
  </w:style>
  <w:style w:type="paragraph" w:styleId="Header">
    <w:name w:val="header"/>
    <w:basedOn w:val="Normal"/>
    <w:link w:val="HeaderChar"/>
    <w:semiHidden/>
    <w:pPr>
      <w:tabs>
        <w:tab w:val="center" w:pos="4680"/>
        <w:tab w:val="right" w:pos="9360"/>
      </w:tabs>
      <w:spacing w:after="0" w:line="240" w:lineRule="auto"/>
    </w:pPr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semiHidden/>
    <w:rPr>
      <w:rFonts w:eastAsia="Times New Roman" w:cs="Times New Roman"/>
      <w:sz w:val="20"/>
      <w:szCs w:val="20"/>
      <w:lang w:val="en-US"/>
    </w:rPr>
  </w:style>
  <w:style w:type="paragraph" w:customStyle="1" w:styleId="01B1Dot">
    <w:name w:val="01 B1 Dot"/>
    <w:basedOn w:val="Normal"/>
    <w:link w:val="01B1DotChar"/>
    <w:qFormat/>
    <w:pPr>
      <w:numPr>
        <w:numId w:val="15"/>
      </w:numPr>
      <w:spacing w:after="120"/>
    </w:pPr>
  </w:style>
  <w:style w:type="paragraph" w:styleId="ListBullet3">
    <w:name w:val="List Bullet 3"/>
    <w:basedOn w:val="01B3Chevron"/>
    <w:semiHidden/>
  </w:style>
  <w:style w:type="paragraph" w:styleId="E-mailSignature">
    <w:name w:val="E-mail Signature"/>
    <w:basedOn w:val="Normal"/>
    <w:link w:val="E-mailSignatureChar"/>
    <w:semiHidden/>
    <w:unhideWhenUsed/>
    <w:pPr>
      <w:spacing w:after="0" w:line="240" w:lineRule="auto"/>
    </w:pPr>
  </w:style>
  <w:style w:type="character" w:customStyle="1" w:styleId="E-mailSignatureChar">
    <w:name w:val="E-mail Signature Char"/>
    <w:basedOn w:val="DefaultParagraphFont"/>
    <w:link w:val="E-mailSignature"/>
    <w:semiHidden/>
    <w:rPr>
      <w:rFonts w:eastAsia="Times New Roman" w:cs="Times New Roman"/>
      <w:lang w:val="en-US"/>
    </w:rPr>
  </w:style>
  <w:style w:type="character" w:styleId="FootnoteReference">
    <w:name w:val="footnote reference"/>
    <w:basedOn w:val="DefaultParagraphFont"/>
    <w:semiHidden/>
    <w:rPr>
      <w:b/>
      <w:vertAlign w:val="superscript"/>
    </w:rPr>
  </w:style>
  <w:style w:type="paragraph" w:customStyle="1" w:styleId="61ExhImg">
    <w:name w:val="61 Exh Img"/>
    <w:pPr>
      <w:spacing w:after="240" w:line="240" w:lineRule="auto"/>
    </w:pPr>
    <w:rPr>
      <w:rFonts w:eastAsia="Times New Roman" w:cs="Times New Roman"/>
      <w:sz w:val="20"/>
      <w:szCs w:val="20"/>
      <w:lang w:val="en-US"/>
    </w:rPr>
  </w:style>
  <w:style w:type="paragraph" w:customStyle="1" w:styleId="11TableHeading">
    <w:name w:val="11 Table Heading"/>
    <w:basedOn w:val="Normal"/>
    <w:rPr>
      <w:b/>
    </w:rPr>
  </w:style>
  <w:style w:type="character" w:customStyle="1" w:styleId="00BodyChar">
    <w:name w:val="00 Body Char"/>
    <w:basedOn w:val="DefaultParagraphFont"/>
    <w:link w:val="00Body"/>
    <w:rPr>
      <w:rFonts w:eastAsia="Times New Roman" w:cs="Times New Roman"/>
      <w:lang w:val="en-US"/>
    </w:rPr>
  </w:style>
  <w:style w:type="character" w:customStyle="1" w:styleId="01B1DotChar">
    <w:name w:val="01 B1 Dot Char"/>
    <w:basedOn w:val="00BodyChar"/>
    <w:link w:val="01B1Dot"/>
    <w:rPr>
      <w:rFonts w:eastAsia="Times New Roman" w:cs="Times New Roman"/>
      <w:lang w:val="en-US"/>
    </w:rPr>
  </w:style>
  <w:style w:type="paragraph" w:customStyle="1" w:styleId="19ChapterTitle">
    <w:name w:val="19 Chapter Title"/>
    <w:basedOn w:val="Normal"/>
    <w:next w:val="00Body"/>
    <w:qFormat/>
    <w:pPr>
      <w:pageBreakBefore/>
      <w:spacing w:after="360"/>
      <w:outlineLvl w:val="0"/>
    </w:pPr>
    <w:rPr>
      <w:rFonts w:asciiTheme="majorHAnsi" w:hAnsiTheme="majorHAnsi"/>
      <w:b/>
      <w:sz w:val="60"/>
      <w:szCs w:val="60"/>
    </w:rPr>
  </w:style>
  <w:style w:type="paragraph" w:customStyle="1" w:styleId="69TOCTitle">
    <w:name w:val="69 TOC Title"/>
    <w:basedOn w:val="20MajorH1"/>
    <w:pPr>
      <w:outlineLvl w:val="9"/>
    </w:pPr>
  </w:style>
  <w:style w:type="paragraph" w:customStyle="1" w:styleId="25PullQuote">
    <w:name w:val="25 Pull Quote"/>
    <w:next w:val="00Body"/>
    <w:qFormat/>
    <w:pPr>
      <w:spacing w:before="300" w:after="300" w:line="264" w:lineRule="auto"/>
      <w:ind w:left="432" w:right="432"/>
    </w:pPr>
    <w:rPr>
      <w:rFonts w:asciiTheme="majorHAnsi" w:eastAsia="Times New Roman" w:hAnsiTheme="majorHAnsi" w:cs="Times New Roman"/>
      <w:b/>
      <w:sz w:val="40"/>
      <w:szCs w:val="40"/>
      <w:lang w:val="en-US"/>
    </w:rPr>
  </w:style>
  <w:style w:type="paragraph" w:customStyle="1" w:styleId="64CVName">
    <w:name w:val="64 CVName"/>
    <w:basedOn w:val="20MajorH1"/>
    <w:pPr>
      <w:spacing w:before="0"/>
      <w:outlineLvl w:val="9"/>
    </w:pPr>
  </w:style>
  <w:style w:type="paragraph" w:customStyle="1" w:styleId="28TBText">
    <w:name w:val="28 TB Text"/>
    <w:basedOn w:val="Normal"/>
    <w:rPr>
      <w:rFonts w:cstheme="minorHAnsi"/>
      <w:sz w:val="28"/>
      <w:szCs w:val="28"/>
    </w:rPr>
  </w:style>
  <w:style w:type="paragraph" w:customStyle="1" w:styleId="68RefTitle">
    <w:name w:val="68 Ref Title"/>
    <w:basedOn w:val="20MajorH1"/>
  </w:style>
  <w:style w:type="paragraph" w:customStyle="1" w:styleId="22Sub2H4">
    <w:name w:val="22 Sub 2 H4"/>
    <w:next w:val="00Body"/>
    <w:qFormat/>
    <w:pPr>
      <w:spacing w:before="360" w:after="180" w:line="264" w:lineRule="auto"/>
      <w:outlineLvl w:val="3"/>
    </w:pPr>
    <w:rPr>
      <w:rFonts w:eastAsia="Times New Roman" w:cs="Times New Roman"/>
      <w:sz w:val="24"/>
      <w:szCs w:val="24"/>
      <w:lang w:val="en-US"/>
    </w:rPr>
  </w:style>
  <w:style w:type="table" w:customStyle="1" w:styleId="McKinseyTable1">
    <w:name w:val="McKinsey Table 1"/>
    <w:basedOn w:val="TableNormal"/>
    <w:pPr>
      <w:spacing w:after="0" w:line="240" w:lineRule="auto"/>
    </w:pPr>
    <w:rPr>
      <w:lang w:val="en-US"/>
    </w:rPr>
    <w:tblPr/>
    <w:tblStylePr w:type="firstRow">
      <w:tblPr/>
      <w:tcPr>
        <w:tcBorders>
          <w:bottom w:val="single" w:sz="12" w:space="0" w:color="7F7F7F"/>
        </w:tcBorders>
      </w:tcPr>
    </w:tblStylePr>
  </w:style>
  <w:style w:type="paragraph" w:customStyle="1" w:styleId="65CVRole">
    <w:name w:val="65 CVRole"/>
    <w:basedOn w:val="21MinorH2"/>
    <w:pPr>
      <w:spacing w:before="120"/>
      <w:outlineLvl w:val="4"/>
    </w:pPr>
  </w:style>
  <w:style w:type="paragraph" w:customStyle="1" w:styleId="66CVOffice">
    <w:name w:val="66 CVOffice"/>
    <w:basedOn w:val="Normal"/>
    <w:pPr>
      <w:spacing w:before="120"/>
      <w:outlineLvl w:val="4"/>
    </w:pPr>
    <w:rPr>
      <w:rFonts w:cstheme="minorHAnsi"/>
      <w:i/>
      <w:sz w:val="26"/>
      <w:szCs w:val="26"/>
    </w:rPr>
  </w:style>
  <w:style w:type="paragraph" w:customStyle="1" w:styleId="40Address">
    <w:name w:val="40 Address"/>
    <w:basedOn w:val="00Body"/>
    <w:pPr>
      <w:spacing w:before="120" w:after="0"/>
      <w:contextualSpacing/>
    </w:pPr>
  </w:style>
  <w:style w:type="paragraph" w:customStyle="1" w:styleId="38LetterDate">
    <w:name w:val="38 Letter Date"/>
    <w:basedOn w:val="40Address"/>
    <w:pPr>
      <w:spacing w:before="1200" w:after="60"/>
    </w:pPr>
  </w:style>
  <w:style w:type="character" w:styleId="Hyperlink">
    <w:name w:val="Hyperlink"/>
    <w:basedOn w:val="DefaultParagraphFont"/>
    <w:semiHidden/>
    <w:rPr>
      <w:color w:val="1F40E6"/>
      <w:u w:val="single"/>
    </w:rPr>
  </w:style>
  <w:style w:type="character" w:customStyle="1" w:styleId="NoSpacingChar">
    <w:name w:val="No Spacing Char"/>
    <w:basedOn w:val="DefaultParagraphFont"/>
    <w:link w:val="NoSpacing"/>
    <w:rPr>
      <w:rFonts w:eastAsiaTheme="minorEastAsia"/>
      <w:lang w:val="en-US"/>
    </w:rPr>
  </w:style>
  <w:style w:type="paragraph" w:customStyle="1" w:styleId="01B2Dash">
    <w:name w:val="01 B2 Dash"/>
    <w:basedOn w:val="01B1Dot"/>
    <w:pPr>
      <w:numPr>
        <w:numId w:val="0"/>
      </w:numPr>
      <w:ind w:left="720" w:hanging="360"/>
    </w:pPr>
    <w:rPr>
      <w:rFonts w:eastAsiaTheme="minorHAnsi"/>
    </w:rPr>
  </w:style>
  <w:style w:type="paragraph" w:customStyle="1" w:styleId="01B3Chevron">
    <w:name w:val="01 B3 Chevron"/>
    <w:basedOn w:val="01B1Dot"/>
    <w:pPr>
      <w:numPr>
        <w:numId w:val="0"/>
      </w:numPr>
      <w:ind w:left="1008"/>
    </w:pPr>
    <w:rPr>
      <w:rFonts w:eastAsiaTheme="minorHAnsi"/>
    </w:rPr>
  </w:style>
  <w:style w:type="paragraph" w:customStyle="1" w:styleId="01B4Chevron">
    <w:name w:val="01 B4 Chevron"/>
    <w:basedOn w:val="01B1Dot"/>
    <w:pPr>
      <w:numPr>
        <w:numId w:val="0"/>
      </w:numPr>
      <w:ind w:left="1310"/>
    </w:pPr>
    <w:rPr>
      <w:rFonts w:eastAsiaTheme="minorHAnsi"/>
    </w:rPr>
  </w:style>
  <w:style w:type="paragraph" w:customStyle="1" w:styleId="01B5Square">
    <w:name w:val="01 B5 Square"/>
    <w:basedOn w:val="01B1Dot"/>
    <w:pPr>
      <w:numPr>
        <w:numId w:val="0"/>
      </w:numPr>
      <w:ind w:left="1613"/>
    </w:pPr>
    <w:rPr>
      <w:rFonts w:eastAsiaTheme="minorHAnsi"/>
    </w:rPr>
  </w:style>
  <w:style w:type="paragraph" w:customStyle="1" w:styleId="301MajorH1">
    <w:name w:val="30.1 #Major H1"/>
    <w:basedOn w:val="20MajorH1"/>
    <w:next w:val="00Body"/>
    <w:pPr>
      <w:numPr>
        <w:numId w:val="24"/>
      </w:numPr>
    </w:pPr>
  </w:style>
  <w:style w:type="paragraph" w:customStyle="1" w:styleId="302MinH2">
    <w:name w:val="30.2 #Min H2"/>
    <w:basedOn w:val="21MinorH2"/>
    <w:next w:val="00Body"/>
    <w:pPr>
      <w:numPr>
        <w:ilvl w:val="1"/>
        <w:numId w:val="24"/>
      </w:numPr>
    </w:pPr>
  </w:style>
  <w:style w:type="paragraph" w:customStyle="1" w:styleId="303Sub1H3">
    <w:name w:val="30.3 #Sub 1 H3"/>
    <w:basedOn w:val="22Sub1H3"/>
    <w:next w:val="00Body"/>
    <w:pPr>
      <w:numPr>
        <w:ilvl w:val="2"/>
        <w:numId w:val="24"/>
      </w:numPr>
    </w:pPr>
  </w:style>
  <w:style w:type="paragraph" w:customStyle="1" w:styleId="05L1">
    <w:name w:val="05 #L1"/>
    <w:basedOn w:val="01B1Dot"/>
    <w:qFormat/>
    <w:pPr>
      <w:numPr>
        <w:numId w:val="22"/>
      </w:numPr>
    </w:pPr>
  </w:style>
  <w:style w:type="paragraph" w:customStyle="1" w:styleId="05L2">
    <w:name w:val="05 #L2"/>
    <w:basedOn w:val="01B2Dash"/>
  </w:style>
  <w:style w:type="paragraph" w:customStyle="1" w:styleId="05L3">
    <w:name w:val="05 #L3"/>
    <w:basedOn w:val="01B3Chevron"/>
    <w:pPr>
      <w:ind w:hanging="288"/>
    </w:pPr>
  </w:style>
  <w:style w:type="paragraph" w:customStyle="1" w:styleId="05L4">
    <w:name w:val="05 #L4"/>
    <w:basedOn w:val="01B4Chevron"/>
    <w:pPr>
      <w:ind w:left="1296" w:hanging="288"/>
    </w:pPr>
  </w:style>
  <w:style w:type="paragraph" w:styleId="Salutation">
    <w:name w:val="Salutation"/>
    <w:basedOn w:val="Normal"/>
    <w:next w:val="Normal"/>
    <w:link w:val="SalutationChar"/>
    <w:semiHidden/>
    <w:pPr>
      <w:spacing w:before="640"/>
    </w:pPr>
  </w:style>
  <w:style w:type="character" w:customStyle="1" w:styleId="SalutationChar">
    <w:name w:val="Salutation Char"/>
    <w:basedOn w:val="DefaultParagraphFont"/>
    <w:link w:val="Salutation"/>
    <w:semiHidden/>
    <w:rPr>
      <w:rFonts w:eastAsia="Times New Roman" w:cs="Times New Roman"/>
      <w:lang w:val="en-US"/>
    </w:rPr>
  </w:style>
  <w:style w:type="paragraph" w:customStyle="1" w:styleId="60ExhNormal">
    <w:name w:val="60 Exh Normal"/>
    <w:basedOn w:val="EndnoteText"/>
    <w:pPr>
      <w:spacing w:before="480" w:after="60"/>
      <w:ind w:left="0" w:firstLine="0"/>
    </w:pPr>
  </w:style>
  <w:style w:type="paragraph" w:customStyle="1" w:styleId="42cc">
    <w:name w:val="42 cc:"/>
    <w:basedOn w:val="Normal"/>
    <w:pPr>
      <w:spacing w:before="180" w:after="60"/>
      <w:ind w:left="544" w:hanging="544"/>
    </w:pPr>
    <w:rPr>
      <w:sz w:val="24"/>
      <w:szCs w:val="24"/>
    </w:rPr>
  </w:style>
  <w:style w:type="paragraph" w:customStyle="1" w:styleId="StyleArialLeft-2cmAfter0pt">
    <w:name w:val="Style Arial Left:  -2 cm After:  0 pt"/>
    <w:basedOn w:val="Normal"/>
    <w:semiHidden/>
    <w:pPr>
      <w:spacing w:before="180" w:after="0"/>
      <w:ind w:left="-1134"/>
    </w:pPr>
    <w:rPr>
      <w:rFonts w:ascii="Arial" w:hAnsi="Arial"/>
      <w:sz w:val="24"/>
      <w:szCs w:val="24"/>
    </w:rPr>
  </w:style>
  <w:style w:type="paragraph" w:customStyle="1" w:styleId="39RestrictiveNote">
    <w:name w:val="39 Restrictive Note"/>
    <w:basedOn w:val="NormalWeb"/>
    <w:rPr>
      <w:rFonts w:asciiTheme="minorHAnsi" w:hAnsiTheme="minorHAnsi"/>
      <w:b/>
      <w:color w:val="E5546C"/>
      <w:sz w:val="22"/>
      <w:szCs w:val="22"/>
    </w:rPr>
  </w:style>
  <w:style w:type="paragraph" w:styleId="NormalWeb">
    <w:name w:val="Normal (Web)"/>
    <w:basedOn w:val="Normal"/>
    <w:semiHidden/>
    <w:unhideWhenUsed/>
    <w:rPr>
      <w:rFonts w:ascii="Times New Roman" w:hAnsi="Times New Roman"/>
      <w:sz w:val="24"/>
      <w:szCs w:val="24"/>
    </w:rPr>
  </w:style>
  <w:style w:type="paragraph" w:customStyle="1" w:styleId="36Opener">
    <w:name w:val="36 Opener"/>
    <w:basedOn w:val="00Body"/>
  </w:style>
  <w:style w:type="paragraph" w:customStyle="1" w:styleId="26TBQuote">
    <w:name w:val="26 TB Quote"/>
    <w:next w:val="28TBText"/>
    <w:pPr>
      <w:spacing w:after="300" w:line="264" w:lineRule="auto"/>
    </w:pPr>
    <w:rPr>
      <w:rFonts w:asciiTheme="majorHAnsi" w:eastAsia="Times New Roman" w:hAnsiTheme="majorHAnsi" w:cs="Times New Roman"/>
      <w:b/>
      <w:sz w:val="40"/>
      <w:szCs w:val="40"/>
      <w:lang w:val="en-US"/>
    </w:rPr>
  </w:style>
  <w:style w:type="character" w:styleId="FollowedHyperlink">
    <w:name w:val="FollowedHyperlink"/>
    <w:basedOn w:val="DefaultParagraphFont"/>
    <w:semiHidden/>
    <w:unhideWhenUsed/>
    <w:rPr>
      <w:color w:val="00A9F4" w:themeColor="followedHyperlink"/>
      <w:u w:val="single"/>
    </w:rPr>
  </w:style>
  <w:style w:type="paragraph" w:styleId="Index1">
    <w:name w:val="index 1"/>
    <w:basedOn w:val="Normal"/>
    <w:next w:val="Normal"/>
    <w:semiHidden/>
    <w:unhideWhenUsed/>
    <w:pPr>
      <w:spacing w:after="0" w:line="240" w:lineRule="auto"/>
      <w:ind w:left="220" w:hanging="220"/>
    </w:pPr>
  </w:style>
  <w:style w:type="character" w:styleId="PlaceholderText">
    <w:name w:val="Placeholder Text"/>
    <w:basedOn w:val="DefaultParagraphFont"/>
    <w:semiHidden/>
    <w:rPr>
      <w:color w:val="808080"/>
    </w:rPr>
  </w:style>
  <w:style w:type="table" w:customStyle="1" w:styleId="McKinseyExhibit1">
    <w:name w:val="McKinsey Exhibit 1"/>
    <w:basedOn w:val="TableNormal"/>
    <w:pPr>
      <w:spacing w:after="0" w:line="240" w:lineRule="auto"/>
    </w:pPr>
    <w:rPr>
      <w:lang w:val="en-US"/>
    </w:rPr>
    <w:tblPr>
      <w:tblCellMar>
        <w:left w:w="0" w:type="dxa"/>
        <w:right w:w="0" w:type="dxa"/>
      </w:tblCellMar>
    </w:tblPr>
    <w:tcPr>
      <w:tcMar>
        <w:top w:w="0" w:type="dxa"/>
        <w:left w:w="0" w:type="dxa"/>
        <w:bottom w:w="0" w:type="dxa"/>
        <w:right w:w="0" w:type="dxa"/>
      </w:tcMar>
    </w:tcPr>
  </w:style>
  <w:style w:type="paragraph" w:customStyle="1" w:styleId="62ExhSource">
    <w:name w:val="62 Exh Source"/>
    <w:basedOn w:val="60ExhNormal"/>
    <w:pPr>
      <w:spacing w:before="60" w:after="480"/>
    </w:pPr>
  </w:style>
  <w:style w:type="paragraph" w:customStyle="1" w:styleId="981SOPPMajor">
    <w:name w:val="98.1 SOPP Major"/>
    <w:basedOn w:val="Normal"/>
    <w:pPr>
      <w:spacing w:before="360" w:after="60" w:line="240" w:lineRule="auto"/>
      <w:outlineLvl w:val="0"/>
    </w:pPr>
    <w:rPr>
      <w:b/>
      <w:sz w:val="32"/>
      <w:szCs w:val="32"/>
    </w:rPr>
  </w:style>
  <w:style w:type="paragraph" w:customStyle="1" w:styleId="982SOPPMinor">
    <w:name w:val="98.2 SOPP Minor"/>
    <w:basedOn w:val="Normal"/>
    <w:pPr>
      <w:spacing w:before="360" w:after="60" w:line="240" w:lineRule="auto"/>
    </w:pPr>
    <w:rPr>
      <w:sz w:val="28"/>
      <w:szCs w:val="28"/>
    </w:rPr>
  </w:style>
  <w:style w:type="paragraph" w:customStyle="1" w:styleId="983SOPPTitle">
    <w:name w:val="98.3 SOPP Title"/>
    <w:basedOn w:val="991Title"/>
    <w:next w:val="00Body"/>
    <w:pPr>
      <w:pageBreakBefore/>
    </w:pPr>
    <w:rPr>
      <w:sz w:val="60"/>
      <w:szCs w:val="60"/>
    </w:rPr>
  </w:style>
  <w:style w:type="paragraph" w:styleId="ListBullet">
    <w:name w:val="List Bullet"/>
    <w:basedOn w:val="01B1Dot"/>
    <w:semiHidden/>
    <w:rPr>
      <w:rFonts w:eastAsiaTheme="minorHAnsi"/>
    </w:rPr>
  </w:style>
  <w:style w:type="paragraph" w:styleId="ListBullet2">
    <w:name w:val="List Bullet 2"/>
    <w:basedOn w:val="01B2Dash"/>
    <w:semiHidden/>
  </w:style>
  <w:style w:type="paragraph" w:styleId="ListBullet4">
    <w:name w:val="List Bullet 4"/>
    <w:basedOn w:val="01B4Chevron"/>
    <w:semiHidden/>
  </w:style>
  <w:style w:type="paragraph" w:styleId="ListBullet5">
    <w:name w:val="List Bullet 5"/>
    <w:basedOn w:val="01B5Square"/>
    <w:semiHidden/>
  </w:style>
  <w:style w:type="paragraph" w:customStyle="1" w:styleId="12TableCaption">
    <w:name w:val="12 Table Caption"/>
    <w:basedOn w:val="00Body"/>
    <w:pPr>
      <w:spacing w:before="60" w:after="480" w:line="240" w:lineRule="auto"/>
      <w:contextualSpacing/>
    </w:pPr>
    <w:rPr>
      <w:sz w:val="18"/>
      <w:szCs w:val="18"/>
    </w:rPr>
  </w:style>
  <w:style w:type="paragraph" w:customStyle="1" w:styleId="67CVHeading">
    <w:name w:val="67 CVHeading"/>
    <w:basedOn w:val="22Sub1H3"/>
    <w:next w:val="00Body"/>
    <w:pPr>
      <w:outlineLvl w:val="9"/>
    </w:pPr>
  </w:style>
  <w:style w:type="character" w:customStyle="1" w:styleId="00Bold">
    <w:name w:val="00 Bold"/>
    <w:basedOn w:val="DefaultParagraphFont"/>
    <w:rPr>
      <w:rFonts w:asciiTheme="minorHAnsi" w:hAnsiTheme="minorHAnsi" w:cs="Theinhardt Pan"/>
      <w:b/>
    </w:rPr>
  </w:style>
  <w:style w:type="paragraph" w:customStyle="1" w:styleId="18DividerPage">
    <w:name w:val="18 Divider Page"/>
    <w:pPr>
      <w:spacing w:before="720" w:after="720" w:line="264" w:lineRule="auto"/>
      <w:outlineLvl w:val="0"/>
    </w:pPr>
    <w:rPr>
      <w:rFonts w:asciiTheme="majorHAnsi" w:hAnsiTheme="majorHAnsi" w:cs="Times New Roman"/>
      <w:b/>
      <w:sz w:val="56"/>
      <w:szCs w:val="56"/>
      <w:lang w:val="en-US"/>
    </w:rPr>
  </w:style>
  <w:style w:type="paragraph" w:styleId="IndexHeading">
    <w:name w:val="index heading"/>
    <w:basedOn w:val="21MinorH2"/>
    <w:next w:val="Index1"/>
    <w:semiHidden/>
    <w:unhideWhenUsed/>
    <w:pPr>
      <w:outlineLvl w:val="9"/>
    </w:pPr>
    <w:rPr>
      <w:rFonts w:eastAsiaTheme="majorEastAsia" w:cstheme="majorBidi"/>
    </w:rPr>
  </w:style>
  <w:style w:type="paragraph" w:styleId="EnvelopeAddress">
    <w:name w:val="envelope address"/>
    <w:basedOn w:val="Normal"/>
    <w:semiHidden/>
    <w:unhideWhenUsed/>
    <w:pPr>
      <w:spacing w:after="0" w:line="240" w:lineRule="auto"/>
      <w:ind w:left="2880"/>
    </w:pPr>
    <w:rPr>
      <w:rFonts w:eastAsiaTheme="majorEastAsia" w:cstheme="majorBidi"/>
      <w:sz w:val="24"/>
      <w:szCs w:val="24"/>
    </w:rPr>
  </w:style>
  <w:style w:type="paragraph" w:styleId="EnvelopeReturn">
    <w:name w:val="envelope return"/>
    <w:basedOn w:val="Normal"/>
    <w:semiHidden/>
    <w:unhideWhenUsed/>
    <w:pPr>
      <w:spacing w:after="0" w:line="240" w:lineRule="auto"/>
    </w:pPr>
    <w:rPr>
      <w:rFonts w:eastAsiaTheme="majorEastAsia" w:cstheme="majorBidi"/>
      <w:sz w:val="20"/>
      <w:szCs w:val="20"/>
    </w:rPr>
  </w:style>
  <w:style w:type="paragraph" w:styleId="CommentText">
    <w:name w:val="annotation text"/>
    <w:basedOn w:val="Normal"/>
    <w:link w:val="CommentTextChar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Pr>
      <w:rFonts w:eastAsia="Times New Roman" w:cs="Times New Roman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Pr>
      <w:b/>
    </w:rPr>
  </w:style>
  <w:style w:type="character" w:customStyle="1" w:styleId="CommentSubjectChar">
    <w:name w:val="Comment Subject Char"/>
    <w:basedOn w:val="CommentTextChar"/>
    <w:link w:val="CommentSubject"/>
    <w:semiHidden/>
    <w:rPr>
      <w:rFonts w:eastAsia="Times New Roman" w:cs="Times New Roman"/>
      <w:b/>
      <w:sz w:val="20"/>
      <w:szCs w:val="20"/>
      <w:lang w:val="en-US"/>
    </w:rPr>
  </w:style>
  <w:style w:type="paragraph" w:styleId="BalloonText">
    <w:name w:val="Balloon Text"/>
    <w:basedOn w:val="Normal"/>
    <w:link w:val="BalloonTextChar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Pr>
      <w:rFonts w:ascii="Segoe UI" w:eastAsia="Times New Roman" w:hAnsi="Segoe UI" w:cs="Segoe UI"/>
      <w:sz w:val="18"/>
      <w:szCs w:val="18"/>
      <w:lang w:val="en-US"/>
    </w:rPr>
  </w:style>
  <w:style w:type="paragraph" w:customStyle="1" w:styleId="994Date">
    <w:name w:val="99.4 Date"/>
    <w:basedOn w:val="992Subtitle"/>
    <w:rPr>
      <w:sz w:val="24"/>
      <w:szCs w:val="24"/>
    </w:rPr>
  </w:style>
  <w:style w:type="paragraph" w:styleId="BodyText">
    <w:name w:val="Body Text"/>
    <w:basedOn w:val="Normal"/>
    <w:link w:val="BodyTextChar"/>
    <w:semiHidden/>
    <w:unhideWhenUsed/>
  </w:style>
  <w:style w:type="character" w:customStyle="1" w:styleId="BodyTextChar">
    <w:name w:val="Body Text Char"/>
    <w:basedOn w:val="DefaultParagraphFont"/>
    <w:link w:val="BodyText"/>
    <w:semiHidden/>
    <w:rPr>
      <w:rFonts w:eastAsia="Times New Roman" w:cs="Times New Roman"/>
      <w:lang w:val="en-US"/>
    </w:rPr>
  </w:style>
  <w:style w:type="numbering" w:styleId="111111">
    <w:name w:val="Outline List 2"/>
    <w:basedOn w:val="NoList"/>
    <w:semiHidden/>
    <w:unhideWhenUsed/>
  </w:style>
  <w:style w:type="numbering" w:styleId="1ai">
    <w:name w:val="Outline List 1"/>
    <w:basedOn w:val="NoList"/>
    <w:semiHidden/>
    <w:unhideWhenUsed/>
  </w:style>
  <w:style w:type="numbering" w:styleId="ArticleSection">
    <w:name w:val="Outline List 3"/>
    <w:basedOn w:val="NoList"/>
    <w:semiHidden/>
    <w:unhideWhenUsed/>
  </w:style>
  <w:style w:type="paragraph" w:styleId="Bibliography">
    <w:name w:val="Bibliography"/>
    <w:basedOn w:val="Normal"/>
    <w:next w:val="Normal"/>
    <w:semiHidden/>
    <w:unhideWhenUsed/>
  </w:style>
  <w:style w:type="paragraph" w:styleId="BlockText">
    <w:name w:val="Block Text"/>
    <w:basedOn w:val="Normal"/>
    <w:semiHidden/>
    <w:unhideWhenUsed/>
    <w:pPr>
      <w:pBdr>
        <w:top w:val="single" w:sz="2" w:space="10" w:color="051C2C" w:themeColor="accent1"/>
        <w:left w:val="single" w:sz="2" w:space="10" w:color="051C2C" w:themeColor="accent1"/>
        <w:bottom w:val="single" w:sz="2" w:space="10" w:color="051C2C" w:themeColor="accent1"/>
        <w:right w:val="single" w:sz="2" w:space="10" w:color="051C2C" w:themeColor="accent1"/>
      </w:pBdr>
      <w:ind w:left="1152" w:right="1152"/>
    </w:pPr>
    <w:rPr>
      <w:rFonts w:eastAsiaTheme="minorEastAsia" w:cstheme="minorBidi"/>
      <w:i/>
      <w:color w:val="051C2C" w:themeColor="accent1"/>
    </w:rPr>
  </w:style>
  <w:style w:type="paragraph" w:styleId="BodyText2">
    <w:name w:val="Body Text 2"/>
    <w:basedOn w:val="Normal"/>
    <w:link w:val="BodyText2Char"/>
    <w:semiHidden/>
    <w:unhideWhenUsed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semiHidden/>
    <w:rPr>
      <w:rFonts w:eastAsia="Times New Roman" w:cs="Times New Roman"/>
      <w:lang w:val="en-US"/>
    </w:rPr>
  </w:style>
  <w:style w:type="paragraph" w:styleId="BodyText3">
    <w:name w:val="Body Text 3"/>
    <w:basedOn w:val="Normal"/>
    <w:link w:val="BodyText3Char"/>
    <w:semiHidden/>
    <w:unhideWhenUsed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semiHidden/>
    <w:rPr>
      <w:rFonts w:eastAsia="Times New Roman" w:cs="Times New Roman"/>
      <w:sz w:val="16"/>
      <w:szCs w:val="16"/>
      <w:lang w:val="en-US"/>
    </w:rPr>
  </w:style>
  <w:style w:type="paragraph" w:styleId="BodyTextFirstIndent">
    <w:name w:val="Body Text First Indent"/>
    <w:basedOn w:val="BodyText"/>
    <w:link w:val="BodyTextFirstIndentChar"/>
    <w:semiHidden/>
    <w:unhideWhenUsed/>
    <w:pPr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semiHidden/>
    <w:rPr>
      <w:rFonts w:eastAsia="Times New Roman" w:cs="Times New Roman"/>
      <w:lang w:val="en-US"/>
    </w:rPr>
  </w:style>
  <w:style w:type="paragraph" w:styleId="BodyTextIndent">
    <w:name w:val="Body Text Indent"/>
    <w:basedOn w:val="Normal"/>
    <w:link w:val="BodyTextIndentChar"/>
    <w:semiHidden/>
    <w:unhideWhenUsed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semiHidden/>
    <w:rPr>
      <w:rFonts w:eastAsia="Times New Roman" w:cs="Times New Roman"/>
      <w:lang w:val="en-US"/>
    </w:rPr>
  </w:style>
  <w:style w:type="paragraph" w:styleId="BodyTextFirstIndent2">
    <w:name w:val="Body Text First Indent 2"/>
    <w:basedOn w:val="BodyTextIndent"/>
    <w:link w:val="BodyTextFirstIndent2Char"/>
    <w:semiHidden/>
    <w:unhideWhenUsed/>
    <w:pPr>
      <w:spacing w:after="18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semiHidden/>
    <w:rPr>
      <w:rFonts w:eastAsia="Times New Roman" w:cs="Times New Roman"/>
      <w:lang w:val="en-US"/>
    </w:rPr>
  </w:style>
  <w:style w:type="paragraph" w:styleId="BodyTextIndent2">
    <w:name w:val="Body Text Indent 2"/>
    <w:basedOn w:val="Normal"/>
    <w:link w:val="BodyTextIndent2Char"/>
    <w:semiHidden/>
    <w:unhideWhenUsed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semiHidden/>
    <w:rPr>
      <w:rFonts w:eastAsia="Times New Roman" w:cs="Times New Roman"/>
      <w:lang w:val="en-US"/>
    </w:rPr>
  </w:style>
  <w:style w:type="paragraph" w:styleId="BodyTextIndent3">
    <w:name w:val="Body Text Indent 3"/>
    <w:basedOn w:val="Normal"/>
    <w:link w:val="BodyTextIndent3Char"/>
    <w:semiHidden/>
    <w:unhideWhenUsed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semiHidden/>
    <w:rPr>
      <w:rFonts w:eastAsia="Times New Roman" w:cs="Times New Roman"/>
      <w:sz w:val="16"/>
      <w:szCs w:val="16"/>
      <w:lang w:val="en-US"/>
    </w:rPr>
  </w:style>
  <w:style w:type="paragraph" w:styleId="Caption">
    <w:name w:val="caption"/>
    <w:basedOn w:val="Normal"/>
    <w:next w:val="Normal"/>
    <w:semiHidden/>
    <w:unhideWhenUsed/>
    <w:pPr>
      <w:spacing w:after="200" w:line="240" w:lineRule="auto"/>
    </w:pPr>
    <w:rPr>
      <w:i/>
      <w:color w:val="051C2C" w:themeColor="text2"/>
      <w:sz w:val="18"/>
      <w:szCs w:val="18"/>
    </w:rPr>
  </w:style>
  <w:style w:type="paragraph" w:styleId="Closing">
    <w:name w:val="Closing"/>
    <w:basedOn w:val="Normal"/>
    <w:link w:val="ClosingChar"/>
    <w:semiHidden/>
    <w:unhideWhenUsed/>
    <w:pPr>
      <w:spacing w:after="0" w:line="240" w:lineRule="auto"/>
      <w:ind w:left="4252"/>
    </w:pPr>
  </w:style>
  <w:style w:type="character" w:customStyle="1" w:styleId="ClosingChar">
    <w:name w:val="Closing Char"/>
    <w:basedOn w:val="DefaultParagraphFont"/>
    <w:link w:val="Closing"/>
    <w:semiHidden/>
    <w:rPr>
      <w:rFonts w:eastAsia="Times New Roman" w:cs="Times New Roman"/>
      <w:lang w:val="en-US"/>
    </w:rPr>
  </w:style>
  <w:style w:type="table" w:styleId="ColorfulGrid">
    <w:name w:val="Colorful Grid"/>
    <w:basedOn w:val="TableNormal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000000" w:fill="CCCCCC" w:themeFill="text1" w:themeFillTint="33"/>
    </w:tcPr>
    <w:tblStylePr w:type="firstRow">
      <w:rPr>
        <w:b/>
      </w:rPr>
      <w:tblPr/>
      <w:tcPr>
        <w:shd w:val="clear" w:color="000000" w:fill="999999" w:themeFill="text1" w:themeFillTint="66"/>
      </w:tcPr>
    </w:tblStylePr>
    <w:tblStylePr w:type="lastRow">
      <w:rPr>
        <w:b/>
        <w:color w:val="000000" w:themeColor="text1"/>
      </w:rPr>
      <w:tblPr/>
      <w:tcPr>
        <w:shd w:val="clear" w:color="000000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000000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000000" w:fill="000000" w:themeFill="text1" w:themeFillShade="BF"/>
      </w:tcPr>
    </w:tblStylePr>
    <w:tblStylePr w:type="band1Vert">
      <w:tblPr/>
      <w:tcPr>
        <w:shd w:val="clear" w:color="000000" w:fill="808080" w:themeFill="text1" w:themeFillTint="7F"/>
      </w:tcPr>
    </w:tblStylePr>
    <w:tblStylePr w:type="band1Horz">
      <w:tblPr/>
      <w:tcPr>
        <w:shd w:val="clear" w:color="000000" w:fill="808080" w:themeFill="text1" w:themeFillTint="7F"/>
      </w:tcPr>
    </w:tblStylePr>
  </w:style>
  <w:style w:type="table" w:styleId="ColorfulGrid-Accent1">
    <w:name w:val="Colorful Grid Accent 1"/>
    <w:basedOn w:val="TableNormal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000000" w:fill="ACD7F5" w:themeFill="accent1" w:themeFillTint="33"/>
    </w:tcPr>
    <w:tblStylePr w:type="firstRow">
      <w:rPr>
        <w:b/>
      </w:rPr>
      <w:tblPr/>
      <w:tcPr>
        <w:shd w:val="clear" w:color="000000" w:fill="59AFEC" w:themeFill="accent1" w:themeFillTint="66"/>
      </w:tcPr>
    </w:tblStylePr>
    <w:tblStylePr w:type="lastRow">
      <w:rPr>
        <w:b/>
        <w:color w:val="000000" w:themeColor="text1"/>
      </w:rPr>
      <w:tblPr/>
      <w:tcPr>
        <w:shd w:val="clear" w:color="000000" w:fill="59AFEC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000000" w:fill="031420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000000" w:fill="031420" w:themeFill="accent1" w:themeFillShade="BF"/>
      </w:tcPr>
    </w:tblStylePr>
    <w:tblStylePr w:type="band1Vert">
      <w:tblPr/>
      <w:tcPr>
        <w:shd w:val="clear" w:color="000000" w:fill="309CE7" w:themeFill="accent1" w:themeFillTint="7F"/>
      </w:tcPr>
    </w:tblStylePr>
    <w:tblStylePr w:type="band1Horz">
      <w:tblPr/>
      <w:tcPr>
        <w:shd w:val="clear" w:color="000000" w:fill="309CE7" w:themeFill="accent1" w:themeFillTint="7F"/>
      </w:tcPr>
    </w:tblStylePr>
  </w:style>
  <w:style w:type="table" w:styleId="ColorfulGrid-Accent2">
    <w:name w:val="Colorful Grid Accent 2"/>
    <w:basedOn w:val="TableNormal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000000" w:fill="C9EEFF" w:themeFill="accent2" w:themeFillTint="33"/>
    </w:tcPr>
    <w:tblStylePr w:type="firstRow">
      <w:rPr>
        <w:b/>
      </w:rPr>
      <w:tblPr/>
      <w:tcPr>
        <w:shd w:val="clear" w:color="000000" w:fill="94DDFF" w:themeFill="accent2" w:themeFillTint="66"/>
      </w:tcPr>
    </w:tblStylePr>
    <w:tblStylePr w:type="lastRow">
      <w:rPr>
        <w:b/>
        <w:color w:val="000000" w:themeColor="text1"/>
      </w:rPr>
      <w:tblPr/>
      <w:tcPr>
        <w:shd w:val="clear" w:color="000000" w:fill="94DDFF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000000" w:fill="007EB6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000000" w:fill="007EB6" w:themeFill="accent2" w:themeFillShade="BF"/>
      </w:tcPr>
    </w:tblStylePr>
    <w:tblStylePr w:type="band1Vert">
      <w:tblPr/>
      <w:tcPr>
        <w:shd w:val="clear" w:color="000000" w:fill="7AD5FF" w:themeFill="accent2" w:themeFillTint="7F"/>
      </w:tcPr>
    </w:tblStylePr>
    <w:tblStylePr w:type="band1Horz">
      <w:tblPr/>
      <w:tcPr>
        <w:shd w:val="clear" w:color="000000" w:fill="7AD5FF" w:themeFill="accent2" w:themeFillTint="7F"/>
      </w:tcPr>
    </w:tblStylePr>
  </w:style>
  <w:style w:type="table" w:styleId="ColorfulGrid-Accent3">
    <w:name w:val="Colorful Grid Accent 3"/>
    <w:basedOn w:val="TableNormal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000000" w:fill="D2DCFF" w:themeFill="accent3" w:themeFillTint="33"/>
    </w:tcPr>
    <w:tblStylePr w:type="firstRow">
      <w:rPr>
        <w:b/>
      </w:rPr>
      <w:tblPr/>
      <w:tcPr>
        <w:shd w:val="clear" w:color="000000" w:fill="A6B9FF" w:themeFill="accent3" w:themeFillTint="66"/>
      </w:tcPr>
    </w:tblStylePr>
    <w:tblStylePr w:type="lastRow">
      <w:rPr>
        <w:b/>
        <w:color w:val="000000" w:themeColor="text1"/>
      </w:rPr>
      <w:tblPr/>
      <w:tcPr>
        <w:shd w:val="clear" w:color="000000" w:fill="A6B9FF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000000" w:fill="002DD8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000000" w:fill="002DD8" w:themeFill="accent3" w:themeFillShade="BF"/>
      </w:tcPr>
    </w:tblStylePr>
    <w:tblStylePr w:type="band1Vert">
      <w:tblPr/>
      <w:tcPr>
        <w:shd w:val="clear" w:color="000000" w:fill="90A8FF" w:themeFill="accent3" w:themeFillTint="7F"/>
      </w:tcPr>
    </w:tblStylePr>
    <w:tblStylePr w:type="band1Horz">
      <w:tblPr/>
      <w:tcPr>
        <w:shd w:val="clear" w:color="000000" w:fill="90A8FF" w:themeFill="accent3" w:themeFillTint="7F"/>
      </w:tcPr>
    </w:tblStylePr>
  </w:style>
  <w:style w:type="table" w:styleId="ColorfulGrid-Accent4">
    <w:name w:val="Colorful Grid Accent 4"/>
    <w:basedOn w:val="TableNormal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000000" w:fill="EEF9FC" w:themeFill="accent4" w:themeFillTint="33"/>
    </w:tcPr>
    <w:tblStylePr w:type="firstRow">
      <w:rPr>
        <w:b/>
      </w:rPr>
      <w:tblPr/>
      <w:tcPr>
        <w:shd w:val="clear" w:color="000000" w:fill="DDF4F9" w:themeFill="accent4" w:themeFillTint="66"/>
      </w:tcPr>
    </w:tblStylePr>
    <w:tblStylePr w:type="lastRow">
      <w:rPr>
        <w:b/>
        <w:color w:val="000000" w:themeColor="text1"/>
      </w:rPr>
      <w:tblPr/>
      <w:tcPr>
        <w:shd w:val="clear" w:color="000000" w:fill="DDF4F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000000" w:fill="52CCE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000000" w:fill="52CCE0" w:themeFill="accent4" w:themeFillShade="BF"/>
      </w:tcPr>
    </w:tblStylePr>
    <w:tblStylePr w:type="band1Vert">
      <w:tblPr/>
      <w:tcPr>
        <w:shd w:val="clear" w:color="000000" w:fill="D4F2F7" w:themeFill="accent4" w:themeFillTint="7F"/>
      </w:tcPr>
    </w:tblStylePr>
    <w:tblStylePr w:type="band1Horz">
      <w:tblPr/>
      <w:tcPr>
        <w:shd w:val="clear" w:color="000000" w:fill="D4F2F7" w:themeFill="accent4" w:themeFillTint="7F"/>
      </w:tcPr>
    </w:tblStylePr>
  </w:style>
  <w:style w:type="table" w:styleId="ColorfulGrid-Accent5">
    <w:name w:val="Colorful Grid Accent 5"/>
    <w:basedOn w:val="TableNormal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000000" w:fill="D6EAF1" w:themeFill="accent5" w:themeFillTint="33"/>
    </w:tcPr>
    <w:tblStylePr w:type="firstRow">
      <w:rPr>
        <w:b/>
      </w:rPr>
      <w:tblPr/>
      <w:tcPr>
        <w:shd w:val="clear" w:color="000000" w:fill="AED6E4" w:themeFill="accent5" w:themeFillTint="66"/>
      </w:tcPr>
    </w:tblStylePr>
    <w:tblStylePr w:type="lastRow">
      <w:rPr>
        <w:b/>
        <w:color w:val="000000" w:themeColor="text1"/>
      </w:rPr>
      <w:tblPr/>
      <w:tcPr>
        <w:shd w:val="clear" w:color="000000" w:fill="AED6E4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000000" w:fill="2D708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000000" w:fill="2D7086" w:themeFill="accent5" w:themeFillShade="BF"/>
      </w:tcPr>
    </w:tblStylePr>
    <w:tblStylePr w:type="band1Vert">
      <w:tblPr/>
      <w:tcPr>
        <w:shd w:val="clear" w:color="000000" w:fill="9ACCDD" w:themeFill="accent5" w:themeFillTint="7F"/>
      </w:tcPr>
    </w:tblStylePr>
    <w:tblStylePr w:type="band1Horz">
      <w:tblPr/>
      <w:tcPr>
        <w:shd w:val="clear" w:color="000000" w:fill="9ACCDD" w:themeFill="accent5" w:themeFillTint="7F"/>
      </w:tcPr>
    </w:tblStylePr>
  </w:style>
  <w:style w:type="table" w:styleId="ColorfulGrid-Accent6">
    <w:name w:val="Colorful Grid Accent 6"/>
    <w:basedOn w:val="TableNormal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000000" w:fill="EFF2FF" w:themeFill="accent6" w:themeFillTint="33"/>
    </w:tcPr>
    <w:tblStylePr w:type="firstRow">
      <w:rPr>
        <w:b/>
      </w:rPr>
      <w:tblPr/>
      <w:tcPr>
        <w:shd w:val="clear" w:color="000000" w:fill="DFE6FF" w:themeFill="accent6" w:themeFillTint="66"/>
      </w:tcPr>
    </w:tblStylePr>
    <w:tblStylePr w:type="lastRow">
      <w:rPr>
        <w:b/>
        <w:color w:val="000000" w:themeColor="text1"/>
      </w:rPr>
      <w:tblPr/>
      <w:tcPr>
        <w:shd w:val="clear" w:color="000000" w:fill="DFE6FF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000000" w:fill="4371FF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000000" w:fill="4371FF" w:themeFill="accent6" w:themeFillShade="BF"/>
      </w:tcPr>
    </w:tblStylePr>
    <w:tblStylePr w:type="band1Vert">
      <w:tblPr/>
      <w:tcPr>
        <w:shd w:val="clear" w:color="000000" w:fill="D7E0FF" w:themeFill="accent6" w:themeFillTint="7F"/>
      </w:tcPr>
    </w:tblStylePr>
    <w:tblStylePr w:type="band1Horz">
      <w:tblPr/>
      <w:tcPr>
        <w:shd w:val="clear" w:color="000000" w:fill="D7E0FF" w:themeFill="accent6" w:themeFillTint="7F"/>
      </w:tcPr>
    </w:tblStylePr>
  </w:style>
  <w:style w:type="table" w:styleId="ColorfulList">
    <w:name w:val="Colorful List"/>
    <w:basedOn w:val="TableNormal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000000" w:fill="E6E6E6" w:themeFill="text1" w:themeFillTint="19"/>
    </w:tcPr>
    <w:tblStylePr w:type="firstRow">
      <w:rPr>
        <w:b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000000" w:fill="0086C3" w:themeFill="accent2" w:themeFillShade="CC"/>
      </w:tcPr>
    </w:tblStylePr>
    <w:tblStylePr w:type="lastRow">
      <w:rPr>
        <w:b/>
        <w:color w:val="0086C3" w:themeColor="accent2" w:themeShade="CC"/>
      </w:rPr>
      <w:tblPr/>
      <w:tcPr>
        <w:tcBorders>
          <w:top w:val="single" w:sz="12" w:space="0" w:color="000000" w:themeColor="text1"/>
        </w:tcBorders>
        <w:shd w:val="clear" w:color="000000" w:fill="FFFFFF" w:themeFill="background1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000000" w:fill="C0C0C0" w:themeFill="text1" w:themeFillTint="3F"/>
      </w:tcPr>
    </w:tblStylePr>
    <w:tblStylePr w:type="band1Horz">
      <w:tblPr/>
      <w:tcPr>
        <w:shd w:val="clear" w:color="000000" w:fill="CCCCCC" w:themeFill="text1" w:themeFillTint="33"/>
      </w:tcPr>
    </w:tblStylePr>
  </w:style>
  <w:style w:type="table" w:styleId="ColorfulList-Accent1">
    <w:name w:val="Colorful List Accent 1"/>
    <w:basedOn w:val="TableNormal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000000" w:fill="D6EBFA" w:themeFill="accent1" w:themeFillTint="19"/>
    </w:tcPr>
    <w:tblStylePr w:type="firstRow">
      <w:rPr>
        <w:b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000000" w:fill="0086C3" w:themeFill="accent2" w:themeFillShade="CC"/>
      </w:tcPr>
    </w:tblStylePr>
    <w:tblStylePr w:type="lastRow">
      <w:rPr>
        <w:b/>
        <w:color w:val="0086C3" w:themeColor="accent2" w:themeShade="CC"/>
      </w:rPr>
      <w:tblPr/>
      <w:tcPr>
        <w:tcBorders>
          <w:top w:val="single" w:sz="12" w:space="0" w:color="000000" w:themeColor="text1"/>
        </w:tcBorders>
        <w:shd w:val="clear" w:color="000000" w:fill="FFFFFF" w:themeFill="background1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000000" w:fill="98CEF3" w:themeFill="accent1" w:themeFillTint="3F"/>
      </w:tcPr>
    </w:tblStylePr>
    <w:tblStylePr w:type="band1Horz">
      <w:tblPr/>
      <w:tcPr>
        <w:shd w:val="clear" w:color="000000" w:fill="ACD7F5" w:themeFill="accent1" w:themeFillTint="33"/>
      </w:tcPr>
    </w:tblStylePr>
  </w:style>
  <w:style w:type="table" w:styleId="ColorfulList-Accent2">
    <w:name w:val="Colorful List Accent 2"/>
    <w:basedOn w:val="TableNormal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000000" w:fill="E4F6FF" w:themeFill="accent2" w:themeFillTint="19"/>
    </w:tcPr>
    <w:tblStylePr w:type="firstRow">
      <w:rPr>
        <w:b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000000" w:fill="0086C3" w:themeFill="accent2" w:themeFillShade="CC"/>
      </w:tcPr>
    </w:tblStylePr>
    <w:tblStylePr w:type="lastRow">
      <w:rPr>
        <w:b/>
        <w:color w:val="0086C3" w:themeColor="accent2" w:themeShade="CC"/>
      </w:rPr>
      <w:tblPr/>
      <w:tcPr>
        <w:tcBorders>
          <w:top w:val="single" w:sz="12" w:space="0" w:color="000000" w:themeColor="text1"/>
        </w:tcBorders>
        <w:shd w:val="clear" w:color="000000" w:fill="FFFFFF" w:themeFill="background1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000000" w:fill="BDEAFF" w:themeFill="accent2" w:themeFillTint="3F"/>
      </w:tcPr>
    </w:tblStylePr>
    <w:tblStylePr w:type="band1Horz">
      <w:tblPr/>
      <w:tcPr>
        <w:shd w:val="clear" w:color="000000" w:fill="C9EEFF" w:themeFill="accent2" w:themeFillTint="33"/>
      </w:tcPr>
    </w:tblStylePr>
  </w:style>
  <w:style w:type="table" w:styleId="ColorfulList-Accent3">
    <w:name w:val="Colorful List Accent 3"/>
    <w:basedOn w:val="TableNormal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000000" w:fill="E9EDFF" w:themeFill="accent3" w:themeFillTint="19"/>
    </w:tcPr>
    <w:tblStylePr w:type="firstRow">
      <w:rPr>
        <w:b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000000" w:fill="64D1E3" w:themeFill="accent4" w:themeFillShade="CC"/>
      </w:tcPr>
    </w:tblStylePr>
    <w:tblStylePr w:type="lastRow">
      <w:rPr>
        <w:b/>
        <w:color w:val="64D1E3" w:themeColor="accent4" w:themeShade="CC"/>
      </w:rPr>
      <w:tblPr/>
      <w:tcPr>
        <w:tcBorders>
          <w:top w:val="single" w:sz="12" w:space="0" w:color="000000" w:themeColor="text1"/>
        </w:tcBorders>
        <w:shd w:val="clear" w:color="000000" w:fill="FFFFFF" w:themeFill="background1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000000" w:fill="C8D3FF" w:themeFill="accent3" w:themeFillTint="3F"/>
      </w:tcPr>
    </w:tblStylePr>
    <w:tblStylePr w:type="band1Horz">
      <w:tblPr/>
      <w:tcPr>
        <w:shd w:val="clear" w:color="000000" w:fill="D2DCFF" w:themeFill="accent3" w:themeFillTint="33"/>
      </w:tcPr>
    </w:tblStylePr>
  </w:style>
  <w:style w:type="table" w:styleId="ColorfulList-Accent4">
    <w:name w:val="Colorful List Accent 4"/>
    <w:basedOn w:val="TableNormal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000000" w:fill="F6FCFD" w:themeFill="accent4" w:themeFillTint="19"/>
    </w:tcPr>
    <w:tblStylePr w:type="firstRow">
      <w:rPr>
        <w:b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000000" w:fill="0030E7" w:themeFill="accent3" w:themeFillShade="CC"/>
      </w:tcPr>
    </w:tblStylePr>
    <w:tblStylePr w:type="lastRow">
      <w:rPr>
        <w:b/>
        <w:color w:val="0030E7" w:themeColor="accent3" w:themeShade="CC"/>
      </w:rPr>
      <w:tblPr/>
      <w:tcPr>
        <w:tcBorders>
          <w:top w:val="single" w:sz="12" w:space="0" w:color="000000" w:themeColor="text1"/>
        </w:tcBorders>
        <w:shd w:val="clear" w:color="000000" w:fill="FFFFFF" w:themeFill="background1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000000" w:fill="E9F8FB" w:themeFill="accent4" w:themeFillTint="3F"/>
      </w:tcPr>
    </w:tblStylePr>
    <w:tblStylePr w:type="band1Horz">
      <w:tblPr/>
      <w:tcPr>
        <w:shd w:val="clear" w:color="000000" w:fill="EEF9FC" w:themeFill="accent4" w:themeFillTint="33"/>
      </w:tcPr>
    </w:tblStylePr>
  </w:style>
  <w:style w:type="table" w:styleId="ColorfulList-Accent5">
    <w:name w:val="Colorful List Accent 5"/>
    <w:basedOn w:val="TableNormal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000000" w:fill="EBF4F8" w:themeFill="accent5" w:themeFillTint="19"/>
    </w:tcPr>
    <w:tblStylePr w:type="firstRow">
      <w:rPr>
        <w:b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000000" w:fill="5982FF" w:themeFill="accent6" w:themeFillShade="CC"/>
      </w:tcPr>
    </w:tblStylePr>
    <w:tblStylePr w:type="lastRow">
      <w:rPr>
        <w:b/>
        <w:color w:val="5982FF" w:themeColor="accent6" w:themeShade="CC"/>
      </w:rPr>
      <w:tblPr/>
      <w:tcPr>
        <w:tcBorders>
          <w:top w:val="single" w:sz="12" w:space="0" w:color="000000" w:themeColor="text1"/>
        </w:tcBorders>
        <w:shd w:val="clear" w:color="000000" w:fill="FFFFFF" w:themeFill="background1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000000" w:fill="CCE5EE" w:themeFill="accent5" w:themeFillTint="3F"/>
      </w:tcPr>
    </w:tblStylePr>
    <w:tblStylePr w:type="band1Horz">
      <w:tblPr/>
      <w:tcPr>
        <w:shd w:val="clear" w:color="000000" w:fill="D6EAF1" w:themeFill="accent5" w:themeFillTint="33"/>
      </w:tcPr>
    </w:tblStylePr>
  </w:style>
  <w:style w:type="table" w:styleId="ColorfulList-Accent6">
    <w:name w:val="Colorful List Accent 6"/>
    <w:basedOn w:val="TableNormal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000000" w:fill="F7F8FF" w:themeFill="accent6" w:themeFillTint="19"/>
    </w:tcPr>
    <w:tblStylePr w:type="firstRow">
      <w:rPr>
        <w:b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000000" w:fill="307790" w:themeFill="accent5" w:themeFillShade="CC"/>
      </w:tcPr>
    </w:tblStylePr>
    <w:tblStylePr w:type="lastRow">
      <w:rPr>
        <w:b/>
        <w:color w:val="307790" w:themeColor="accent5" w:themeShade="CC"/>
      </w:rPr>
      <w:tblPr/>
      <w:tcPr>
        <w:tcBorders>
          <w:top w:val="single" w:sz="12" w:space="0" w:color="000000" w:themeColor="text1"/>
        </w:tcBorders>
        <w:shd w:val="clear" w:color="000000" w:fill="FFFFFF" w:themeFill="background1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000000" w:fill="EBEFFF" w:themeFill="accent6" w:themeFillTint="3F"/>
      </w:tcPr>
    </w:tblStylePr>
    <w:tblStylePr w:type="band1Horz">
      <w:tblPr/>
      <w:tcPr>
        <w:shd w:val="clear" w:color="000000" w:fill="EFF2FF" w:themeFill="accent6" w:themeFillTint="33"/>
      </w:tcPr>
    </w:tblStylePr>
  </w:style>
  <w:style w:type="table" w:styleId="ColorfulShading">
    <w:name w:val="Colorful Shading"/>
    <w:basedOn w:val="TableNormal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00A9F4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000000" w:fill="E6E6E6" w:themeFill="text1" w:themeFillTint="19"/>
    </w:tcPr>
    <w:tblStylePr w:type="firstRow">
      <w:rPr>
        <w:b/>
      </w:rPr>
      <w:tblPr/>
      <w:tcPr>
        <w:tcBorders>
          <w:top w:val="nil"/>
          <w:left w:val="nil"/>
          <w:bottom w:val="single" w:sz="24" w:space="0" w:color="00A9F4" w:themeColor="accent2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000000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000000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000000" w:fill="000000" w:themeFill="text1" w:themeFillShade="BF"/>
      </w:tcPr>
    </w:tblStylePr>
    <w:tblStylePr w:type="band1Vert">
      <w:tblPr/>
      <w:tcPr>
        <w:shd w:val="clear" w:color="000000" w:fill="999999" w:themeFill="text1" w:themeFillTint="66"/>
      </w:tcPr>
    </w:tblStylePr>
    <w:tblStylePr w:type="band1Horz">
      <w:tblPr/>
      <w:tcPr>
        <w:shd w:val="clear" w:color="000000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00A9F4" w:themeColor="accent2"/>
        <w:left w:val="single" w:sz="4" w:space="0" w:color="051C2C" w:themeColor="accent1"/>
        <w:bottom w:val="single" w:sz="4" w:space="0" w:color="051C2C" w:themeColor="accent1"/>
        <w:right w:val="single" w:sz="4" w:space="0" w:color="051C2C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000000" w:fill="D6EBFA" w:themeFill="accent1" w:themeFillTint="19"/>
    </w:tcPr>
    <w:tblStylePr w:type="firstRow">
      <w:rPr>
        <w:b/>
      </w:rPr>
      <w:tblPr/>
      <w:tcPr>
        <w:tcBorders>
          <w:top w:val="nil"/>
          <w:left w:val="nil"/>
          <w:bottom w:val="single" w:sz="24" w:space="0" w:color="00A9F4" w:themeColor="accent2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000000" w:fill="03101A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3101A" w:themeColor="accent1" w:themeShade="99"/>
          <w:insideV w:val="nil"/>
        </w:tcBorders>
        <w:shd w:val="clear" w:color="000000" w:fill="03101A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000000" w:fill="03101A" w:themeFill="accent1" w:themeFillShade="99"/>
      </w:tcPr>
    </w:tblStylePr>
    <w:tblStylePr w:type="band1Vert">
      <w:tblPr/>
      <w:tcPr>
        <w:shd w:val="clear" w:color="000000" w:fill="59AFEC" w:themeFill="accent1" w:themeFillTint="66"/>
      </w:tcPr>
    </w:tblStylePr>
    <w:tblStylePr w:type="band1Horz">
      <w:tblPr/>
      <w:tcPr>
        <w:shd w:val="clear" w:color="000000" w:fill="309CE7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00A9F4" w:themeColor="accent2"/>
        <w:left w:val="single" w:sz="4" w:space="0" w:color="00A9F4" w:themeColor="accent2"/>
        <w:bottom w:val="single" w:sz="4" w:space="0" w:color="00A9F4" w:themeColor="accent2"/>
        <w:right w:val="single" w:sz="4" w:space="0" w:color="00A9F4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000000" w:fill="E4F6FF" w:themeFill="accent2" w:themeFillTint="19"/>
    </w:tcPr>
    <w:tblStylePr w:type="firstRow">
      <w:rPr>
        <w:b/>
      </w:rPr>
      <w:tblPr/>
      <w:tcPr>
        <w:tcBorders>
          <w:top w:val="nil"/>
          <w:left w:val="nil"/>
          <w:bottom w:val="single" w:sz="24" w:space="0" w:color="00A9F4" w:themeColor="accent2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000000" w:fill="00649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6492" w:themeColor="accent2" w:themeShade="99"/>
          <w:insideV w:val="nil"/>
        </w:tcBorders>
        <w:shd w:val="clear" w:color="000000" w:fill="00649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000000" w:fill="006492" w:themeFill="accent2" w:themeFillShade="99"/>
      </w:tcPr>
    </w:tblStylePr>
    <w:tblStylePr w:type="band1Vert">
      <w:tblPr/>
      <w:tcPr>
        <w:shd w:val="clear" w:color="000000" w:fill="94DDFF" w:themeFill="accent2" w:themeFillTint="66"/>
      </w:tcPr>
    </w:tblStylePr>
    <w:tblStylePr w:type="band1Horz">
      <w:tblPr/>
      <w:tcPr>
        <w:shd w:val="clear" w:color="000000" w:fill="7AD5FF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AAE6F0" w:themeColor="accent4"/>
        <w:left w:val="single" w:sz="4" w:space="0" w:color="2251FF" w:themeColor="accent3"/>
        <w:bottom w:val="single" w:sz="4" w:space="0" w:color="2251FF" w:themeColor="accent3"/>
        <w:right w:val="single" w:sz="4" w:space="0" w:color="2251FF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000000" w:fill="E9EDFF" w:themeFill="accent3" w:themeFillTint="19"/>
    </w:tcPr>
    <w:tblStylePr w:type="firstRow">
      <w:rPr>
        <w:b/>
      </w:rPr>
      <w:tblPr/>
      <w:tcPr>
        <w:tcBorders>
          <w:top w:val="nil"/>
          <w:left w:val="nil"/>
          <w:bottom w:val="single" w:sz="24" w:space="0" w:color="AAE6F0" w:themeColor="accent4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000000" w:fill="0024A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24AD" w:themeColor="accent3" w:themeShade="99"/>
          <w:insideV w:val="nil"/>
        </w:tcBorders>
        <w:shd w:val="clear" w:color="000000" w:fill="0024A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000000" w:fill="0024AD" w:themeFill="accent3" w:themeFillShade="99"/>
      </w:tcPr>
    </w:tblStylePr>
    <w:tblStylePr w:type="band1Vert">
      <w:tblPr/>
      <w:tcPr>
        <w:shd w:val="clear" w:color="000000" w:fill="A6B9FF" w:themeFill="accent3" w:themeFillTint="66"/>
      </w:tcPr>
    </w:tblStylePr>
    <w:tblStylePr w:type="band1Horz">
      <w:tblPr/>
      <w:tcPr>
        <w:shd w:val="clear" w:color="000000" w:fill="90A8FF" w:themeFill="accent3" w:themeFillTint="7F"/>
      </w:tcPr>
    </w:tblStylePr>
  </w:style>
  <w:style w:type="table" w:styleId="ColorfulShading-Accent4">
    <w:name w:val="Colorful Shading Accent 4"/>
    <w:basedOn w:val="TableNormal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2251FF" w:themeColor="accent3"/>
        <w:left w:val="single" w:sz="4" w:space="0" w:color="AAE6F0" w:themeColor="accent4"/>
        <w:bottom w:val="single" w:sz="4" w:space="0" w:color="AAE6F0" w:themeColor="accent4"/>
        <w:right w:val="single" w:sz="4" w:space="0" w:color="AAE6F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000000" w:fill="F6FCFD" w:themeFill="accent4" w:themeFillTint="19"/>
    </w:tcPr>
    <w:tblStylePr w:type="firstRow">
      <w:rPr>
        <w:b/>
      </w:rPr>
      <w:tblPr/>
      <w:tcPr>
        <w:tcBorders>
          <w:top w:val="nil"/>
          <w:left w:val="nil"/>
          <w:bottom w:val="single" w:sz="24" w:space="0" w:color="2251FF" w:themeColor="accent3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000000" w:fill="25B8D1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5B8D1" w:themeColor="accent4" w:themeShade="99"/>
          <w:insideV w:val="nil"/>
        </w:tcBorders>
        <w:shd w:val="clear" w:color="000000" w:fill="25B8D1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000000" w:fill="25B8D1" w:themeFill="accent4" w:themeFillShade="99"/>
      </w:tcPr>
    </w:tblStylePr>
    <w:tblStylePr w:type="band1Vert">
      <w:tblPr/>
      <w:tcPr>
        <w:shd w:val="clear" w:color="000000" w:fill="DDF4F9" w:themeFill="accent4" w:themeFillTint="66"/>
      </w:tcPr>
    </w:tblStylePr>
    <w:tblStylePr w:type="band1Horz">
      <w:tblPr/>
      <w:tcPr>
        <w:shd w:val="clear" w:color="000000" w:fill="D4F2F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AFC3FF" w:themeColor="accent6"/>
        <w:left w:val="single" w:sz="4" w:space="0" w:color="3C96B4" w:themeColor="accent5"/>
        <w:bottom w:val="single" w:sz="4" w:space="0" w:color="3C96B4" w:themeColor="accent5"/>
        <w:right w:val="single" w:sz="4" w:space="0" w:color="3C96B4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000000" w:fill="EBF4F8" w:themeFill="accent5" w:themeFillTint="19"/>
    </w:tcPr>
    <w:tblStylePr w:type="firstRow">
      <w:rPr>
        <w:b/>
      </w:rPr>
      <w:tblPr/>
      <w:tcPr>
        <w:tcBorders>
          <w:top w:val="nil"/>
          <w:left w:val="nil"/>
          <w:bottom w:val="single" w:sz="24" w:space="0" w:color="AFC3FF" w:themeColor="accent6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000000" w:fill="24596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4596C" w:themeColor="accent5" w:themeShade="99"/>
          <w:insideV w:val="nil"/>
        </w:tcBorders>
        <w:shd w:val="clear" w:color="000000" w:fill="24596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000000" w:fill="24596C" w:themeFill="accent5" w:themeFillShade="99"/>
      </w:tcPr>
    </w:tblStylePr>
    <w:tblStylePr w:type="band1Vert">
      <w:tblPr/>
      <w:tcPr>
        <w:shd w:val="clear" w:color="000000" w:fill="AED6E4" w:themeFill="accent5" w:themeFillTint="66"/>
      </w:tcPr>
    </w:tblStylePr>
    <w:tblStylePr w:type="band1Horz">
      <w:tblPr/>
      <w:tcPr>
        <w:shd w:val="clear" w:color="000000" w:fill="9ACCDD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3C96B4" w:themeColor="accent5"/>
        <w:left w:val="single" w:sz="4" w:space="0" w:color="AFC3FF" w:themeColor="accent6"/>
        <w:bottom w:val="single" w:sz="4" w:space="0" w:color="AFC3FF" w:themeColor="accent6"/>
        <w:right w:val="single" w:sz="4" w:space="0" w:color="AFC3FF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000000" w:fill="F7F8FF" w:themeFill="accent6" w:themeFillTint="19"/>
    </w:tcPr>
    <w:tblStylePr w:type="firstRow">
      <w:rPr>
        <w:b/>
      </w:rPr>
      <w:tblPr/>
      <w:tcPr>
        <w:tcBorders>
          <w:top w:val="nil"/>
          <w:left w:val="nil"/>
          <w:bottom w:val="single" w:sz="24" w:space="0" w:color="3C96B4" w:themeColor="accent5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000000" w:fill="0341FF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341FF" w:themeColor="accent6" w:themeShade="99"/>
          <w:insideV w:val="nil"/>
        </w:tcBorders>
        <w:shd w:val="clear" w:color="000000" w:fill="0341FF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000000" w:fill="0341FF" w:themeFill="accent6" w:themeFillShade="99"/>
      </w:tcPr>
    </w:tblStylePr>
    <w:tblStylePr w:type="band1Vert">
      <w:tblPr/>
      <w:tcPr>
        <w:shd w:val="clear" w:color="000000" w:fill="DFE6FF" w:themeFill="accent6" w:themeFillTint="66"/>
      </w:tcPr>
    </w:tblStylePr>
    <w:tblStylePr w:type="band1Horz">
      <w:tblPr/>
      <w:tcPr>
        <w:shd w:val="clear" w:color="000000" w:fill="D7E0FF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DarkList">
    <w:name w:val="Dark List"/>
    <w:basedOn w:val="TableNormal"/>
    <w:semiHidden/>
    <w:unhideWhenUsed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000000" w:fill="000000" w:themeFill="text1"/>
    </w:tcPr>
    <w:tblStylePr w:type="firstRow">
      <w:rPr>
        <w:b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000000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000000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000000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000000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000000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000000" w:fill="000000" w:themeFill="text1" w:themeFillShade="BF"/>
      </w:tcPr>
    </w:tblStylePr>
  </w:style>
  <w:style w:type="table" w:styleId="DarkList-Accent1">
    <w:name w:val="Dark List Accent 1"/>
    <w:basedOn w:val="TableNormal"/>
    <w:semiHidden/>
    <w:unhideWhenUsed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000000" w:fill="051C2C" w:themeFill="accent1"/>
    </w:tcPr>
    <w:tblStylePr w:type="firstRow">
      <w:rPr>
        <w:b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000000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000000" w:fill="020D15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000000" w:fill="031420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000000" w:fill="031420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000000" w:fill="031420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000000" w:fill="031420" w:themeFill="accent1" w:themeFillShade="BF"/>
      </w:tcPr>
    </w:tblStylePr>
  </w:style>
  <w:style w:type="table" w:styleId="DarkList-Accent2">
    <w:name w:val="Dark List Accent 2"/>
    <w:basedOn w:val="TableNormal"/>
    <w:semiHidden/>
    <w:unhideWhenUsed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000000" w:fill="00A9F4" w:themeFill="accent2"/>
    </w:tcPr>
    <w:tblStylePr w:type="firstRow">
      <w:rPr>
        <w:b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000000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000000" w:fill="005379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000000" w:fill="007EB6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000000" w:fill="007EB6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000000" w:fill="007EB6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000000" w:fill="007EB6" w:themeFill="accent2" w:themeFillShade="BF"/>
      </w:tcPr>
    </w:tblStylePr>
  </w:style>
  <w:style w:type="table" w:styleId="DarkList-Accent3">
    <w:name w:val="Dark List Accent 3"/>
    <w:basedOn w:val="TableNormal"/>
    <w:semiHidden/>
    <w:unhideWhenUsed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000000" w:fill="2251FF" w:themeFill="accent3"/>
    </w:tcPr>
    <w:tblStylePr w:type="firstRow">
      <w:rPr>
        <w:b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000000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000000" w:fill="001E8F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000000" w:fill="002DD8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000000" w:fill="002DD8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000000" w:fill="002DD8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000000" w:fill="002DD8" w:themeFill="accent3" w:themeFillShade="BF"/>
      </w:tcPr>
    </w:tblStylePr>
  </w:style>
  <w:style w:type="table" w:styleId="DarkList-Accent4">
    <w:name w:val="Dark List Accent 4"/>
    <w:basedOn w:val="TableNormal"/>
    <w:semiHidden/>
    <w:unhideWhenUsed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000000" w:fill="AAE6F0" w:themeFill="accent4"/>
    </w:tcPr>
    <w:tblStylePr w:type="firstRow">
      <w:rPr>
        <w:b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000000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000000" w:fill="1E98AD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000000" w:fill="52CCE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000000" w:fill="52CCE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000000" w:fill="52CCE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000000" w:fill="52CCE0" w:themeFill="accent4" w:themeFillShade="BF"/>
      </w:tcPr>
    </w:tblStylePr>
  </w:style>
  <w:style w:type="table" w:styleId="DarkList-Accent5">
    <w:name w:val="Dark List Accent 5"/>
    <w:basedOn w:val="TableNormal"/>
    <w:semiHidden/>
    <w:unhideWhenUsed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000000" w:fill="3C96B4" w:themeFill="accent5"/>
    </w:tcPr>
    <w:tblStylePr w:type="firstRow">
      <w:rPr>
        <w:b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000000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000000" w:fill="1D4A59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000000" w:fill="2D708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000000" w:fill="2D708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000000" w:fill="2D708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000000" w:fill="2D7086" w:themeFill="accent5" w:themeFillShade="BF"/>
      </w:tcPr>
    </w:tblStylePr>
  </w:style>
  <w:style w:type="table" w:styleId="DarkList-Accent6">
    <w:name w:val="Dark List Accent 6"/>
    <w:basedOn w:val="TableNormal"/>
    <w:semiHidden/>
    <w:unhideWhenUsed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000000" w:fill="AFC3FF" w:themeFill="accent6"/>
    </w:tcPr>
    <w:tblStylePr w:type="firstRow">
      <w:rPr>
        <w:b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000000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000000" w:fill="0034D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000000" w:fill="4371FF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000000" w:fill="4371FF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000000" w:fill="4371FF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000000" w:fill="4371FF" w:themeFill="accent6" w:themeFillShade="BF"/>
      </w:tcPr>
    </w:tblStylePr>
  </w:style>
  <w:style w:type="paragraph" w:styleId="Date">
    <w:name w:val="Date"/>
    <w:basedOn w:val="Normal"/>
    <w:next w:val="Normal"/>
    <w:link w:val="DateChar"/>
    <w:semiHidden/>
    <w:unhideWhenUsed/>
  </w:style>
  <w:style w:type="character" w:customStyle="1" w:styleId="DateChar">
    <w:name w:val="Date Char"/>
    <w:basedOn w:val="DefaultParagraphFont"/>
    <w:link w:val="Date"/>
    <w:semiHidden/>
    <w:rPr>
      <w:rFonts w:eastAsia="Times New Roman" w:cs="Times New Roman"/>
      <w:lang w:val="en-US"/>
    </w:rPr>
  </w:style>
  <w:style w:type="paragraph" w:styleId="DocumentMap">
    <w:name w:val="Document Map"/>
    <w:basedOn w:val="Normal"/>
    <w:link w:val="DocumentMapChar"/>
    <w:semiHidden/>
    <w:unhideWhenUsed/>
    <w:pPr>
      <w:spacing w:after="0" w:line="240" w:lineRule="auto"/>
    </w:pPr>
    <w:rPr>
      <w:rFonts w:ascii="Segoe UI" w:hAnsi="Segoe UI" w:cs="Segoe UI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semiHidden/>
    <w:rPr>
      <w:rFonts w:ascii="Segoe UI" w:eastAsia="Times New Roman" w:hAnsi="Segoe UI" w:cs="Segoe UI"/>
      <w:sz w:val="16"/>
      <w:szCs w:val="16"/>
      <w:lang w:val="en-US"/>
    </w:rPr>
  </w:style>
  <w:style w:type="character" w:customStyle="1" w:styleId="Hashtag1">
    <w:name w:val="Hashtag1"/>
    <w:basedOn w:val="DefaultParagraphFont"/>
    <w:semiHidden/>
    <w:unhideWhenUsed/>
    <w:rPr>
      <w:color w:val="2B579A"/>
      <w:shd w:val="clear" w:color="000000" w:fill="E1DFDD"/>
    </w:rPr>
  </w:style>
  <w:style w:type="character" w:styleId="HTMLAcronym">
    <w:name w:val="HTML Acronym"/>
    <w:basedOn w:val="DefaultParagraphFont"/>
    <w:semiHidden/>
    <w:unhideWhenUsed/>
  </w:style>
  <w:style w:type="paragraph" w:styleId="HTMLAddress">
    <w:name w:val="HTML Address"/>
    <w:basedOn w:val="Normal"/>
    <w:link w:val="HTMLAddressChar"/>
    <w:semiHidden/>
    <w:unhideWhenUsed/>
    <w:pPr>
      <w:spacing w:after="0" w:line="240" w:lineRule="auto"/>
    </w:pPr>
    <w:rPr>
      <w:i/>
    </w:rPr>
  </w:style>
  <w:style w:type="character" w:customStyle="1" w:styleId="HTMLAddressChar">
    <w:name w:val="HTML Address Char"/>
    <w:basedOn w:val="DefaultParagraphFont"/>
    <w:link w:val="HTMLAddress"/>
    <w:semiHidden/>
    <w:rPr>
      <w:rFonts w:eastAsia="Times New Roman" w:cs="Times New Roman"/>
      <w:i/>
      <w:lang w:val="en-US"/>
    </w:rPr>
  </w:style>
  <w:style w:type="character" w:styleId="HTMLCite">
    <w:name w:val="HTML Cite"/>
    <w:basedOn w:val="DefaultParagraphFont"/>
    <w:semiHidden/>
    <w:unhideWhenUsed/>
    <w:rPr>
      <w:i/>
    </w:rPr>
  </w:style>
  <w:style w:type="character" w:styleId="HTMLCode">
    <w:name w:val="HTML Code"/>
    <w:basedOn w:val="DefaultParagraphFont"/>
    <w:semiHidden/>
    <w:unhideWhenUsed/>
    <w:rPr>
      <w:rFonts w:ascii="Consolas" w:hAnsi="Consolas"/>
      <w:sz w:val="20"/>
      <w:szCs w:val="20"/>
    </w:rPr>
  </w:style>
  <w:style w:type="character" w:styleId="HTMLDefinition">
    <w:name w:val="HTML Definition"/>
    <w:basedOn w:val="DefaultParagraphFont"/>
    <w:semiHidden/>
    <w:unhideWhenUsed/>
    <w:rPr>
      <w:i/>
    </w:rPr>
  </w:style>
  <w:style w:type="character" w:styleId="HTMLKeyboard">
    <w:name w:val="HTML Keyboard"/>
    <w:basedOn w:val="DefaultParagraphFont"/>
    <w:semiHidden/>
    <w:unhideWhenUsed/>
    <w:rPr>
      <w:rFonts w:ascii="Consolas" w:hAnsi="Consolas"/>
      <w:sz w:val="20"/>
      <w:szCs w:val="20"/>
    </w:rPr>
  </w:style>
  <w:style w:type="paragraph" w:styleId="HTMLPreformatted">
    <w:name w:val="HTML Preformatted"/>
    <w:basedOn w:val="Normal"/>
    <w:link w:val="HTMLPreformattedChar"/>
    <w:semiHidden/>
    <w:unhideWhenUsed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semiHidden/>
    <w:rPr>
      <w:rFonts w:ascii="Consolas" w:eastAsia="Times New Roman" w:hAnsi="Consolas" w:cs="Times New Roman"/>
      <w:sz w:val="20"/>
      <w:szCs w:val="20"/>
      <w:lang w:val="en-US"/>
    </w:rPr>
  </w:style>
  <w:style w:type="character" w:styleId="HTMLSample">
    <w:name w:val="HTML Sample"/>
    <w:basedOn w:val="DefaultParagraphFont"/>
    <w:semiHidden/>
    <w:unhideWhenUsed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semiHidden/>
    <w:unhideWhenUsed/>
    <w:rPr>
      <w:rFonts w:ascii="Consolas" w:hAnsi="Consolas"/>
      <w:sz w:val="20"/>
      <w:szCs w:val="20"/>
    </w:rPr>
  </w:style>
  <w:style w:type="character" w:styleId="HTMLVariable">
    <w:name w:val="HTML Variable"/>
    <w:basedOn w:val="DefaultParagraphFont"/>
    <w:semiHidden/>
    <w:unhideWhenUsed/>
    <w:rPr>
      <w:i/>
    </w:rPr>
  </w:style>
  <w:style w:type="paragraph" w:styleId="Index2">
    <w:name w:val="index 2"/>
    <w:basedOn w:val="Normal"/>
    <w:next w:val="Normal"/>
    <w:semiHidden/>
    <w:unhideWhenUsed/>
    <w:pPr>
      <w:spacing w:after="0" w:line="240" w:lineRule="auto"/>
      <w:ind w:left="440" w:hanging="220"/>
    </w:pPr>
  </w:style>
  <w:style w:type="paragraph" w:styleId="Index3">
    <w:name w:val="index 3"/>
    <w:basedOn w:val="Normal"/>
    <w:next w:val="Normal"/>
    <w:semiHidden/>
    <w:unhideWhenUsed/>
    <w:pPr>
      <w:spacing w:after="0" w:line="240" w:lineRule="auto"/>
      <w:ind w:left="660" w:hanging="220"/>
    </w:pPr>
  </w:style>
  <w:style w:type="paragraph" w:styleId="Index4">
    <w:name w:val="index 4"/>
    <w:basedOn w:val="Normal"/>
    <w:next w:val="Normal"/>
    <w:semiHidden/>
    <w:unhideWhenUsed/>
    <w:pPr>
      <w:spacing w:after="0" w:line="240" w:lineRule="auto"/>
      <w:ind w:left="880" w:hanging="220"/>
    </w:pPr>
  </w:style>
  <w:style w:type="paragraph" w:styleId="Index5">
    <w:name w:val="index 5"/>
    <w:basedOn w:val="Normal"/>
    <w:next w:val="Normal"/>
    <w:semiHidden/>
    <w:unhideWhenUsed/>
    <w:pPr>
      <w:spacing w:after="0" w:line="240" w:lineRule="auto"/>
      <w:ind w:left="1100" w:hanging="220"/>
    </w:pPr>
  </w:style>
  <w:style w:type="paragraph" w:styleId="Index6">
    <w:name w:val="index 6"/>
    <w:basedOn w:val="Normal"/>
    <w:next w:val="Normal"/>
    <w:semiHidden/>
    <w:unhideWhenUsed/>
    <w:pPr>
      <w:spacing w:after="0" w:line="240" w:lineRule="auto"/>
      <w:ind w:left="1320" w:hanging="220"/>
    </w:pPr>
  </w:style>
  <w:style w:type="paragraph" w:styleId="Index7">
    <w:name w:val="index 7"/>
    <w:basedOn w:val="Normal"/>
    <w:next w:val="Normal"/>
    <w:semiHidden/>
    <w:unhideWhenUsed/>
    <w:pPr>
      <w:spacing w:after="0" w:line="240" w:lineRule="auto"/>
      <w:ind w:left="1540" w:hanging="220"/>
    </w:pPr>
  </w:style>
  <w:style w:type="paragraph" w:styleId="Index8">
    <w:name w:val="index 8"/>
    <w:basedOn w:val="Normal"/>
    <w:next w:val="Normal"/>
    <w:semiHidden/>
    <w:unhideWhenUsed/>
    <w:pPr>
      <w:spacing w:after="0" w:line="240" w:lineRule="auto"/>
      <w:ind w:left="1760" w:hanging="220"/>
    </w:pPr>
  </w:style>
  <w:style w:type="paragraph" w:styleId="Index9">
    <w:name w:val="index 9"/>
    <w:basedOn w:val="Normal"/>
    <w:next w:val="Normal"/>
    <w:semiHidden/>
    <w:unhideWhenUsed/>
    <w:pPr>
      <w:spacing w:after="0" w:line="240" w:lineRule="auto"/>
      <w:ind w:left="1980" w:hanging="220"/>
    </w:pPr>
  </w:style>
  <w:style w:type="character" w:customStyle="1" w:styleId="IntenseQuoteChar">
    <w:name w:val="Intense Quote Char"/>
    <w:basedOn w:val="DefaultParagraphFont"/>
    <w:link w:val="IntenseQuote"/>
    <w:rPr>
      <w:rFonts w:eastAsia="Times New Roman" w:cs="Times New Roman"/>
      <w:i/>
      <w:color w:val="051C2C" w:themeColor="accent1"/>
      <w:lang w:val="en-US"/>
    </w:rPr>
  </w:style>
  <w:style w:type="table" w:styleId="LightGrid">
    <w:name w:val="Light Grid"/>
    <w:basedOn w:val="TableNormal"/>
    <w:semiHidden/>
    <w:unhideWhenUsed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</w:rPr>
    </w:tblStylePr>
    <w:tblStylePr w:type="lastCol">
      <w:rPr>
        <w:rFonts w:asciiTheme="majorHAnsi" w:eastAsiaTheme="majorEastAsia" w:hAnsiTheme="majorHAnsi" w:cstheme="majorBidi"/>
        <w:b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000000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000000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semiHidden/>
    <w:unhideWhenUsed/>
    <w:pPr>
      <w:spacing w:after="0" w:line="240" w:lineRule="auto"/>
    </w:pPr>
    <w:tblPr>
      <w:tblStyleRowBandSize w:val="1"/>
      <w:tblStyleColBandSize w:val="1"/>
      <w:tblBorders>
        <w:top w:val="single" w:sz="8" w:space="0" w:color="051C2C" w:themeColor="accent1"/>
        <w:left w:val="single" w:sz="8" w:space="0" w:color="051C2C" w:themeColor="accent1"/>
        <w:bottom w:val="single" w:sz="8" w:space="0" w:color="051C2C" w:themeColor="accent1"/>
        <w:right w:val="single" w:sz="8" w:space="0" w:color="051C2C" w:themeColor="accent1"/>
        <w:insideH w:val="single" w:sz="8" w:space="0" w:color="051C2C" w:themeColor="accent1"/>
        <w:insideV w:val="single" w:sz="8" w:space="0" w:color="051C2C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</w:rPr>
      <w:tblPr/>
      <w:tcPr>
        <w:tcBorders>
          <w:top w:val="single" w:sz="8" w:space="0" w:color="051C2C" w:themeColor="accent1"/>
          <w:left w:val="single" w:sz="8" w:space="0" w:color="051C2C" w:themeColor="accent1"/>
          <w:bottom w:val="single" w:sz="18" w:space="0" w:color="051C2C" w:themeColor="accent1"/>
          <w:right w:val="single" w:sz="8" w:space="0" w:color="051C2C" w:themeColor="accent1"/>
          <w:insideH w:val="nil"/>
          <w:insideV w:val="single" w:sz="8" w:space="0" w:color="051C2C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</w:rPr>
      <w:tblPr/>
      <w:tcPr>
        <w:tcBorders>
          <w:top w:val="double" w:sz="6" w:space="0" w:color="051C2C" w:themeColor="accent1"/>
          <w:left w:val="single" w:sz="8" w:space="0" w:color="051C2C" w:themeColor="accent1"/>
          <w:bottom w:val="single" w:sz="8" w:space="0" w:color="051C2C" w:themeColor="accent1"/>
          <w:right w:val="single" w:sz="8" w:space="0" w:color="051C2C" w:themeColor="accent1"/>
          <w:insideH w:val="nil"/>
          <w:insideV w:val="single" w:sz="8" w:space="0" w:color="051C2C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</w:rPr>
    </w:tblStylePr>
    <w:tblStylePr w:type="lastCol">
      <w:rPr>
        <w:rFonts w:asciiTheme="majorHAnsi" w:eastAsiaTheme="majorEastAsia" w:hAnsiTheme="majorHAnsi" w:cstheme="majorBidi"/>
        <w:b/>
      </w:rPr>
      <w:tblPr/>
      <w:tcPr>
        <w:tcBorders>
          <w:top w:val="single" w:sz="8" w:space="0" w:color="051C2C" w:themeColor="accent1"/>
          <w:left w:val="single" w:sz="8" w:space="0" w:color="051C2C" w:themeColor="accent1"/>
          <w:bottom w:val="single" w:sz="8" w:space="0" w:color="051C2C" w:themeColor="accent1"/>
          <w:right w:val="single" w:sz="8" w:space="0" w:color="051C2C" w:themeColor="accent1"/>
        </w:tcBorders>
      </w:tcPr>
    </w:tblStylePr>
    <w:tblStylePr w:type="band1Vert">
      <w:tblPr/>
      <w:tcPr>
        <w:tcBorders>
          <w:top w:val="single" w:sz="8" w:space="0" w:color="051C2C" w:themeColor="accent1"/>
          <w:left w:val="single" w:sz="8" w:space="0" w:color="051C2C" w:themeColor="accent1"/>
          <w:bottom w:val="single" w:sz="8" w:space="0" w:color="051C2C" w:themeColor="accent1"/>
          <w:right w:val="single" w:sz="8" w:space="0" w:color="051C2C" w:themeColor="accent1"/>
        </w:tcBorders>
        <w:shd w:val="clear" w:color="000000" w:fill="98CEF3" w:themeFill="accent1" w:themeFillTint="3F"/>
      </w:tcPr>
    </w:tblStylePr>
    <w:tblStylePr w:type="band1Horz">
      <w:tblPr/>
      <w:tcPr>
        <w:tcBorders>
          <w:top w:val="single" w:sz="8" w:space="0" w:color="051C2C" w:themeColor="accent1"/>
          <w:left w:val="single" w:sz="8" w:space="0" w:color="051C2C" w:themeColor="accent1"/>
          <w:bottom w:val="single" w:sz="8" w:space="0" w:color="051C2C" w:themeColor="accent1"/>
          <w:right w:val="single" w:sz="8" w:space="0" w:color="051C2C" w:themeColor="accent1"/>
          <w:insideV w:val="single" w:sz="8" w:space="0" w:color="051C2C" w:themeColor="accent1"/>
        </w:tcBorders>
        <w:shd w:val="clear" w:color="000000" w:fill="98CEF3" w:themeFill="accent1" w:themeFillTint="3F"/>
      </w:tcPr>
    </w:tblStylePr>
    <w:tblStylePr w:type="band2Horz">
      <w:tblPr/>
      <w:tcPr>
        <w:tcBorders>
          <w:top w:val="single" w:sz="8" w:space="0" w:color="051C2C" w:themeColor="accent1"/>
          <w:left w:val="single" w:sz="8" w:space="0" w:color="051C2C" w:themeColor="accent1"/>
          <w:bottom w:val="single" w:sz="8" w:space="0" w:color="051C2C" w:themeColor="accent1"/>
          <w:right w:val="single" w:sz="8" w:space="0" w:color="051C2C" w:themeColor="accent1"/>
          <w:insideV w:val="single" w:sz="8" w:space="0" w:color="051C2C" w:themeColor="accent1"/>
        </w:tcBorders>
      </w:tcPr>
    </w:tblStylePr>
  </w:style>
  <w:style w:type="table" w:styleId="LightGrid-Accent2">
    <w:name w:val="Light Grid Accent 2"/>
    <w:basedOn w:val="TableNormal"/>
    <w:semiHidden/>
    <w:unhideWhenUsed/>
    <w:pPr>
      <w:spacing w:after="0" w:line="240" w:lineRule="auto"/>
    </w:pPr>
    <w:tblPr>
      <w:tblStyleRowBandSize w:val="1"/>
      <w:tblStyleColBandSize w:val="1"/>
      <w:tblBorders>
        <w:top w:val="single" w:sz="8" w:space="0" w:color="00A9F4" w:themeColor="accent2"/>
        <w:left w:val="single" w:sz="8" w:space="0" w:color="00A9F4" w:themeColor="accent2"/>
        <w:bottom w:val="single" w:sz="8" w:space="0" w:color="00A9F4" w:themeColor="accent2"/>
        <w:right w:val="single" w:sz="8" w:space="0" w:color="00A9F4" w:themeColor="accent2"/>
        <w:insideH w:val="single" w:sz="8" w:space="0" w:color="00A9F4" w:themeColor="accent2"/>
        <w:insideV w:val="single" w:sz="8" w:space="0" w:color="00A9F4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</w:rPr>
      <w:tblPr/>
      <w:tcPr>
        <w:tcBorders>
          <w:top w:val="single" w:sz="8" w:space="0" w:color="00A9F4" w:themeColor="accent2"/>
          <w:left w:val="single" w:sz="8" w:space="0" w:color="00A9F4" w:themeColor="accent2"/>
          <w:bottom w:val="single" w:sz="18" w:space="0" w:color="00A9F4" w:themeColor="accent2"/>
          <w:right w:val="single" w:sz="8" w:space="0" w:color="00A9F4" w:themeColor="accent2"/>
          <w:insideH w:val="nil"/>
          <w:insideV w:val="single" w:sz="8" w:space="0" w:color="00A9F4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</w:rPr>
      <w:tblPr/>
      <w:tcPr>
        <w:tcBorders>
          <w:top w:val="double" w:sz="6" w:space="0" w:color="00A9F4" w:themeColor="accent2"/>
          <w:left w:val="single" w:sz="8" w:space="0" w:color="00A9F4" w:themeColor="accent2"/>
          <w:bottom w:val="single" w:sz="8" w:space="0" w:color="00A9F4" w:themeColor="accent2"/>
          <w:right w:val="single" w:sz="8" w:space="0" w:color="00A9F4" w:themeColor="accent2"/>
          <w:insideH w:val="nil"/>
          <w:insideV w:val="single" w:sz="8" w:space="0" w:color="00A9F4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</w:rPr>
    </w:tblStylePr>
    <w:tblStylePr w:type="lastCol">
      <w:rPr>
        <w:rFonts w:asciiTheme="majorHAnsi" w:eastAsiaTheme="majorEastAsia" w:hAnsiTheme="majorHAnsi" w:cstheme="majorBidi"/>
        <w:b/>
      </w:rPr>
      <w:tblPr/>
      <w:tcPr>
        <w:tcBorders>
          <w:top w:val="single" w:sz="8" w:space="0" w:color="00A9F4" w:themeColor="accent2"/>
          <w:left w:val="single" w:sz="8" w:space="0" w:color="00A9F4" w:themeColor="accent2"/>
          <w:bottom w:val="single" w:sz="8" w:space="0" w:color="00A9F4" w:themeColor="accent2"/>
          <w:right w:val="single" w:sz="8" w:space="0" w:color="00A9F4" w:themeColor="accent2"/>
        </w:tcBorders>
      </w:tcPr>
    </w:tblStylePr>
    <w:tblStylePr w:type="band1Vert">
      <w:tblPr/>
      <w:tcPr>
        <w:tcBorders>
          <w:top w:val="single" w:sz="8" w:space="0" w:color="00A9F4" w:themeColor="accent2"/>
          <w:left w:val="single" w:sz="8" w:space="0" w:color="00A9F4" w:themeColor="accent2"/>
          <w:bottom w:val="single" w:sz="8" w:space="0" w:color="00A9F4" w:themeColor="accent2"/>
          <w:right w:val="single" w:sz="8" w:space="0" w:color="00A9F4" w:themeColor="accent2"/>
        </w:tcBorders>
        <w:shd w:val="clear" w:color="000000" w:fill="BDEAFF" w:themeFill="accent2" w:themeFillTint="3F"/>
      </w:tcPr>
    </w:tblStylePr>
    <w:tblStylePr w:type="band1Horz">
      <w:tblPr/>
      <w:tcPr>
        <w:tcBorders>
          <w:top w:val="single" w:sz="8" w:space="0" w:color="00A9F4" w:themeColor="accent2"/>
          <w:left w:val="single" w:sz="8" w:space="0" w:color="00A9F4" w:themeColor="accent2"/>
          <w:bottom w:val="single" w:sz="8" w:space="0" w:color="00A9F4" w:themeColor="accent2"/>
          <w:right w:val="single" w:sz="8" w:space="0" w:color="00A9F4" w:themeColor="accent2"/>
          <w:insideV w:val="single" w:sz="8" w:space="0" w:color="00A9F4" w:themeColor="accent2"/>
        </w:tcBorders>
        <w:shd w:val="clear" w:color="000000" w:fill="BDEAFF" w:themeFill="accent2" w:themeFillTint="3F"/>
      </w:tcPr>
    </w:tblStylePr>
    <w:tblStylePr w:type="band2Horz">
      <w:tblPr/>
      <w:tcPr>
        <w:tcBorders>
          <w:top w:val="single" w:sz="8" w:space="0" w:color="00A9F4" w:themeColor="accent2"/>
          <w:left w:val="single" w:sz="8" w:space="0" w:color="00A9F4" w:themeColor="accent2"/>
          <w:bottom w:val="single" w:sz="8" w:space="0" w:color="00A9F4" w:themeColor="accent2"/>
          <w:right w:val="single" w:sz="8" w:space="0" w:color="00A9F4" w:themeColor="accent2"/>
          <w:insideV w:val="single" w:sz="8" w:space="0" w:color="00A9F4" w:themeColor="accent2"/>
        </w:tcBorders>
      </w:tcPr>
    </w:tblStylePr>
  </w:style>
  <w:style w:type="table" w:styleId="LightGrid-Accent3">
    <w:name w:val="Light Grid Accent 3"/>
    <w:basedOn w:val="TableNormal"/>
    <w:semiHidden/>
    <w:unhideWhenUsed/>
    <w:pPr>
      <w:spacing w:after="0" w:line="240" w:lineRule="auto"/>
    </w:pPr>
    <w:tblPr>
      <w:tblStyleRowBandSize w:val="1"/>
      <w:tblStyleColBandSize w:val="1"/>
      <w:tblBorders>
        <w:top w:val="single" w:sz="8" w:space="0" w:color="2251FF" w:themeColor="accent3"/>
        <w:left w:val="single" w:sz="8" w:space="0" w:color="2251FF" w:themeColor="accent3"/>
        <w:bottom w:val="single" w:sz="8" w:space="0" w:color="2251FF" w:themeColor="accent3"/>
        <w:right w:val="single" w:sz="8" w:space="0" w:color="2251FF" w:themeColor="accent3"/>
        <w:insideH w:val="single" w:sz="8" w:space="0" w:color="2251FF" w:themeColor="accent3"/>
        <w:insideV w:val="single" w:sz="8" w:space="0" w:color="2251FF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</w:rPr>
      <w:tblPr/>
      <w:tcPr>
        <w:tcBorders>
          <w:top w:val="single" w:sz="8" w:space="0" w:color="2251FF" w:themeColor="accent3"/>
          <w:left w:val="single" w:sz="8" w:space="0" w:color="2251FF" w:themeColor="accent3"/>
          <w:bottom w:val="single" w:sz="18" w:space="0" w:color="2251FF" w:themeColor="accent3"/>
          <w:right w:val="single" w:sz="8" w:space="0" w:color="2251FF" w:themeColor="accent3"/>
          <w:insideH w:val="nil"/>
          <w:insideV w:val="single" w:sz="8" w:space="0" w:color="2251FF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</w:rPr>
      <w:tblPr/>
      <w:tcPr>
        <w:tcBorders>
          <w:top w:val="double" w:sz="6" w:space="0" w:color="2251FF" w:themeColor="accent3"/>
          <w:left w:val="single" w:sz="8" w:space="0" w:color="2251FF" w:themeColor="accent3"/>
          <w:bottom w:val="single" w:sz="8" w:space="0" w:color="2251FF" w:themeColor="accent3"/>
          <w:right w:val="single" w:sz="8" w:space="0" w:color="2251FF" w:themeColor="accent3"/>
          <w:insideH w:val="nil"/>
          <w:insideV w:val="single" w:sz="8" w:space="0" w:color="2251FF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</w:rPr>
    </w:tblStylePr>
    <w:tblStylePr w:type="lastCol">
      <w:rPr>
        <w:rFonts w:asciiTheme="majorHAnsi" w:eastAsiaTheme="majorEastAsia" w:hAnsiTheme="majorHAnsi" w:cstheme="majorBidi"/>
        <w:b/>
      </w:rPr>
      <w:tblPr/>
      <w:tcPr>
        <w:tcBorders>
          <w:top w:val="single" w:sz="8" w:space="0" w:color="2251FF" w:themeColor="accent3"/>
          <w:left w:val="single" w:sz="8" w:space="0" w:color="2251FF" w:themeColor="accent3"/>
          <w:bottom w:val="single" w:sz="8" w:space="0" w:color="2251FF" w:themeColor="accent3"/>
          <w:right w:val="single" w:sz="8" w:space="0" w:color="2251FF" w:themeColor="accent3"/>
        </w:tcBorders>
      </w:tcPr>
    </w:tblStylePr>
    <w:tblStylePr w:type="band1Vert">
      <w:tblPr/>
      <w:tcPr>
        <w:tcBorders>
          <w:top w:val="single" w:sz="8" w:space="0" w:color="2251FF" w:themeColor="accent3"/>
          <w:left w:val="single" w:sz="8" w:space="0" w:color="2251FF" w:themeColor="accent3"/>
          <w:bottom w:val="single" w:sz="8" w:space="0" w:color="2251FF" w:themeColor="accent3"/>
          <w:right w:val="single" w:sz="8" w:space="0" w:color="2251FF" w:themeColor="accent3"/>
        </w:tcBorders>
        <w:shd w:val="clear" w:color="000000" w:fill="C8D3FF" w:themeFill="accent3" w:themeFillTint="3F"/>
      </w:tcPr>
    </w:tblStylePr>
    <w:tblStylePr w:type="band1Horz">
      <w:tblPr/>
      <w:tcPr>
        <w:tcBorders>
          <w:top w:val="single" w:sz="8" w:space="0" w:color="2251FF" w:themeColor="accent3"/>
          <w:left w:val="single" w:sz="8" w:space="0" w:color="2251FF" w:themeColor="accent3"/>
          <w:bottom w:val="single" w:sz="8" w:space="0" w:color="2251FF" w:themeColor="accent3"/>
          <w:right w:val="single" w:sz="8" w:space="0" w:color="2251FF" w:themeColor="accent3"/>
          <w:insideV w:val="single" w:sz="8" w:space="0" w:color="2251FF" w:themeColor="accent3"/>
        </w:tcBorders>
        <w:shd w:val="clear" w:color="000000" w:fill="C8D3FF" w:themeFill="accent3" w:themeFillTint="3F"/>
      </w:tcPr>
    </w:tblStylePr>
    <w:tblStylePr w:type="band2Horz">
      <w:tblPr/>
      <w:tcPr>
        <w:tcBorders>
          <w:top w:val="single" w:sz="8" w:space="0" w:color="2251FF" w:themeColor="accent3"/>
          <w:left w:val="single" w:sz="8" w:space="0" w:color="2251FF" w:themeColor="accent3"/>
          <w:bottom w:val="single" w:sz="8" w:space="0" w:color="2251FF" w:themeColor="accent3"/>
          <w:right w:val="single" w:sz="8" w:space="0" w:color="2251FF" w:themeColor="accent3"/>
          <w:insideV w:val="single" w:sz="8" w:space="0" w:color="2251FF" w:themeColor="accent3"/>
        </w:tcBorders>
      </w:tcPr>
    </w:tblStylePr>
  </w:style>
  <w:style w:type="table" w:styleId="LightGrid-Accent4">
    <w:name w:val="Light Grid Accent 4"/>
    <w:basedOn w:val="TableNormal"/>
    <w:semiHidden/>
    <w:unhideWhenUsed/>
    <w:pPr>
      <w:spacing w:after="0" w:line="240" w:lineRule="auto"/>
    </w:pPr>
    <w:tblPr>
      <w:tblStyleRowBandSize w:val="1"/>
      <w:tblStyleColBandSize w:val="1"/>
      <w:tblBorders>
        <w:top w:val="single" w:sz="8" w:space="0" w:color="AAE6F0" w:themeColor="accent4"/>
        <w:left w:val="single" w:sz="8" w:space="0" w:color="AAE6F0" w:themeColor="accent4"/>
        <w:bottom w:val="single" w:sz="8" w:space="0" w:color="AAE6F0" w:themeColor="accent4"/>
        <w:right w:val="single" w:sz="8" w:space="0" w:color="AAE6F0" w:themeColor="accent4"/>
        <w:insideH w:val="single" w:sz="8" w:space="0" w:color="AAE6F0" w:themeColor="accent4"/>
        <w:insideV w:val="single" w:sz="8" w:space="0" w:color="AAE6F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</w:rPr>
      <w:tblPr/>
      <w:tcPr>
        <w:tcBorders>
          <w:top w:val="single" w:sz="8" w:space="0" w:color="AAE6F0" w:themeColor="accent4"/>
          <w:left w:val="single" w:sz="8" w:space="0" w:color="AAE6F0" w:themeColor="accent4"/>
          <w:bottom w:val="single" w:sz="18" w:space="0" w:color="AAE6F0" w:themeColor="accent4"/>
          <w:right w:val="single" w:sz="8" w:space="0" w:color="AAE6F0" w:themeColor="accent4"/>
          <w:insideH w:val="nil"/>
          <w:insideV w:val="single" w:sz="8" w:space="0" w:color="AAE6F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</w:rPr>
      <w:tblPr/>
      <w:tcPr>
        <w:tcBorders>
          <w:top w:val="double" w:sz="6" w:space="0" w:color="AAE6F0" w:themeColor="accent4"/>
          <w:left w:val="single" w:sz="8" w:space="0" w:color="AAE6F0" w:themeColor="accent4"/>
          <w:bottom w:val="single" w:sz="8" w:space="0" w:color="AAE6F0" w:themeColor="accent4"/>
          <w:right w:val="single" w:sz="8" w:space="0" w:color="AAE6F0" w:themeColor="accent4"/>
          <w:insideH w:val="nil"/>
          <w:insideV w:val="single" w:sz="8" w:space="0" w:color="AAE6F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</w:rPr>
    </w:tblStylePr>
    <w:tblStylePr w:type="lastCol">
      <w:rPr>
        <w:rFonts w:asciiTheme="majorHAnsi" w:eastAsiaTheme="majorEastAsia" w:hAnsiTheme="majorHAnsi" w:cstheme="majorBidi"/>
        <w:b/>
      </w:rPr>
      <w:tblPr/>
      <w:tcPr>
        <w:tcBorders>
          <w:top w:val="single" w:sz="8" w:space="0" w:color="AAE6F0" w:themeColor="accent4"/>
          <w:left w:val="single" w:sz="8" w:space="0" w:color="AAE6F0" w:themeColor="accent4"/>
          <w:bottom w:val="single" w:sz="8" w:space="0" w:color="AAE6F0" w:themeColor="accent4"/>
          <w:right w:val="single" w:sz="8" w:space="0" w:color="AAE6F0" w:themeColor="accent4"/>
        </w:tcBorders>
      </w:tcPr>
    </w:tblStylePr>
    <w:tblStylePr w:type="band1Vert">
      <w:tblPr/>
      <w:tcPr>
        <w:tcBorders>
          <w:top w:val="single" w:sz="8" w:space="0" w:color="AAE6F0" w:themeColor="accent4"/>
          <w:left w:val="single" w:sz="8" w:space="0" w:color="AAE6F0" w:themeColor="accent4"/>
          <w:bottom w:val="single" w:sz="8" w:space="0" w:color="AAE6F0" w:themeColor="accent4"/>
          <w:right w:val="single" w:sz="8" w:space="0" w:color="AAE6F0" w:themeColor="accent4"/>
        </w:tcBorders>
        <w:shd w:val="clear" w:color="000000" w:fill="E9F8FB" w:themeFill="accent4" w:themeFillTint="3F"/>
      </w:tcPr>
    </w:tblStylePr>
    <w:tblStylePr w:type="band1Horz">
      <w:tblPr/>
      <w:tcPr>
        <w:tcBorders>
          <w:top w:val="single" w:sz="8" w:space="0" w:color="AAE6F0" w:themeColor="accent4"/>
          <w:left w:val="single" w:sz="8" w:space="0" w:color="AAE6F0" w:themeColor="accent4"/>
          <w:bottom w:val="single" w:sz="8" w:space="0" w:color="AAE6F0" w:themeColor="accent4"/>
          <w:right w:val="single" w:sz="8" w:space="0" w:color="AAE6F0" w:themeColor="accent4"/>
          <w:insideV w:val="single" w:sz="8" w:space="0" w:color="AAE6F0" w:themeColor="accent4"/>
        </w:tcBorders>
        <w:shd w:val="clear" w:color="000000" w:fill="E9F8FB" w:themeFill="accent4" w:themeFillTint="3F"/>
      </w:tcPr>
    </w:tblStylePr>
    <w:tblStylePr w:type="band2Horz">
      <w:tblPr/>
      <w:tcPr>
        <w:tcBorders>
          <w:top w:val="single" w:sz="8" w:space="0" w:color="AAE6F0" w:themeColor="accent4"/>
          <w:left w:val="single" w:sz="8" w:space="0" w:color="AAE6F0" w:themeColor="accent4"/>
          <w:bottom w:val="single" w:sz="8" w:space="0" w:color="AAE6F0" w:themeColor="accent4"/>
          <w:right w:val="single" w:sz="8" w:space="0" w:color="AAE6F0" w:themeColor="accent4"/>
          <w:insideV w:val="single" w:sz="8" w:space="0" w:color="AAE6F0" w:themeColor="accent4"/>
        </w:tcBorders>
      </w:tcPr>
    </w:tblStylePr>
  </w:style>
  <w:style w:type="table" w:styleId="LightGrid-Accent5">
    <w:name w:val="Light Grid Accent 5"/>
    <w:basedOn w:val="TableNormal"/>
    <w:semiHidden/>
    <w:unhideWhenUsed/>
    <w:pPr>
      <w:spacing w:after="0" w:line="240" w:lineRule="auto"/>
    </w:pPr>
    <w:tblPr>
      <w:tblStyleRowBandSize w:val="1"/>
      <w:tblStyleColBandSize w:val="1"/>
      <w:tblBorders>
        <w:top w:val="single" w:sz="8" w:space="0" w:color="3C96B4" w:themeColor="accent5"/>
        <w:left w:val="single" w:sz="8" w:space="0" w:color="3C96B4" w:themeColor="accent5"/>
        <w:bottom w:val="single" w:sz="8" w:space="0" w:color="3C96B4" w:themeColor="accent5"/>
        <w:right w:val="single" w:sz="8" w:space="0" w:color="3C96B4" w:themeColor="accent5"/>
        <w:insideH w:val="single" w:sz="8" w:space="0" w:color="3C96B4" w:themeColor="accent5"/>
        <w:insideV w:val="single" w:sz="8" w:space="0" w:color="3C96B4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</w:rPr>
      <w:tblPr/>
      <w:tcPr>
        <w:tcBorders>
          <w:top w:val="single" w:sz="8" w:space="0" w:color="3C96B4" w:themeColor="accent5"/>
          <w:left w:val="single" w:sz="8" w:space="0" w:color="3C96B4" w:themeColor="accent5"/>
          <w:bottom w:val="single" w:sz="18" w:space="0" w:color="3C96B4" w:themeColor="accent5"/>
          <w:right w:val="single" w:sz="8" w:space="0" w:color="3C96B4" w:themeColor="accent5"/>
          <w:insideH w:val="nil"/>
          <w:insideV w:val="single" w:sz="8" w:space="0" w:color="3C96B4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</w:rPr>
      <w:tblPr/>
      <w:tcPr>
        <w:tcBorders>
          <w:top w:val="double" w:sz="6" w:space="0" w:color="3C96B4" w:themeColor="accent5"/>
          <w:left w:val="single" w:sz="8" w:space="0" w:color="3C96B4" w:themeColor="accent5"/>
          <w:bottom w:val="single" w:sz="8" w:space="0" w:color="3C96B4" w:themeColor="accent5"/>
          <w:right w:val="single" w:sz="8" w:space="0" w:color="3C96B4" w:themeColor="accent5"/>
          <w:insideH w:val="nil"/>
          <w:insideV w:val="single" w:sz="8" w:space="0" w:color="3C96B4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</w:rPr>
    </w:tblStylePr>
    <w:tblStylePr w:type="lastCol">
      <w:rPr>
        <w:rFonts w:asciiTheme="majorHAnsi" w:eastAsiaTheme="majorEastAsia" w:hAnsiTheme="majorHAnsi" w:cstheme="majorBidi"/>
        <w:b/>
      </w:rPr>
      <w:tblPr/>
      <w:tcPr>
        <w:tcBorders>
          <w:top w:val="single" w:sz="8" w:space="0" w:color="3C96B4" w:themeColor="accent5"/>
          <w:left w:val="single" w:sz="8" w:space="0" w:color="3C96B4" w:themeColor="accent5"/>
          <w:bottom w:val="single" w:sz="8" w:space="0" w:color="3C96B4" w:themeColor="accent5"/>
          <w:right w:val="single" w:sz="8" w:space="0" w:color="3C96B4" w:themeColor="accent5"/>
        </w:tcBorders>
      </w:tcPr>
    </w:tblStylePr>
    <w:tblStylePr w:type="band1Vert">
      <w:tblPr/>
      <w:tcPr>
        <w:tcBorders>
          <w:top w:val="single" w:sz="8" w:space="0" w:color="3C96B4" w:themeColor="accent5"/>
          <w:left w:val="single" w:sz="8" w:space="0" w:color="3C96B4" w:themeColor="accent5"/>
          <w:bottom w:val="single" w:sz="8" w:space="0" w:color="3C96B4" w:themeColor="accent5"/>
          <w:right w:val="single" w:sz="8" w:space="0" w:color="3C96B4" w:themeColor="accent5"/>
        </w:tcBorders>
        <w:shd w:val="clear" w:color="000000" w:fill="CCE5EE" w:themeFill="accent5" w:themeFillTint="3F"/>
      </w:tcPr>
    </w:tblStylePr>
    <w:tblStylePr w:type="band1Horz">
      <w:tblPr/>
      <w:tcPr>
        <w:tcBorders>
          <w:top w:val="single" w:sz="8" w:space="0" w:color="3C96B4" w:themeColor="accent5"/>
          <w:left w:val="single" w:sz="8" w:space="0" w:color="3C96B4" w:themeColor="accent5"/>
          <w:bottom w:val="single" w:sz="8" w:space="0" w:color="3C96B4" w:themeColor="accent5"/>
          <w:right w:val="single" w:sz="8" w:space="0" w:color="3C96B4" w:themeColor="accent5"/>
          <w:insideV w:val="single" w:sz="8" w:space="0" w:color="3C96B4" w:themeColor="accent5"/>
        </w:tcBorders>
        <w:shd w:val="clear" w:color="000000" w:fill="CCE5EE" w:themeFill="accent5" w:themeFillTint="3F"/>
      </w:tcPr>
    </w:tblStylePr>
    <w:tblStylePr w:type="band2Horz">
      <w:tblPr/>
      <w:tcPr>
        <w:tcBorders>
          <w:top w:val="single" w:sz="8" w:space="0" w:color="3C96B4" w:themeColor="accent5"/>
          <w:left w:val="single" w:sz="8" w:space="0" w:color="3C96B4" w:themeColor="accent5"/>
          <w:bottom w:val="single" w:sz="8" w:space="0" w:color="3C96B4" w:themeColor="accent5"/>
          <w:right w:val="single" w:sz="8" w:space="0" w:color="3C96B4" w:themeColor="accent5"/>
          <w:insideV w:val="single" w:sz="8" w:space="0" w:color="3C96B4" w:themeColor="accent5"/>
        </w:tcBorders>
      </w:tcPr>
    </w:tblStylePr>
  </w:style>
  <w:style w:type="table" w:styleId="LightGrid-Accent6">
    <w:name w:val="Light Grid Accent 6"/>
    <w:basedOn w:val="TableNormal"/>
    <w:semiHidden/>
    <w:unhideWhenUsed/>
    <w:pPr>
      <w:spacing w:after="0" w:line="240" w:lineRule="auto"/>
    </w:pPr>
    <w:tblPr>
      <w:tblStyleRowBandSize w:val="1"/>
      <w:tblStyleColBandSize w:val="1"/>
      <w:tblBorders>
        <w:top w:val="single" w:sz="8" w:space="0" w:color="AFC3FF" w:themeColor="accent6"/>
        <w:left w:val="single" w:sz="8" w:space="0" w:color="AFC3FF" w:themeColor="accent6"/>
        <w:bottom w:val="single" w:sz="8" w:space="0" w:color="AFC3FF" w:themeColor="accent6"/>
        <w:right w:val="single" w:sz="8" w:space="0" w:color="AFC3FF" w:themeColor="accent6"/>
        <w:insideH w:val="single" w:sz="8" w:space="0" w:color="AFC3FF" w:themeColor="accent6"/>
        <w:insideV w:val="single" w:sz="8" w:space="0" w:color="AFC3FF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</w:rPr>
      <w:tblPr/>
      <w:tcPr>
        <w:tcBorders>
          <w:top w:val="single" w:sz="8" w:space="0" w:color="AFC3FF" w:themeColor="accent6"/>
          <w:left w:val="single" w:sz="8" w:space="0" w:color="AFC3FF" w:themeColor="accent6"/>
          <w:bottom w:val="single" w:sz="18" w:space="0" w:color="AFC3FF" w:themeColor="accent6"/>
          <w:right w:val="single" w:sz="8" w:space="0" w:color="AFC3FF" w:themeColor="accent6"/>
          <w:insideH w:val="nil"/>
          <w:insideV w:val="single" w:sz="8" w:space="0" w:color="AFC3FF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</w:rPr>
      <w:tblPr/>
      <w:tcPr>
        <w:tcBorders>
          <w:top w:val="double" w:sz="6" w:space="0" w:color="AFC3FF" w:themeColor="accent6"/>
          <w:left w:val="single" w:sz="8" w:space="0" w:color="AFC3FF" w:themeColor="accent6"/>
          <w:bottom w:val="single" w:sz="8" w:space="0" w:color="AFC3FF" w:themeColor="accent6"/>
          <w:right w:val="single" w:sz="8" w:space="0" w:color="AFC3FF" w:themeColor="accent6"/>
          <w:insideH w:val="nil"/>
          <w:insideV w:val="single" w:sz="8" w:space="0" w:color="AFC3FF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</w:rPr>
    </w:tblStylePr>
    <w:tblStylePr w:type="lastCol">
      <w:rPr>
        <w:rFonts w:asciiTheme="majorHAnsi" w:eastAsiaTheme="majorEastAsia" w:hAnsiTheme="majorHAnsi" w:cstheme="majorBidi"/>
        <w:b/>
      </w:rPr>
      <w:tblPr/>
      <w:tcPr>
        <w:tcBorders>
          <w:top w:val="single" w:sz="8" w:space="0" w:color="AFC3FF" w:themeColor="accent6"/>
          <w:left w:val="single" w:sz="8" w:space="0" w:color="AFC3FF" w:themeColor="accent6"/>
          <w:bottom w:val="single" w:sz="8" w:space="0" w:color="AFC3FF" w:themeColor="accent6"/>
          <w:right w:val="single" w:sz="8" w:space="0" w:color="AFC3FF" w:themeColor="accent6"/>
        </w:tcBorders>
      </w:tcPr>
    </w:tblStylePr>
    <w:tblStylePr w:type="band1Vert">
      <w:tblPr/>
      <w:tcPr>
        <w:tcBorders>
          <w:top w:val="single" w:sz="8" w:space="0" w:color="AFC3FF" w:themeColor="accent6"/>
          <w:left w:val="single" w:sz="8" w:space="0" w:color="AFC3FF" w:themeColor="accent6"/>
          <w:bottom w:val="single" w:sz="8" w:space="0" w:color="AFC3FF" w:themeColor="accent6"/>
          <w:right w:val="single" w:sz="8" w:space="0" w:color="AFC3FF" w:themeColor="accent6"/>
        </w:tcBorders>
        <w:shd w:val="clear" w:color="000000" w:fill="EBEFFF" w:themeFill="accent6" w:themeFillTint="3F"/>
      </w:tcPr>
    </w:tblStylePr>
    <w:tblStylePr w:type="band1Horz">
      <w:tblPr/>
      <w:tcPr>
        <w:tcBorders>
          <w:top w:val="single" w:sz="8" w:space="0" w:color="AFC3FF" w:themeColor="accent6"/>
          <w:left w:val="single" w:sz="8" w:space="0" w:color="AFC3FF" w:themeColor="accent6"/>
          <w:bottom w:val="single" w:sz="8" w:space="0" w:color="AFC3FF" w:themeColor="accent6"/>
          <w:right w:val="single" w:sz="8" w:space="0" w:color="AFC3FF" w:themeColor="accent6"/>
          <w:insideV w:val="single" w:sz="8" w:space="0" w:color="AFC3FF" w:themeColor="accent6"/>
        </w:tcBorders>
        <w:shd w:val="clear" w:color="000000" w:fill="EBEFFF" w:themeFill="accent6" w:themeFillTint="3F"/>
      </w:tcPr>
    </w:tblStylePr>
    <w:tblStylePr w:type="band2Horz">
      <w:tblPr/>
      <w:tcPr>
        <w:tcBorders>
          <w:top w:val="single" w:sz="8" w:space="0" w:color="AFC3FF" w:themeColor="accent6"/>
          <w:left w:val="single" w:sz="8" w:space="0" w:color="AFC3FF" w:themeColor="accent6"/>
          <w:bottom w:val="single" w:sz="8" w:space="0" w:color="AFC3FF" w:themeColor="accent6"/>
          <w:right w:val="single" w:sz="8" w:space="0" w:color="AFC3FF" w:themeColor="accent6"/>
          <w:insideV w:val="single" w:sz="8" w:space="0" w:color="AFC3FF" w:themeColor="accent6"/>
        </w:tcBorders>
      </w:tcPr>
    </w:tblStylePr>
  </w:style>
  <w:style w:type="table" w:styleId="LightList">
    <w:name w:val="Light List"/>
    <w:basedOn w:val="TableNormal"/>
    <w:semiHidden/>
    <w:unhideWhenUsed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color w:val="FFFFFF" w:themeColor="background1"/>
      </w:rPr>
      <w:tblPr/>
      <w:tcPr>
        <w:shd w:val="clear" w:color="000000" w:fill="000000" w:themeFill="text1"/>
      </w:tcPr>
    </w:tblStylePr>
    <w:tblStylePr w:type="lastRow">
      <w:pPr>
        <w:spacing w:before="0" w:after="0" w:line="240" w:lineRule="auto"/>
      </w:pPr>
      <w:rPr>
        <w:b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semiHidden/>
    <w:unhideWhenUsed/>
    <w:pPr>
      <w:spacing w:after="0" w:line="240" w:lineRule="auto"/>
    </w:pPr>
    <w:tblPr>
      <w:tblStyleRowBandSize w:val="1"/>
      <w:tblStyleColBandSize w:val="1"/>
      <w:tblBorders>
        <w:top w:val="single" w:sz="8" w:space="0" w:color="051C2C" w:themeColor="accent1"/>
        <w:left w:val="single" w:sz="8" w:space="0" w:color="051C2C" w:themeColor="accent1"/>
        <w:bottom w:val="single" w:sz="8" w:space="0" w:color="051C2C" w:themeColor="accent1"/>
        <w:right w:val="single" w:sz="8" w:space="0" w:color="051C2C" w:themeColor="accent1"/>
      </w:tblBorders>
    </w:tblPr>
    <w:tblStylePr w:type="firstRow">
      <w:pPr>
        <w:spacing w:before="0" w:after="0" w:line="240" w:lineRule="auto"/>
      </w:pPr>
      <w:rPr>
        <w:b/>
        <w:color w:val="FFFFFF" w:themeColor="background1"/>
      </w:rPr>
      <w:tblPr/>
      <w:tcPr>
        <w:shd w:val="clear" w:color="000000" w:fill="051C2C" w:themeFill="accent1"/>
      </w:tcPr>
    </w:tblStylePr>
    <w:tblStylePr w:type="lastRow">
      <w:pPr>
        <w:spacing w:before="0" w:after="0" w:line="240" w:lineRule="auto"/>
      </w:pPr>
      <w:rPr>
        <w:b/>
      </w:rPr>
      <w:tblPr/>
      <w:tcPr>
        <w:tcBorders>
          <w:top w:val="double" w:sz="6" w:space="0" w:color="051C2C" w:themeColor="accent1"/>
          <w:left w:val="single" w:sz="8" w:space="0" w:color="051C2C" w:themeColor="accent1"/>
          <w:bottom w:val="single" w:sz="8" w:space="0" w:color="051C2C" w:themeColor="accent1"/>
          <w:right w:val="single" w:sz="8" w:space="0" w:color="051C2C" w:themeColor="accent1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top w:val="single" w:sz="8" w:space="0" w:color="051C2C" w:themeColor="accent1"/>
          <w:left w:val="single" w:sz="8" w:space="0" w:color="051C2C" w:themeColor="accent1"/>
          <w:bottom w:val="single" w:sz="8" w:space="0" w:color="051C2C" w:themeColor="accent1"/>
          <w:right w:val="single" w:sz="8" w:space="0" w:color="051C2C" w:themeColor="accent1"/>
        </w:tcBorders>
      </w:tcPr>
    </w:tblStylePr>
    <w:tblStylePr w:type="band1Horz">
      <w:tblPr/>
      <w:tcPr>
        <w:tcBorders>
          <w:top w:val="single" w:sz="8" w:space="0" w:color="051C2C" w:themeColor="accent1"/>
          <w:left w:val="single" w:sz="8" w:space="0" w:color="051C2C" w:themeColor="accent1"/>
          <w:bottom w:val="single" w:sz="8" w:space="0" w:color="051C2C" w:themeColor="accent1"/>
          <w:right w:val="single" w:sz="8" w:space="0" w:color="051C2C" w:themeColor="accent1"/>
        </w:tcBorders>
      </w:tcPr>
    </w:tblStylePr>
  </w:style>
  <w:style w:type="table" w:styleId="LightList-Accent2">
    <w:name w:val="Light List Accent 2"/>
    <w:basedOn w:val="TableNormal"/>
    <w:semiHidden/>
    <w:unhideWhenUsed/>
    <w:pPr>
      <w:spacing w:after="0" w:line="240" w:lineRule="auto"/>
    </w:pPr>
    <w:tblPr>
      <w:tblStyleRowBandSize w:val="1"/>
      <w:tblStyleColBandSize w:val="1"/>
      <w:tblBorders>
        <w:top w:val="single" w:sz="8" w:space="0" w:color="00A9F4" w:themeColor="accent2"/>
        <w:left w:val="single" w:sz="8" w:space="0" w:color="00A9F4" w:themeColor="accent2"/>
        <w:bottom w:val="single" w:sz="8" w:space="0" w:color="00A9F4" w:themeColor="accent2"/>
        <w:right w:val="single" w:sz="8" w:space="0" w:color="00A9F4" w:themeColor="accent2"/>
      </w:tblBorders>
    </w:tblPr>
    <w:tblStylePr w:type="firstRow">
      <w:pPr>
        <w:spacing w:before="0" w:after="0" w:line="240" w:lineRule="auto"/>
      </w:pPr>
      <w:rPr>
        <w:b/>
        <w:color w:val="FFFFFF" w:themeColor="background1"/>
      </w:rPr>
      <w:tblPr/>
      <w:tcPr>
        <w:shd w:val="clear" w:color="000000" w:fill="00A9F4" w:themeFill="accent2"/>
      </w:tcPr>
    </w:tblStylePr>
    <w:tblStylePr w:type="lastRow">
      <w:pPr>
        <w:spacing w:before="0" w:after="0" w:line="240" w:lineRule="auto"/>
      </w:pPr>
      <w:rPr>
        <w:b/>
      </w:rPr>
      <w:tblPr/>
      <w:tcPr>
        <w:tcBorders>
          <w:top w:val="double" w:sz="6" w:space="0" w:color="00A9F4" w:themeColor="accent2"/>
          <w:left w:val="single" w:sz="8" w:space="0" w:color="00A9F4" w:themeColor="accent2"/>
          <w:bottom w:val="single" w:sz="8" w:space="0" w:color="00A9F4" w:themeColor="accent2"/>
          <w:right w:val="single" w:sz="8" w:space="0" w:color="00A9F4" w:themeColor="accent2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top w:val="single" w:sz="8" w:space="0" w:color="00A9F4" w:themeColor="accent2"/>
          <w:left w:val="single" w:sz="8" w:space="0" w:color="00A9F4" w:themeColor="accent2"/>
          <w:bottom w:val="single" w:sz="8" w:space="0" w:color="00A9F4" w:themeColor="accent2"/>
          <w:right w:val="single" w:sz="8" w:space="0" w:color="00A9F4" w:themeColor="accent2"/>
        </w:tcBorders>
      </w:tcPr>
    </w:tblStylePr>
    <w:tblStylePr w:type="band1Horz">
      <w:tblPr/>
      <w:tcPr>
        <w:tcBorders>
          <w:top w:val="single" w:sz="8" w:space="0" w:color="00A9F4" w:themeColor="accent2"/>
          <w:left w:val="single" w:sz="8" w:space="0" w:color="00A9F4" w:themeColor="accent2"/>
          <w:bottom w:val="single" w:sz="8" w:space="0" w:color="00A9F4" w:themeColor="accent2"/>
          <w:right w:val="single" w:sz="8" w:space="0" w:color="00A9F4" w:themeColor="accent2"/>
        </w:tcBorders>
      </w:tcPr>
    </w:tblStylePr>
  </w:style>
  <w:style w:type="table" w:styleId="LightList-Accent3">
    <w:name w:val="Light List Accent 3"/>
    <w:basedOn w:val="TableNormal"/>
    <w:semiHidden/>
    <w:unhideWhenUsed/>
    <w:pPr>
      <w:spacing w:after="0" w:line="240" w:lineRule="auto"/>
    </w:pPr>
    <w:tblPr>
      <w:tblStyleRowBandSize w:val="1"/>
      <w:tblStyleColBandSize w:val="1"/>
      <w:tblBorders>
        <w:top w:val="single" w:sz="8" w:space="0" w:color="2251FF" w:themeColor="accent3"/>
        <w:left w:val="single" w:sz="8" w:space="0" w:color="2251FF" w:themeColor="accent3"/>
        <w:bottom w:val="single" w:sz="8" w:space="0" w:color="2251FF" w:themeColor="accent3"/>
        <w:right w:val="single" w:sz="8" w:space="0" w:color="2251FF" w:themeColor="accent3"/>
      </w:tblBorders>
    </w:tblPr>
    <w:tblStylePr w:type="firstRow">
      <w:pPr>
        <w:spacing w:before="0" w:after="0" w:line="240" w:lineRule="auto"/>
      </w:pPr>
      <w:rPr>
        <w:b/>
        <w:color w:val="FFFFFF" w:themeColor="background1"/>
      </w:rPr>
      <w:tblPr/>
      <w:tcPr>
        <w:shd w:val="clear" w:color="000000" w:fill="2251FF" w:themeFill="accent3"/>
      </w:tcPr>
    </w:tblStylePr>
    <w:tblStylePr w:type="lastRow">
      <w:pPr>
        <w:spacing w:before="0" w:after="0" w:line="240" w:lineRule="auto"/>
      </w:pPr>
      <w:rPr>
        <w:b/>
      </w:rPr>
      <w:tblPr/>
      <w:tcPr>
        <w:tcBorders>
          <w:top w:val="double" w:sz="6" w:space="0" w:color="2251FF" w:themeColor="accent3"/>
          <w:left w:val="single" w:sz="8" w:space="0" w:color="2251FF" w:themeColor="accent3"/>
          <w:bottom w:val="single" w:sz="8" w:space="0" w:color="2251FF" w:themeColor="accent3"/>
          <w:right w:val="single" w:sz="8" w:space="0" w:color="2251FF" w:themeColor="accent3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top w:val="single" w:sz="8" w:space="0" w:color="2251FF" w:themeColor="accent3"/>
          <w:left w:val="single" w:sz="8" w:space="0" w:color="2251FF" w:themeColor="accent3"/>
          <w:bottom w:val="single" w:sz="8" w:space="0" w:color="2251FF" w:themeColor="accent3"/>
          <w:right w:val="single" w:sz="8" w:space="0" w:color="2251FF" w:themeColor="accent3"/>
        </w:tcBorders>
      </w:tcPr>
    </w:tblStylePr>
    <w:tblStylePr w:type="band1Horz">
      <w:tblPr/>
      <w:tcPr>
        <w:tcBorders>
          <w:top w:val="single" w:sz="8" w:space="0" w:color="2251FF" w:themeColor="accent3"/>
          <w:left w:val="single" w:sz="8" w:space="0" w:color="2251FF" w:themeColor="accent3"/>
          <w:bottom w:val="single" w:sz="8" w:space="0" w:color="2251FF" w:themeColor="accent3"/>
          <w:right w:val="single" w:sz="8" w:space="0" w:color="2251FF" w:themeColor="accent3"/>
        </w:tcBorders>
      </w:tcPr>
    </w:tblStylePr>
  </w:style>
  <w:style w:type="table" w:styleId="LightList-Accent4">
    <w:name w:val="Light List Accent 4"/>
    <w:basedOn w:val="TableNormal"/>
    <w:semiHidden/>
    <w:unhideWhenUsed/>
    <w:pPr>
      <w:spacing w:after="0" w:line="240" w:lineRule="auto"/>
    </w:pPr>
    <w:tblPr>
      <w:tblStyleRowBandSize w:val="1"/>
      <w:tblStyleColBandSize w:val="1"/>
      <w:tblBorders>
        <w:top w:val="single" w:sz="8" w:space="0" w:color="AAE6F0" w:themeColor="accent4"/>
        <w:left w:val="single" w:sz="8" w:space="0" w:color="AAE6F0" w:themeColor="accent4"/>
        <w:bottom w:val="single" w:sz="8" w:space="0" w:color="AAE6F0" w:themeColor="accent4"/>
        <w:right w:val="single" w:sz="8" w:space="0" w:color="AAE6F0" w:themeColor="accent4"/>
      </w:tblBorders>
    </w:tblPr>
    <w:tblStylePr w:type="firstRow">
      <w:pPr>
        <w:spacing w:before="0" w:after="0" w:line="240" w:lineRule="auto"/>
      </w:pPr>
      <w:rPr>
        <w:b/>
        <w:color w:val="FFFFFF" w:themeColor="background1"/>
      </w:rPr>
      <w:tblPr/>
      <w:tcPr>
        <w:shd w:val="clear" w:color="000000" w:fill="AAE6F0" w:themeFill="accent4"/>
      </w:tcPr>
    </w:tblStylePr>
    <w:tblStylePr w:type="lastRow">
      <w:pPr>
        <w:spacing w:before="0" w:after="0" w:line="240" w:lineRule="auto"/>
      </w:pPr>
      <w:rPr>
        <w:b/>
      </w:rPr>
      <w:tblPr/>
      <w:tcPr>
        <w:tcBorders>
          <w:top w:val="double" w:sz="6" w:space="0" w:color="AAE6F0" w:themeColor="accent4"/>
          <w:left w:val="single" w:sz="8" w:space="0" w:color="AAE6F0" w:themeColor="accent4"/>
          <w:bottom w:val="single" w:sz="8" w:space="0" w:color="AAE6F0" w:themeColor="accent4"/>
          <w:right w:val="single" w:sz="8" w:space="0" w:color="AAE6F0" w:themeColor="accent4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top w:val="single" w:sz="8" w:space="0" w:color="AAE6F0" w:themeColor="accent4"/>
          <w:left w:val="single" w:sz="8" w:space="0" w:color="AAE6F0" w:themeColor="accent4"/>
          <w:bottom w:val="single" w:sz="8" w:space="0" w:color="AAE6F0" w:themeColor="accent4"/>
          <w:right w:val="single" w:sz="8" w:space="0" w:color="AAE6F0" w:themeColor="accent4"/>
        </w:tcBorders>
      </w:tcPr>
    </w:tblStylePr>
    <w:tblStylePr w:type="band1Horz">
      <w:tblPr/>
      <w:tcPr>
        <w:tcBorders>
          <w:top w:val="single" w:sz="8" w:space="0" w:color="AAE6F0" w:themeColor="accent4"/>
          <w:left w:val="single" w:sz="8" w:space="0" w:color="AAE6F0" w:themeColor="accent4"/>
          <w:bottom w:val="single" w:sz="8" w:space="0" w:color="AAE6F0" w:themeColor="accent4"/>
          <w:right w:val="single" w:sz="8" w:space="0" w:color="AAE6F0" w:themeColor="accent4"/>
        </w:tcBorders>
      </w:tcPr>
    </w:tblStylePr>
  </w:style>
  <w:style w:type="table" w:styleId="LightList-Accent5">
    <w:name w:val="Light List Accent 5"/>
    <w:basedOn w:val="TableNormal"/>
    <w:semiHidden/>
    <w:unhideWhenUsed/>
    <w:pPr>
      <w:spacing w:after="0" w:line="240" w:lineRule="auto"/>
    </w:pPr>
    <w:tblPr>
      <w:tblStyleRowBandSize w:val="1"/>
      <w:tblStyleColBandSize w:val="1"/>
      <w:tblBorders>
        <w:top w:val="single" w:sz="8" w:space="0" w:color="3C96B4" w:themeColor="accent5"/>
        <w:left w:val="single" w:sz="8" w:space="0" w:color="3C96B4" w:themeColor="accent5"/>
        <w:bottom w:val="single" w:sz="8" w:space="0" w:color="3C96B4" w:themeColor="accent5"/>
        <w:right w:val="single" w:sz="8" w:space="0" w:color="3C96B4" w:themeColor="accent5"/>
      </w:tblBorders>
    </w:tblPr>
    <w:tblStylePr w:type="firstRow">
      <w:pPr>
        <w:spacing w:before="0" w:after="0" w:line="240" w:lineRule="auto"/>
      </w:pPr>
      <w:rPr>
        <w:b/>
        <w:color w:val="FFFFFF" w:themeColor="background1"/>
      </w:rPr>
      <w:tblPr/>
      <w:tcPr>
        <w:shd w:val="clear" w:color="000000" w:fill="3C96B4" w:themeFill="accent5"/>
      </w:tcPr>
    </w:tblStylePr>
    <w:tblStylePr w:type="lastRow">
      <w:pPr>
        <w:spacing w:before="0" w:after="0" w:line="240" w:lineRule="auto"/>
      </w:pPr>
      <w:rPr>
        <w:b/>
      </w:rPr>
      <w:tblPr/>
      <w:tcPr>
        <w:tcBorders>
          <w:top w:val="double" w:sz="6" w:space="0" w:color="3C96B4" w:themeColor="accent5"/>
          <w:left w:val="single" w:sz="8" w:space="0" w:color="3C96B4" w:themeColor="accent5"/>
          <w:bottom w:val="single" w:sz="8" w:space="0" w:color="3C96B4" w:themeColor="accent5"/>
          <w:right w:val="single" w:sz="8" w:space="0" w:color="3C96B4" w:themeColor="accent5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top w:val="single" w:sz="8" w:space="0" w:color="3C96B4" w:themeColor="accent5"/>
          <w:left w:val="single" w:sz="8" w:space="0" w:color="3C96B4" w:themeColor="accent5"/>
          <w:bottom w:val="single" w:sz="8" w:space="0" w:color="3C96B4" w:themeColor="accent5"/>
          <w:right w:val="single" w:sz="8" w:space="0" w:color="3C96B4" w:themeColor="accent5"/>
        </w:tcBorders>
      </w:tcPr>
    </w:tblStylePr>
    <w:tblStylePr w:type="band1Horz">
      <w:tblPr/>
      <w:tcPr>
        <w:tcBorders>
          <w:top w:val="single" w:sz="8" w:space="0" w:color="3C96B4" w:themeColor="accent5"/>
          <w:left w:val="single" w:sz="8" w:space="0" w:color="3C96B4" w:themeColor="accent5"/>
          <w:bottom w:val="single" w:sz="8" w:space="0" w:color="3C96B4" w:themeColor="accent5"/>
          <w:right w:val="single" w:sz="8" w:space="0" w:color="3C96B4" w:themeColor="accent5"/>
        </w:tcBorders>
      </w:tcPr>
    </w:tblStylePr>
  </w:style>
  <w:style w:type="table" w:styleId="LightList-Accent6">
    <w:name w:val="Light List Accent 6"/>
    <w:basedOn w:val="TableNormal"/>
    <w:semiHidden/>
    <w:unhideWhenUsed/>
    <w:pPr>
      <w:spacing w:after="0" w:line="240" w:lineRule="auto"/>
    </w:pPr>
    <w:tblPr>
      <w:tblStyleRowBandSize w:val="1"/>
      <w:tblStyleColBandSize w:val="1"/>
      <w:tblBorders>
        <w:top w:val="single" w:sz="8" w:space="0" w:color="AFC3FF" w:themeColor="accent6"/>
        <w:left w:val="single" w:sz="8" w:space="0" w:color="AFC3FF" w:themeColor="accent6"/>
        <w:bottom w:val="single" w:sz="8" w:space="0" w:color="AFC3FF" w:themeColor="accent6"/>
        <w:right w:val="single" w:sz="8" w:space="0" w:color="AFC3FF" w:themeColor="accent6"/>
      </w:tblBorders>
    </w:tblPr>
    <w:tblStylePr w:type="firstRow">
      <w:pPr>
        <w:spacing w:before="0" w:after="0" w:line="240" w:lineRule="auto"/>
      </w:pPr>
      <w:rPr>
        <w:b/>
        <w:color w:val="FFFFFF" w:themeColor="background1"/>
      </w:rPr>
      <w:tblPr/>
      <w:tcPr>
        <w:shd w:val="clear" w:color="000000" w:fill="AFC3FF" w:themeFill="accent6"/>
      </w:tcPr>
    </w:tblStylePr>
    <w:tblStylePr w:type="lastRow">
      <w:pPr>
        <w:spacing w:before="0" w:after="0" w:line="240" w:lineRule="auto"/>
      </w:pPr>
      <w:rPr>
        <w:b/>
      </w:rPr>
      <w:tblPr/>
      <w:tcPr>
        <w:tcBorders>
          <w:top w:val="double" w:sz="6" w:space="0" w:color="AFC3FF" w:themeColor="accent6"/>
          <w:left w:val="single" w:sz="8" w:space="0" w:color="AFC3FF" w:themeColor="accent6"/>
          <w:bottom w:val="single" w:sz="8" w:space="0" w:color="AFC3FF" w:themeColor="accent6"/>
          <w:right w:val="single" w:sz="8" w:space="0" w:color="AFC3FF" w:themeColor="accent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top w:val="single" w:sz="8" w:space="0" w:color="AFC3FF" w:themeColor="accent6"/>
          <w:left w:val="single" w:sz="8" w:space="0" w:color="AFC3FF" w:themeColor="accent6"/>
          <w:bottom w:val="single" w:sz="8" w:space="0" w:color="AFC3FF" w:themeColor="accent6"/>
          <w:right w:val="single" w:sz="8" w:space="0" w:color="AFC3FF" w:themeColor="accent6"/>
        </w:tcBorders>
      </w:tcPr>
    </w:tblStylePr>
    <w:tblStylePr w:type="band1Horz">
      <w:tblPr/>
      <w:tcPr>
        <w:tcBorders>
          <w:top w:val="single" w:sz="8" w:space="0" w:color="AFC3FF" w:themeColor="accent6"/>
          <w:left w:val="single" w:sz="8" w:space="0" w:color="AFC3FF" w:themeColor="accent6"/>
          <w:bottom w:val="single" w:sz="8" w:space="0" w:color="AFC3FF" w:themeColor="accent6"/>
          <w:right w:val="single" w:sz="8" w:space="0" w:color="AFC3FF" w:themeColor="accent6"/>
        </w:tcBorders>
      </w:tcPr>
    </w:tblStylePr>
  </w:style>
  <w:style w:type="table" w:styleId="LightShading">
    <w:name w:val="Light Shading"/>
    <w:basedOn w:val="TableNormal"/>
    <w:semiHidden/>
    <w:unhideWhenUsed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000000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000000" w:fill="C0C0C0" w:themeFill="text1" w:themeFillTint="3F"/>
      </w:tcPr>
    </w:tblStylePr>
  </w:style>
  <w:style w:type="table" w:styleId="LightShading-Accent1">
    <w:name w:val="Light Shading Accent 1"/>
    <w:basedOn w:val="TableNormal"/>
    <w:semiHidden/>
    <w:unhideWhenUsed/>
    <w:pPr>
      <w:spacing w:after="0" w:line="240" w:lineRule="auto"/>
    </w:pPr>
    <w:rPr>
      <w:color w:val="031420" w:themeColor="accent1" w:themeShade="BF"/>
    </w:rPr>
    <w:tblPr>
      <w:tblStyleRowBandSize w:val="1"/>
      <w:tblStyleColBandSize w:val="1"/>
      <w:tblBorders>
        <w:top w:val="single" w:sz="8" w:space="0" w:color="051C2C" w:themeColor="accent1"/>
        <w:bottom w:val="single" w:sz="8" w:space="0" w:color="051C2C" w:themeColor="accent1"/>
      </w:tblBorders>
    </w:tblPr>
    <w:tblStylePr w:type="firstRow">
      <w:pPr>
        <w:spacing w:before="0" w:after="0" w:line="240" w:lineRule="auto"/>
      </w:pPr>
      <w:rPr>
        <w:b/>
      </w:rPr>
      <w:tblPr/>
      <w:tcPr>
        <w:tcBorders>
          <w:top w:val="single" w:sz="8" w:space="0" w:color="051C2C" w:themeColor="accent1"/>
          <w:left w:val="nil"/>
          <w:bottom w:val="single" w:sz="8" w:space="0" w:color="051C2C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</w:rPr>
      <w:tblPr/>
      <w:tcPr>
        <w:tcBorders>
          <w:top w:val="single" w:sz="8" w:space="0" w:color="051C2C" w:themeColor="accent1"/>
          <w:left w:val="nil"/>
          <w:bottom w:val="single" w:sz="8" w:space="0" w:color="051C2C" w:themeColor="accent1"/>
          <w:right w:val="nil"/>
          <w:insideH w:val="nil"/>
          <w:insideV w:val="nil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000000" w:fill="98CEF3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000000" w:fill="98CEF3" w:themeFill="accent1" w:themeFillTint="3F"/>
      </w:tcPr>
    </w:tblStylePr>
  </w:style>
  <w:style w:type="table" w:styleId="LightShading-Accent2">
    <w:name w:val="Light Shading Accent 2"/>
    <w:basedOn w:val="TableNormal"/>
    <w:semiHidden/>
    <w:unhideWhenUsed/>
    <w:pPr>
      <w:spacing w:after="0" w:line="240" w:lineRule="auto"/>
    </w:pPr>
    <w:rPr>
      <w:color w:val="007EB6" w:themeColor="accent2" w:themeShade="BF"/>
    </w:rPr>
    <w:tblPr>
      <w:tblStyleRowBandSize w:val="1"/>
      <w:tblStyleColBandSize w:val="1"/>
      <w:tblBorders>
        <w:top w:val="single" w:sz="8" w:space="0" w:color="00A9F4" w:themeColor="accent2"/>
        <w:bottom w:val="single" w:sz="8" w:space="0" w:color="00A9F4" w:themeColor="accent2"/>
      </w:tblBorders>
    </w:tblPr>
    <w:tblStylePr w:type="firstRow">
      <w:pPr>
        <w:spacing w:before="0" w:after="0" w:line="240" w:lineRule="auto"/>
      </w:pPr>
      <w:rPr>
        <w:b/>
      </w:rPr>
      <w:tblPr/>
      <w:tcPr>
        <w:tcBorders>
          <w:top w:val="single" w:sz="8" w:space="0" w:color="00A9F4" w:themeColor="accent2"/>
          <w:left w:val="nil"/>
          <w:bottom w:val="single" w:sz="8" w:space="0" w:color="00A9F4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</w:rPr>
      <w:tblPr/>
      <w:tcPr>
        <w:tcBorders>
          <w:top w:val="single" w:sz="8" w:space="0" w:color="00A9F4" w:themeColor="accent2"/>
          <w:left w:val="nil"/>
          <w:bottom w:val="single" w:sz="8" w:space="0" w:color="00A9F4" w:themeColor="accent2"/>
          <w:right w:val="nil"/>
          <w:insideH w:val="nil"/>
          <w:insideV w:val="nil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000000" w:fill="BDEAFF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000000" w:fill="BDEAFF" w:themeFill="accent2" w:themeFillTint="3F"/>
      </w:tcPr>
    </w:tblStylePr>
  </w:style>
  <w:style w:type="table" w:styleId="LightShading-Accent3">
    <w:name w:val="Light Shading Accent 3"/>
    <w:basedOn w:val="TableNormal"/>
    <w:semiHidden/>
    <w:unhideWhenUsed/>
    <w:pPr>
      <w:spacing w:after="0" w:line="240" w:lineRule="auto"/>
    </w:pPr>
    <w:rPr>
      <w:color w:val="002DD8" w:themeColor="accent3" w:themeShade="BF"/>
    </w:rPr>
    <w:tblPr>
      <w:tblStyleRowBandSize w:val="1"/>
      <w:tblStyleColBandSize w:val="1"/>
      <w:tblBorders>
        <w:top w:val="single" w:sz="8" w:space="0" w:color="2251FF" w:themeColor="accent3"/>
        <w:bottom w:val="single" w:sz="8" w:space="0" w:color="2251FF" w:themeColor="accent3"/>
      </w:tblBorders>
    </w:tblPr>
    <w:tblStylePr w:type="firstRow">
      <w:pPr>
        <w:spacing w:before="0" w:after="0" w:line="240" w:lineRule="auto"/>
      </w:pPr>
      <w:rPr>
        <w:b/>
      </w:rPr>
      <w:tblPr/>
      <w:tcPr>
        <w:tcBorders>
          <w:top w:val="single" w:sz="8" w:space="0" w:color="2251FF" w:themeColor="accent3"/>
          <w:left w:val="nil"/>
          <w:bottom w:val="single" w:sz="8" w:space="0" w:color="2251FF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</w:rPr>
      <w:tblPr/>
      <w:tcPr>
        <w:tcBorders>
          <w:top w:val="single" w:sz="8" w:space="0" w:color="2251FF" w:themeColor="accent3"/>
          <w:left w:val="nil"/>
          <w:bottom w:val="single" w:sz="8" w:space="0" w:color="2251FF" w:themeColor="accent3"/>
          <w:right w:val="nil"/>
          <w:insideH w:val="nil"/>
          <w:insideV w:val="nil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000000" w:fill="C8D3FF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000000" w:fill="C8D3FF" w:themeFill="accent3" w:themeFillTint="3F"/>
      </w:tcPr>
    </w:tblStylePr>
  </w:style>
  <w:style w:type="table" w:styleId="LightShading-Accent4">
    <w:name w:val="Light Shading Accent 4"/>
    <w:basedOn w:val="TableNormal"/>
    <w:semiHidden/>
    <w:unhideWhenUsed/>
    <w:pPr>
      <w:spacing w:after="0" w:line="240" w:lineRule="auto"/>
    </w:pPr>
    <w:rPr>
      <w:color w:val="52CCE0" w:themeColor="accent4" w:themeShade="BF"/>
    </w:rPr>
    <w:tblPr>
      <w:tblStyleRowBandSize w:val="1"/>
      <w:tblStyleColBandSize w:val="1"/>
      <w:tblBorders>
        <w:top w:val="single" w:sz="8" w:space="0" w:color="AAE6F0" w:themeColor="accent4"/>
        <w:bottom w:val="single" w:sz="8" w:space="0" w:color="AAE6F0" w:themeColor="accent4"/>
      </w:tblBorders>
    </w:tblPr>
    <w:tblStylePr w:type="firstRow">
      <w:pPr>
        <w:spacing w:before="0" w:after="0" w:line="240" w:lineRule="auto"/>
      </w:pPr>
      <w:rPr>
        <w:b/>
      </w:rPr>
      <w:tblPr/>
      <w:tcPr>
        <w:tcBorders>
          <w:top w:val="single" w:sz="8" w:space="0" w:color="AAE6F0" w:themeColor="accent4"/>
          <w:left w:val="nil"/>
          <w:bottom w:val="single" w:sz="8" w:space="0" w:color="AAE6F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</w:rPr>
      <w:tblPr/>
      <w:tcPr>
        <w:tcBorders>
          <w:top w:val="single" w:sz="8" w:space="0" w:color="AAE6F0" w:themeColor="accent4"/>
          <w:left w:val="nil"/>
          <w:bottom w:val="single" w:sz="8" w:space="0" w:color="AAE6F0" w:themeColor="accent4"/>
          <w:right w:val="nil"/>
          <w:insideH w:val="nil"/>
          <w:insideV w:val="nil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000000" w:fill="E9F8F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000000" w:fill="E9F8FB" w:themeFill="accent4" w:themeFillTint="3F"/>
      </w:tcPr>
    </w:tblStylePr>
  </w:style>
  <w:style w:type="table" w:styleId="LightShading-Accent5">
    <w:name w:val="Light Shading Accent 5"/>
    <w:basedOn w:val="TableNormal"/>
    <w:semiHidden/>
    <w:unhideWhenUsed/>
    <w:pPr>
      <w:spacing w:after="0" w:line="240" w:lineRule="auto"/>
    </w:pPr>
    <w:rPr>
      <w:color w:val="2D7086" w:themeColor="accent5" w:themeShade="BF"/>
    </w:rPr>
    <w:tblPr>
      <w:tblStyleRowBandSize w:val="1"/>
      <w:tblStyleColBandSize w:val="1"/>
      <w:tblBorders>
        <w:top w:val="single" w:sz="8" w:space="0" w:color="3C96B4" w:themeColor="accent5"/>
        <w:bottom w:val="single" w:sz="8" w:space="0" w:color="3C96B4" w:themeColor="accent5"/>
      </w:tblBorders>
    </w:tblPr>
    <w:tblStylePr w:type="firstRow">
      <w:pPr>
        <w:spacing w:before="0" w:after="0" w:line="240" w:lineRule="auto"/>
      </w:pPr>
      <w:rPr>
        <w:b/>
      </w:rPr>
      <w:tblPr/>
      <w:tcPr>
        <w:tcBorders>
          <w:top w:val="single" w:sz="8" w:space="0" w:color="3C96B4" w:themeColor="accent5"/>
          <w:left w:val="nil"/>
          <w:bottom w:val="single" w:sz="8" w:space="0" w:color="3C96B4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</w:rPr>
      <w:tblPr/>
      <w:tcPr>
        <w:tcBorders>
          <w:top w:val="single" w:sz="8" w:space="0" w:color="3C96B4" w:themeColor="accent5"/>
          <w:left w:val="nil"/>
          <w:bottom w:val="single" w:sz="8" w:space="0" w:color="3C96B4" w:themeColor="accent5"/>
          <w:right w:val="nil"/>
          <w:insideH w:val="nil"/>
          <w:insideV w:val="nil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000000" w:fill="CCE5EE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000000" w:fill="CCE5EE" w:themeFill="accent5" w:themeFillTint="3F"/>
      </w:tcPr>
    </w:tblStylePr>
  </w:style>
  <w:style w:type="table" w:styleId="LightShading-Accent6">
    <w:name w:val="Light Shading Accent 6"/>
    <w:basedOn w:val="TableNormal"/>
    <w:semiHidden/>
    <w:unhideWhenUsed/>
    <w:pPr>
      <w:spacing w:after="0" w:line="240" w:lineRule="auto"/>
    </w:pPr>
    <w:rPr>
      <w:color w:val="4371FF" w:themeColor="accent6" w:themeShade="BF"/>
    </w:rPr>
    <w:tblPr>
      <w:tblStyleRowBandSize w:val="1"/>
      <w:tblStyleColBandSize w:val="1"/>
      <w:tblBorders>
        <w:top w:val="single" w:sz="8" w:space="0" w:color="AFC3FF" w:themeColor="accent6"/>
        <w:bottom w:val="single" w:sz="8" w:space="0" w:color="AFC3FF" w:themeColor="accent6"/>
      </w:tblBorders>
    </w:tblPr>
    <w:tblStylePr w:type="firstRow">
      <w:pPr>
        <w:spacing w:before="0" w:after="0" w:line="240" w:lineRule="auto"/>
      </w:pPr>
      <w:rPr>
        <w:b/>
      </w:rPr>
      <w:tblPr/>
      <w:tcPr>
        <w:tcBorders>
          <w:top w:val="single" w:sz="8" w:space="0" w:color="AFC3FF" w:themeColor="accent6"/>
          <w:left w:val="nil"/>
          <w:bottom w:val="single" w:sz="8" w:space="0" w:color="AFC3FF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</w:rPr>
      <w:tblPr/>
      <w:tcPr>
        <w:tcBorders>
          <w:top w:val="single" w:sz="8" w:space="0" w:color="AFC3FF" w:themeColor="accent6"/>
          <w:left w:val="nil"/>
          <w:bottom w:val="single" w:sz="8" w:space="0" w:color="AFC3FF" w:themeColor="accent6"/>
          <w:right w:val="nil"/>
          <w:insideH w:val="nil"/>
          <w:insideV w:val="nil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000000" w:fill="EBEFFF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000000" w:fill="EBEFFF" w:themeFill="accent6" w:themeFillTint="3F"/>
      </w:tcPr>
    </w:tblStylePr>
  </w:style>
  <w:style w:type="character" w:styleId="LineNumber">
    <w:name w:val="line number"/>
    <w:basedOn w:val="DefaultParagraphFont"/>
    <w:semiHidden/>
    <w:unhideWhenUsed/>
  </w:style>
  <w:style w:type="paragraph" w:styleId="List">
    <w:name w:val="List"/>
    <w:basedOn w:val="Normal"/>
    <w:semiHidden/>
    <w:unhideWhenUsed/>
    <w:pPr>
      <w:ind w:left="283" w:hanging="283"/>
      <w:contextualSpacing/>
    </w:pPr>
  </w:style>
  <w:style w:type="paragraph" w:styleId="List2">
    <w:name w:val="List 2"/>
    <w:basedOn w:val="Normal"/>
    <w:semiHidden/>
    <w:unhideWhenUsed/>
    <w:pPr>
      <w:ind w:left="566" w:hanging="283"/>
      <w:contextualSpacing/>
    </w:pPr>
  </w:style>
  <w:style w:type="paragraph" w:styleId="List3">
    <w:name w:val="List 3"/>
    <w:basedOn w:val="Normal"/>
    <w:semiHidden/>
    <w:unhideWhenUsed/>
    <w:pPr>
      <w:ind w:left="849" w:hanging="283"/>
      <w:contextualSpacing/>
    </w:pPr>
  </w:style>
  <w:style w:type="paragraph" w:styleId="List4">
    <w:name w:val="List 4"/>
    <w:basedOn w:val="Normal"/>
    <w:semiHidden/>
    <w:unhideWhenUsed/>
    <w:pPr>
      <w:ind w:left="1132" w:hanging="283"/>
      <w:contextualSpacing/>
    </w:pPr>
  </w:style>
  <w:style w:type="paragraph" w:styleId="List5">
    <w:name w:val="List 5"/>
    <w:basedOn w:val="Normal"/>
    <w:semiHidden/>
    <w:unhideWhenUsed/>
    <w:pPr>
      <w:ind w:left="1415" w:hanging="283"/>
      <w:contextualSpacing/>
    </w:pPr>
  </w:style>
  <w:style w:type="paragraph" w:styleId="ListContinue">
    <w:name w:val="List Continue"/>
    <w:basedOn w:val="Normal"/>
    <w:semiHidden/>
    <w:unhideWhenUsed/>
    <w:pPr>
      <w:spacing w:after="120"/>
      <w:ind w:left="283"/>
      <w:contextualSpacing/>
    </w:pPr>
  </w:style>
  <w:style w:type="paragraph" w:styleId="ListContinue2">
    <w:name w:val="List Continue 2"/>
    <w:basedOn w:val="Normal"/>
    <w:semiHidden/>
    <w:unhideWhenUsed/>
    <w:pPr>
      <w:spacing w:after="120"/>
      <w:ind w:left="566"/>
      <w:contextualSpacing/>
    </w:pPr>
  </w:style>
  <w:style w:type="paragraph" w:styleId="ListContinue3">
    <w:name w:val="List Continue 3"/>
    <w:basedOn w:val="Normal"/>
    <w:semiHidden/>
    <w:unhideWhenUsed/>
    <w:pPr>
      <w:spacing w:after="120"/>
      <w:ind w:left="849"/>
      <w:contextualSpacing/>
    </w:pPr>
  </w:style>
  <w:style w:type="paragraph" w:styleId="ListContinue4">
    <w:name w:val="List Continue 4"/>
    <w:basedOn w:val="Normal"/>
    <w:semiHidden/>
    <w:unhideWhenUsed/>
    <w:pPr>
      <w:spacing w:after="120"/>
      <w:ind w:left="1132"/>
      <w:contextualSpacing/>
    </w:pPr>
  </w:style>
  <w:style w:type="paragraph" w:styleId="ListContinue5">
    <w:name w:val="List Continue 5"/>
    <w:basedOn w:val="Normal"/>
    <w:semiHidden/>
    <w:unhideWhenUsed/>
    <w:pPr>
      <w:spacing w:after="120"/>
      <w:ind w:left="1415"/>
      <w:contextualSpacing/>
    </w:pPr>
  </w:style>
  <w:style w:type="paragraph" w:styleId="ListNumber">
    <w:name w:val="List Number"/>
    <w:basedOn w:val="Normal"/>
    <w:semiHidden/>
    <w:unhideWhenUsed/>
    <w:pPr>
      <w:numPr>
        <w:numId w:val="7"/>
      </w:numPr>
      <w:contextualSpacing/>
    </w:pPr>
  </w:style>
  <w:style w:type="paragraph" w:styleId="ListNumber2">
    <w:name w:val="List Number 2"/>
    <w:basedOn w:val="Normal"/>
    <w:semiHidden/>
    <w:unhideWhenUsed/>
    <w:pPr>
      <w:numPr>
        <w:numId w:val="8"/>
      </w:numPr>
      <w:contextualSpacing/>
    </w:pPr>
  </w:style>
  <w:style w:type="paragraph" w:styleId="ListNumber3">
    <w:name w:val="List Number 3"/>
    <w:basedOn w:val="Normal"/>
    <w:semiHidden/>
    <w:unhideWhenUsed/>
    <w:pPr>
      <w:numPr>
        <w:numId w:val="9"/>
      </w:numPr>
      <w:contextualSpacing/>
    </w:pPr>
  </w:style>
  <w:style w:type="paragraph" w:styleId="ListNumber4">
    <w:name w:val="List Number 4"/>
    <w:basedOn w:val="Normal"/>
    <w:semiHidden/>
    <w:unhideWhenUsed/>
    <w:pPr>
      <w:numPr>
        <w:numId w:val="10"/>
      </w:numPr>
      <w:contextualSpacing/>
    </w:pPr>
  </w:style>
  <w:style w:type="paragraph" w:styleId="ListNumber5">
    <w:name w:val="List Number 5"/>
    <w:basedOn w:val="Normal"/>
    <w:semiHidden/>
    <w:unhideWhenUsed/>
    <w:pPr>
      <w:numPr>
        <w:numId w:val="11"/>
      </w:numPr>
      <w:contextualSpacing/>
    </w:pPr>
  </w:style>
  <w:style w:type="table" w:styleId="ListTable5Dark">
    <w:name w:val="List Table 5 Dark"/>
    <w:basedOn w:val="TableNormal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000000" w:fill="000000" w:themeFill="text1"/>
    </w:tcPr>
    <w:tblStylePr w:type="firstRow">
      <w:rPr>
        <w:b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51C2C" w:themeColor="accent1"/>
        <w:left w:val="single" w:sz="24" w:space="0" w:color="051C2C" w:themeColor="accent1"/>
        <w:bottom w:val="single" w:sz="24" w:space="0" w:color="051C2C" w:themeColor="accent1"/>
        <w:right w:val="single" w:sz="24" w:space="0" w:color="051C2C" w:themeColor="accent1"/>
      </w:tblBorders>
    </w:tblPr>
    <w:tcPr>
      <w:shd w:val="clear" w:color="000000" w:fill="051C2C" w:themeFill="accent1"/>
    </w:tcPr>
    <w:tblStylePr w:type="firstRow">
      <w:rPr>
        <w:b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A9F4" w:themeColor="accent2"/>
        <w:left w:val="single" w:sz="24" w:space="0" w:color="00A9F4" w:themeColor="accent2"/>
        <w:bottom w:val="single" w:sz="24" w:space="0" w:color="00A9F4" w:themeColor="accent2"/>
        <w:right w:val="single" w:sz="24" w:space="0" w:color="00A9F4" w:themeColor="accent2"/>
      </w:tblBorders>
    </w:tblPr>
    <w:tcPr>
      <w:shd w:val="clear" w:color="000000" w:fill="00A9F4" w:themeFill="accent2"/>
    </w:tcPr>
    <w:tblStylePr w:type="firstRow">
      <w:rPr>
        <w:b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2251FF" w:themeColor="accent3"/>
        <w:left w:val="single" w:sz="24" w:space="0" w:color="2251FF" w:themeColor="accent3"/>
        <w:bottom w:val="single" w:sz="24" w:space="0" w:color="2251FF" w:themeColor="accent3"/>
        <w:right w:val="single" w:sz="24" w:space="0" w:color="2251FF" w:themeColor="accent3"/>
      </w:tblBorders>
    </w:tblPr>
    <w:tcPr>
      <w:shd w:val="clear" w:color="000000" w:fill="2251FF" w:themeFill="accent3"/>
    </w:tcPr>
    <w:tblStylePr w:type="firstRow">
      <w:rPr>
        <w:b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AAE6F0" w:themeColor="accent4"/>
        <w:left w:val="single" w:sz="24" w:space="0" w:color="AAE6F0" w:themeColor="accent4"/>
        <w:bottom w:val="single" w:sz="24" w:space="0" w:color="AAE6F0" w:themeColor="accent4"/>
        <w:right w:val="single" w:sz="24" w:space="0" w:color="AAE6F0" w:themeColor="accent4"/>
      </w:tblBorders>
    </w:tblPr>
    <w:tcPr>
      <w:shd w:val="clear" w:color="000000" w:fill="AAE6F0" w:themeFill="accent4"/>
    </w:tcPr>
    <w:tblStylePr w:type="firstRow">
      <w:rPr>
        <w:b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3C96B4" w:themeColor="accent5"/>
        <w:left w:val="single" w:sz="24" w:space="0" w:color="3C96B4" w:themeColor="accent5"/>
        <w:bottom w:val="single" w:sz="24" w:space="0" w:color="3C96B4" w:themeColor="accent5"/>
        <w:right w:val="single" w:sz="24" w:space="0" w:color="3C96B4" w:themeColor="accent5"/>
      </w:tblBorders>
    </w:tblPr>
    <w:tcPr>
      <w:shd w:val="clear" w:color="000000" w:fill="3C96B4" w:themeFill="accent5"/>
    </w:tcPr>
    <w:tblStylePr w:type="firstRow">
      <w:rPr>
        <w:b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AFC3FF" w:themeColor="accent6"/>
        <w:left w:val="single" w:sz="24" w:space="0" w:color="AFC3FF" w:themeColor="accent6"/>
        <w:bottom w:val="single" w:sz="24" w:space="0" w:color="AFC3FF" w:themeColor="accent6"/>
        <w:right w:val="single" w:sz="24" w:space="0" w:color="AFC3FF" w:themeColor="accent6"/>
      </w:tblBorders>
    </w:tblPr>
    <w:tcPr>
      <w:shd w:val="clear" w:color="000000" w:fill="AFC3FF" w:themeFill="accent6"/>
    </w:tcPr>
    <w:tblStylePr w:type="firstRow">
      <w:rPr>
        <w:b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paragraph" w:styleId="MacroText">
    <w:name w:val="macro"/>
    <w:link w:val="MacroTextChar"/>
    <w:semiHidden/>
    <w:unhideWhenUsed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264" w:lineRule="auto"/>
    </w:pPr>
    <w:rPr>
      <w:rFonts w:ascii="Consolas" w:eastAsia="Times New Roman" w:hAnsi="Consolas" w:cs="Times New Roman"/>
      <w:sz w:val="20"/>
      <w:szCs w:val="20"/>
      <w:lang w:val="en-US"/>
    </w:rPr>
  </w:style>
  <w:style w:type="character" w:customStyle="1" w:styleId="MacroTextChar">
    <w:name w:val="Macro Text Char"/>
    <w:basedOn w:val="DefaultParagraphFont"/>
    <w:link w:val="MacroText"/>
    <w:semiHidden/>
    <w:rPr>
      <w:rFonts w:ascii="Consolas" w:eastAsia="Times New Roman" w:hAnsi="Consolas" w:cs="Times New Roman"/>
      <w:sz w:val="20"/>
      <w:szCs w:val="20"/>
      <w:lang w:val="en-US"/>
    </w:rPr>
  </w:style>
  <w:style w:type="table" w:styleId="MediumGrid1">
    <w:name w:val="Medium Grid 1"/>
    <w:basedOn w:val="TableNormal"/>
    <w:semiHidden/>
    <w:unhideWhenUsed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000000" w:fill="C0C0C0" w:themeFill="text1" w:themeFillTint="3F"/>
    </w:tcPr>
    <w:tblStylePr w:type="firstRow">
      <w:rPr>
        <w:b/>
      </w:rPr>
    </w:tblStylePr>
    <w:tblStylePr w:type="lastRow">
      <w:rPr>
        <w:b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000000" w:fill="808080" w:themeFill="text1" w:themeFillTint="7F"/>
      </w:tcPr>
    </w:tblStylePr>
    <w:tblStylePr w:type="band1Horz">
      <w:tblPr/>
      <w:tcPr>
        <w:shd w:val="clear" w:color="000000" w:fill="808080" w:themeFill="text1" w:themeFillTint="7F"/>
      </w:tcPr>
    </w:tblStylePr>
  </w:style>
  <w:style w:type="table" w:styleId="MediumGrid1-Accent1">
    <w:name w:val="Medium Grid 1 Accent 1"/>
    <w:basedOn w:val="TableNormal"/>
    <w:semiHidden/>
    <w:unhideWhenUsed/>
    <w:pPr>
      <w:spacing w:after="0" w:line="240" w:lineRule="auto"/>
    </w:pPr>
    <w:tblPr>
      <w:tblStyleRowBandSize w:val="1"/>
      <w:tblStyleColBandSize w:val="1"/>
      <w:tblBorders>
        <w:top w:val="single" w:sz="8" w:space="0" w:color="115D93" w:themeColor="accent1" w:themeTint="BF"/>
        <w:left w:val="single" w:sz="8" w:space="0" w:color="115D93" w:themeColor="accent1" w:themeTint="BF"/>
        <w:bottom w:val="single" w:sz="8" w:space="0" w:color="115D93" w:themeColor="accent1" w:themeTint="BF"/>
        <w:right w:val="single" w:sz="8" w:space="0" w:color="115D93" w:themeColor="accent1" w:themeTint="BF"/>
        <w:insideH w:val="single" w:sz="8" w:space="0" w:color="115D93" w:themeColor="accent1" w:themeTint="BF"/>
        <w:insideV w:val="single" w:sz="8" w:space="0" w:color="115D93" w:themeColor="accent1" w:themeTint="BF"/>
      </w:tblBorders>
    </w:tblPr>
    <w:tcPr>
      <w:shd w:val="clear" w:color="000000" w:fill="98CEF3" w:themeFill="accent1" w:themeFillTint="3F"/>
    </w:tcPr>
    <w:tblStylePr w:type="firstRow">
      <w:rPr>
        <w:b/>
      </w:rPr>
    </w:tblStylePr>
    <w:tblStylePr w:type="lastRow">
      <w:rPr>
        <w:b/>
      </w:rPr>
      <w:tblPr/>
      <w:tcPr>
        <w:tcBorders>
          <w:top w:val="single" w:sz="18" w:space="0" w:color="115D93" w:themeColor="accent1" w:themeTint="B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000000" w:fill="309CE7" w:themeFill="accent1" w:themeFillTint="7F"/>
      </w:tcPr>
    </w:tblStylePr>
    <w:tblStylePr w:type="band1Horz">
      <w:tblPr/>
      <w:tcPr>
        <w:shd w:val="clear" w:color="000000" w:fill="309CE7" w:themeFill="accent1" w:themeFillTint="7F"/>
      </w:tcPr>
    </w:tblStylePr>
  </w:style>
  <w:style w:type="table" w:styleId="MediumGrid1-Accent2">
    <w:name w:val="Medium Grid 1 Accent 2"/>
    <w:basedOn w:val="TableNormal"/>
    <w:semiHidden/>
    <w:unhideWhenUsed/>
    <w:pPr>
      <w:spacing w:after="0" w:line="240" w:lineRule="auto"/>
    </w:pPr>
    <w:tblPr>
      <w:tblStyleRowBandSize w:val="1"/>
      <w:tblStyleColBandSize w:val="1"/>
      <w:tblBorders>
        <w:top w:val="single" w:sz="8" w:space="0" w:color="37C1FF" w:themeColor="accent2" w:themeTint="BF"/>
        <w:left w:val="single" w:sz="8" w:space="0" w:color="37C1FF" w:themeColor="accent2" w:themeTint="BF"/>
        <w:bottom w:val="single" w:sz="8" w:space="0" w:color="37C1FF" w:themeColor="accent2" w:themeTint="BF"/>
        <w:right w:val="single" w:sz="8" w:space="0" w:color="37C1FF" w:themeColor="accent2" w:themeTint="BF"/>
        <w:insideH w:val="single" w:sz="8" w:space="0" w:color="37C1FF" w:themeColor="accent2" w:themeTint="BF"/>
        <w:insideV w:val="single" w:sz="8" w:space="0" w:color="37C1FF" w:themeColor="accent2" w:themeTint="BF"/>
      </w:tblBorders>
    </w:tblPr>
    <w:tcPr>
      <w:shd w:val="clear" w:color="000000" w:fill="BDEAFF" w:themeFill="accent2" w:themeFillTint="3F"/>
    </w:tcPr>
    <w:tblStylePr w:type="firstRow">
      <w:rPr>
        <w:b/>
      </w:rPr>
    </w:tblStylePr>
    <w:tblStylePr w:type="lastRow">
      <w:rPr>
        <w:b/>
      </w:rPr>
      <w:tblPr/>
      <w:tcPr>
        <w:tcBorders>
          <w:top w:val="single" w:sz="18" w:space="0" w:color="37C1FF" w:themeColor="accent2" w:themeTint="B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000000" w:fill="7AD5FF" w:themeFill="accent2" w:themeFillTint="7F"/>
      </w:tcPr>
    </w:tblStylePr>
    <w:tblStylePr w:type="band1Horz">
      <w:tblPr/>
      <w:tcPr>
        <w:shd w:val="clear" w:color="000000" w:fill="7AD5FF" w:themeFill="accent2" w:themeFillTint="7F"/>
      </w:tcPr>
    </w:tblStylePr>
  </w:style>
  <w:style w:type="table" w:styleId="MediumGrid1-Accent3">
    <w:name w:val="Medium Grid 1 Accent 3"/>
    <w:basedOn w:val="TableNormal"/>
    <w:semiHidden/>
    <w:unhideWhenUsed/>
    <w:pPr>
      <w:spacing w:after="0" w:line="240" w:lineRule="auto"/>
    </w:pPr>
    <w:tblPr>
      <w:tblStyleRowBandSize w:val="1"/>
      <w:tblStyleColBandSize w:val="1"/>
      <w:tblBorders>
        <w:top w:val="single" w:sz="8" w:space="0" w:color="597CFF" w:themeColor="accent3" w:themeTint="BF"/>
        <w:left w:val="single" w:sz="8" w:space="0" w:color="597CFF" w:themeColor="accent3" w:themeTint="BF"/>
        <w:bottom w:val="single" w:sz="8" w:space="0" w:color="597CFF" w:themeColor="accent3" w:themeTint="BF"/>
        <w:right w:val="single" w:sz="8" w:space="0" w:color="597CFF" w:themeColor="accent3" w:themeTint="BF"/>
        <w:insideH w:val="single" w:sz="8" w:space="0" w:color="597CFF" w:themeColor="accent3" w:themeTint="BF"/>
        <w:insideV w:val="single" w:sz="8" w:space="0" w:color="597CFF" w:themeColor="accent3" w:themeTint="BF"/>
      </w:tblBorders>
    </w:tblPr>
    <w:tcPr>
      <w:shd w:val="clear" w:color="000000" w:fill="C8D3FF" w:themeFill="accent3" w:themeFillTint="3F"/>
    </w:tcPr>
    <w:tblStylePr w:type="firstRow">
      <w:rPr>
        <w:b/>
      </w:rPr>
    </w:tblStylePr>
    <w:tblStylePr w:type="lastRow">
      <w:rPr>
        <w:b/>
      </w:rPr>
      <w:tblPr/>
      <w:tcPr>
        <w:tcBorders>
          <w:top w:val="single" w:sz="18" w:space="0" w:color="597CFF" w:themeColor="accent3" w:themeTint="B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000000" w:fill="90A8FF" w:themeFill="accent3" w:themeFillTint="7F"/>
      </w:tcPr>
    </w:tblStylePr>
    <w:tblStylePr w:type="band1Horz">
      <w:tblPr/>
      <w:tcPr>
        <w:shd w:val="clear" w:color="000000" w:fill="90A8FF" w:themeFill="accent3" w:themeFillTint="7F"/>
      </w:tcPr>
    </w:tblStylePr>
  </w:style>
  <w:style w:type="table" w:styleId="MediumGrid1-Accent4">
    <w:name w:val="Medium Grid 1 Accent 4"/>
    <w:basedOn w:val="TableNormal"/>
    <w:semiHidden/>
    <w:unhideWhenUsed/>
    <w:pPr>
      <w:spacing w:after="0" w:line="240" w:lineRule="auto"/>
    </w:pPr>
    <w:tblPr>
      <w:tblStyleRowBandSize w:val="1"/>
      <w:tblStyleColBandSize w:val="1"/>
      <w:tblBorders>
        <w:top w:val="single" w:sz="8" w:space="0" w:color="BFECF3" w:themeColor="accent4" w:themeTint="BF"/>
        <w:left w:val="single" w:sz="8" w:space="0" w:color="BFECF3" w:themeColor="accent4" w:themeTint="BF"/>
        <w:bottom w:val="single" w:sz="8" w:space="0" w:color="BFECF3" w:themeColor="accent4" w:themeTint="BF"/>
        <w:right w:val="single" w:sz="8" w:space="0" w:color="BFECF3" w:themeColor="accent4" w:themeTint="BF"/>
        <w:insideH w:val="single" w:sz="8" w:space="0" w:color="BFECF3" w:themeColor="accent4" w:themeTint="BF"/>
        <w:insideV w:val="single" w:sz="8" w:space="0" w:color="BFECF3" w:themeColor="accent4" w:themeTint="BF"/>
      </w:tblBorders>
    </w:tblPr>
    <w:tcPr>
      <w:shd w:val="clear" w:color="000000" w:fill="E9F8FB" w:themeFill="accent4" w:themeFillTint="3F"/>
    </w:tcPr>
    <w:tblStylePr w:type="firstRow">
      <w:rPr>
        <w:b/>
      </w:rPr>
    </w:tblStylePr>
    <w:tblStylePr w:type="lastRow">
      <w:rPr>
        <w:b/>
      </w:rPr>
      <w:tblPr/>
      <w:tcPr>
        <w:tcBorders>
          <w:top w:val="single" w:sz="18" w:space="0" w:color="BFECF3" w:themeColor="accent4" w:themeTint="B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000000" w:fill="D4F2F7" w:themeFill="accent4" w:themeFillTint="7F"/>
      </w:tcPr>
    </w:tblStylePr>
    <w:tblStylePr w:type="band1Horz">
      <w:tblPr/>
      <w:tcPr>
        <w:shd w:val="clear" w:color="000000" w:fill="D4F2F7" w:themeFill="accent4" w:themeFillTint="7F"/>
      </w:tcPr>
    </w:tblStylePr>
  </w:style>
  <w:style w:type="table" w:styleId="MediumGrid1-Accent5">
    <w:name w:val="Medium Grid 1 Accent 5"/>
    <w:basedOn w:val="TableNormal"/>
    <w:semiHidden/>
    <w:unhideWhenUsed/>
    <w:pPr>
      <w:spacing w:after="0" w:line="240" w:lineRule="auto"/>
    </w:pPr>
    <w:tblPr>
      <w:tblStyleRowBandSize w:val="1"/>
      <w:tblStyleColBandSize w:val="1"/>
      <w:tblBorders>
        <w:top w:val="single" w:sz="8" w:space="0" w:color="67B3CC" w:themeColor="accent5" w:themeTint="BF"/>
        <w:left w:val="single" w:sz="8" w:space="0" w:color="67B3CC" w:themeColor="accent5" w:themeTint="BF"/>
        <w:bottom w:val="single" w:sz="8" w:space="0" w:color="67B3CC" w:themeColor="accent5" w:themeTint="BF"/>
        <w:right w:val="single" w:sz="8" w:space="0" w:color="67B3CC" w:themeColor="accent5" w:themeTint="BF"/>
        <w:insideH w:val="single" w:sz="8" w:space="0" w:color="67B3CC" w:themeColor="accent5" w:themeTint="BF"/>
        <w:insideV w:val="single" w:sz="8" w:space="0" w:color="67B3CC" w:themeColor="accent5" w:themeTint="BF"/>
      </w:tblBorders>
    </w:tblPr>
    <w:tcPr>
      <w:shd w:val="clear" w:color="000000" w:fill="CCE5EE" w:themeFill="accent5" w:themeFillTint="3F"/>
    </w:tcPr>
    <w:tblStylePr w:type="firstRow">
      <w:rPr>
        <w:b/>
      </w:rPr>
    </w:tblStylePr>
    <w:tblStylePr w:type="lastRow">
      <w:rPr>
        <w:b/>
      </w:rPr>
      <w:tblPr/>
      <w:tcPr>
        <w:tcBorders>
          <w:top w:val="single" w:sz="18" w:space="0" w:color="67B3CC" w:themeColor="accent5" w:themeTint="B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000000" w:fill="9ACCDD" w:themeFill="accent5" w:themeFillTint="7F"/>
      </w:tcPr>
    </w:tblStylePr>
    <w:tblStylePr w:type="band1Horz">
      <w:tblPr/>
      <w:tcPr>
        <w:shd w:val="clear" w:color="000000" w:fill="9ACCDD" w:themeFill="accent5" w:themeFillTint="7F"/>
      </w:tcPr>
    </w:tblStylePr>
  </w:style>
  <w:style w:type="table" w:styleId="MediumGrid1-Accent6">
    <w:name w:val="Medium Grid 1 Accent 6"/>
    <w:basedOn w:val="TableNormal"/>
    <w:semiHidden/>
    <w:unhideWhenUsed/>
    <w:pPr>
      <w:spacing w:after="0" w:line="240" w:lineRule="auto"/>
    </w:pPr>
    <w:tblPr>
      <w:tblStyleRowBandSize w:val="1"/>
      <w:tblStyleColBandSize w:val="1"/>
      <w:tblBorders>
        <w:top w:val="single" w:sz="8" w:space="0" w:color="C3D1FF" w:themeColor="accent6" w:themeTint="BF"/>
        <w:left w:val="single" w:sz="8" w:space="0" w:color="C3D1FF" w:themeColor="accent6" w:themeTint="BF"/>
        <w:bottom w:val="single" w:sz="8" w:space="0" w:color="C3D1FF" w:themeColor="accent6" w:themeTint="BF"/>
        <w:right w:val="single" w:sz="8" w:space="0" w:color="C3D1FF" w:themeColor="accent6" w:themeTint="BF"/>
        <w:insideH w:val="single" w:sz="8" w:space="0" w:color="C3D1FF" w:themeColor="accent6" w:themeTint="BF"/>
        <w:insideV w:val="single" w:sz="8" w:space="0" w:color="C3D1FF" w:themeColor="accent6" w:themeTint="BF"/>
      </w:tblBorders>
    </w:tblPr>
    <w:tcPr>
      <w:shd w:val="clear" w:color="000000" w:fill="EBEFFF" w:themeFill="accent6" w:themeFillTint="3F"/>
    </w:tcPr>
    <w:tblStylePr w:type="firstRow">
      <w:rPr>
        <w:b/>
      </w:rPr>
    </w:tblStylePr>
    <w:tblStylePr w:type="lastRow">
      <w:rPr>
        <w:b/>
      </w:rPr>
      <w:tblPr/>
      <w:tcPr>
        <w:tcBorders>
          <w:top w:val="single" w:sz="18" w:space="0" w:color="C3D1FF" w:themeColor="accent6" w:themeTint="B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000000" w:fill="D7E0FF" w:themeFill="accent6" w:themeFillTint="7F"/>
      </w:tcPr>
    </w:tblStylePr>
    <w:tblStylePr w:type="band1Horz">
      <w:tblPr/>
      <w:tcPr>
        <w:shd w:val="clear" w:color="000000" w:fill="D7E0FF" w:themeFill="accent6" w:themeFillTint="7F"/>
      </w:tcPr>
    </w:tblStylePr>
  </w:style>
  <w:style w:type="table" w:styleId="MediumGrid2">
    <w:name w:val="Medium Grid 2"/>
    <w:basedOn w:val="TableNormal"/>
    <w:semiHidden/>
    <w:unhideWhenUsed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000000" w:fill="C0C0C0" w:themeFill="text1" w:themeFillTint="3F"/>
    </w:tcPr>
    <w:tblStylePr w:type="firstRow">
      <w:rPr>
        <w:b/>
        <w:color w:val="000000" w:themeColor="text1"/>
      </w:rPr>
      <w:tblPr/>
      <w:tcPr>
        <w:shd w:val="clear" w:color="000000" w:fill="E6E6E6" w:themeFill="text1" w:themeFillTint="19"/>
      </w:tcPr>
    </w:tblStylePr>
    <w:tblStylePr w:type="lastRow">
      <w:rPr>
        <w:b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rPr>
        <w:b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lastCol">
      <w:rPr>
        <w:b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000000" w:fill="CCCCCC" w:themeFill="text1" w:themeFillTint="33"/>
      </w:tcPr>
    </w:tblStylePr>
    <w:tblStylePr w:type="band1Vert">
      <w:tblPr/>
      <w:tcPr>
        <w:shd w:val="clear" w:color="000000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000000" w:fill="808080" w:themeFill="text1" w:themeFillTint="7F"/>
      </w:tcPr>
    </w:tblStylePr>
    <w:tblStylePr w:type="nwCell">
      <w:tblPr/>
      <w:tcPr>
        <w:shd w:val="clear" w:color="000000" w:fill="FFFFFF" w:themeFill="background1"/>
      </w:tcPr>
    </w:tblStylePr>
  </w:style>
  <w:style w:type="table" w:styleId="MediumGrid2-Accent1">
    <w:name w:val="Medium Grid 2 Accent 1"/>
    <w:basedOn w:val="TableNormal"/>
    <w:semiHidden/>
    <w:unhideWhenUsed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51C2C" w:themeColor="accent1"/>
        <w:left w:val="single" w:sz="8" w:space="0" w:color="051C2C" w:themeColor="accent1"/>
        <w:bottom w:val="single" w:sz="8" w:space="0" w:color="051C2C" w:themeColor="accent1"/>
        <w:right w:val="single" w:sz="8" w:space="0" w:color="051C2C" w:themeColor="accent1"/>
        <w:insideH w:val="single" w:sz="8" w:space="0" w:color="051C2C" w:themeColor="accent1"/>
        <w:insideV w:val="single" w:sz="8" w:space="0" w:color="051C2C" w:themeColor="accent1"/>
      </w:tblBorders>
    </w:tblPr>
    <w:tcPr>
      <w:shd w:val="clear" w:color="000000" w:fill="98CEF3" w:themeFill="accent1" w:themeFillTint="3F"/>
    </w:tcPr>
    <w:tblStylePr w:type="firstRow">
      <w:rPr>
        <w:b/>
        <w:color w:val="000000" w:themeColor="text1"/>
      </w:rPr>
      <w:tblPr/>
      <w:tcPr>
        <w:shd w:val="clear" w:color="000000" w:fill="D6EBFA" w:themeFill="accent1" w:themeFillTint="19"/>
      </w:tcPr>
    </w:tblStylePr>
    <w:tblStylePr w:type="lastRow">
      <w:rPr>
        <w:b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rPr>
        <w:b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lastCol">
      <w:rPr>
        <w:b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000000" w:fill="ACD7F5" w:themeFill="accent1" w:themeFillTint="33"/>
      </w:tcPr>
    </w:tblStylePr>
    <w:tblStylePr w:type="band1Vert">
      <w:tblPr/>
      <w:tcPr>
        <w:shd w:val="clear" w:color="000000" w:fill="309CE7" w:themeFill="accent1" w:themeFillTint="7F"/>
      </w:tcPr>
    </w:tblStylePr>
    <w:tblStylePr w:type="band1Horz">
      <w:tblPr/>
      <w:tcPr>
        <w:tcBorders>
          <w:insideH w:val="single" w:sz="6" w:space="0" w:color="051C2C" w:themeColor="accent1"/>
          <w:insideV w:val="single" w:sz="6" w:space="0" w:color="051C2C" w:themeColor="accent1"/>
        </w:tcBorders>
        <w:shd w:val="clear" w:color="000000" w:fill="309CE7" w:themeFill="accent1" w:themeFillTint="7F"/>
      </w:tcPr>
    </w:tblStylePr>
    <w:tblStylePr w:type="nwCell">
      <w:tblPr/>
      <w:tcPr>
        <w:shd w:val="clear" w:color="000000" w:fill="FFFFFF" w:themeFill="background1"/>
      </w:tcPr>
    </w:tblStylePr>
  </w:style>
  <w:style w:type="table" w:styleId="MediumGrid2-Accent2">
    <w:name w:val="Medium Grid 2 Accent 2"/>
    <w:basedOn w:val="TableNormal"/>
    <w:semiHidden/>
    <w:unhideWhenUsed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A9F4" w:themeColor="accent2"/>
        <w:left w:val="single" w:sz="8" w:space="0" w:color="00A9F4" w:themeColor="accent2"/>
        <w:bottom w:val="single" w:sz="8" w:space="0" w:color="00A9F4" w:themeColor="accent2"/>
        <w:right w:val="single" w:sz="8" w:space="0" w:color="00A9F4" w:themeColor="accent2"/>
        <w:insideH w:val="single" w:sz="8" w:space="0" w:color="00A9F4" w:themeColor="accent2"/>
        <w:insideV w:val="single" w:sz="8" w:space="0" w:color="00A9F4" w:themeColor="accent2"/>
      </w:tblBorders>
    </w:tblPr>
    <w:tcPr>
      <w:shd w:val="clear" w:color="000000" w:fill="BDEAFF" w:themeFill="accent2" w:themeFillTint="3F"/>
    </w:tcPr>
    <w:tblStylePr w:type="firstRow">
      <w:rPr>
        <w:b/>
        <w:color w:val="000000" w:themeColor="text1"/>
      </w:rPr>
      <w:tblPr/>
      <w:tcPr>
        <w:shd w:val="clear" w:color="000000" w:fill="E4F6FF" w:themeFill="accent2" w:themeFillTint="19"/>
      </w:tcPr>
    </w:tblStylePr>
    <w:tblStylePr w:type="lastRow">
      <w:rPr>
        <w:b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rPr>
        <w:b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lastCol">
      <w:rPr>
        <w:b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000000" w:fill="C9EEFF" w:themeFill="accent2" w:themeFillTint="33"/>
      </w:tcPr>
    </w:tblStylePr>
    <w:tblStylePr w:type="band1Vert">
      <w:tblPr/>
      <w:tcPr>
        <w:shd w:val="clear" w:color="000000" w:fill="7AD5FF" w:themeFill="accent2" w:themeFillTint="7F"/>
      </w:tcPr>
    </w:tblStylePr>
    <w:tblStylePr w:type="band1Horz">
      <w:tblPr/>
      <w:tcPr>
        <w:tcBorders>
          <w:insideH w:val="single" w:sz="6" w:space="0" w:color="00A9F4" w:themeColor="accent2"/>
          <w:insideV w:val="single" w:sz="6" w:space="0" w:color="00A9F4" w:themeColor="accent2"/>
        </w:tcBorders>
        <w:shd w:val="clear" w:color="000000" w:fill="7AD5FF" w:themeFill="accent2" w:themeFillTint="7F"/>
      </w:tcPr>
    </w:tblStylePr>
    <w:tblStylePr w:type="nwCell">
      <w:tblPr/>
      <w:tcPr>
        <w:shd w:val="clear" w:color="000000" w:fill="FFFFFF" w:themeFill="background1"/>
      </w:tcPr>
    </w:tblStylePr>
  </w:style>
  <w:style w:type="table" w:styleId="MediumGrid2-Accent3">
    <w:name w:val="Medium Grid 2 Accent 3"/>
    <w:basedOn w:val="TableNormal"/>
    <w:semiHidden/>
    <w:unhideWhenUsed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2251FF" w:themeColor="accent3"/>
        <w:left w:val="single" w:sz="8" w:space="0" w:color="2251FF" w:themeColor="accent3"/>
        <w:bottom w:val="single" w:sz="8" w:space="0" w:color="2251FF" w:themeColor="accent3"/>
        <w:right w:val="single" w:sz="8" w:space="0" w:color="2251FF" w:themeColor="accent3"/>
        <w:insideH w:val="single" w:sz="8" w:space="0" w:color="2251FF" w:themeColor="accent3"/>
        <w:insideV w:val="single" w:sz="8" w:space="0" w:color="2251FF" w:themeColor="accent3"/>
      </w:tblBorders>
    </w:tblPr>
    <w:tcPr>
      <w:shd w:val="clear" w:color="000000" w:fill="C8D3FF" w:themeFill="accent3" w:themeFillTint="3F"/>
    </w:tcPr>
    <w:tblStylePr w:type="firstRow">
      <w:rPr>
        <w:b/>
        <w:color w:val="000000" w:themeColor="text1"/>
      </w:rPr>
      <w:tblPr/>
      <w:tcPr>
        <w:shd w:val="clear" w:color="000000" w:fill="E9EDFF" w:themeFill="accent3" w:themeFillTint="19"/>
      </w:tcPr>
    </w:tblStylePr>
    <w:tblStylePr w:type="lastRow">
      <w:rPr>
        <w:b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rPr>
        <w:b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lastCol">
      <w:rPr>
        <w:b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000000" w:fill="D2DCFF" w:themeFill="accent3" w:themeFillTint="33"/>
      </w:tcPr>
    </w:tblStylePr>
    <w:tblStylePr w:type="band1Vert">
      <w:tblPr/>
      <w:tcPr>
        <w:shd w:val="clear" w:color="000000" w:fill="90A8FF" w:themeFill="accent3" w:themeFillTint="7F"/>
      </w:tcPr>
    </w:tblStylePr>
    <w:tblStylePr w:type="band1Horz">
      <w:tblPr/>
      <w:tcPr>
        <w:tcBorders>
          <w:insideH w:val="single" w:sz="6" w:space="0" w:color="2251FF" w:themeColor="accent3"/>
          <w:insideV w:val="single" w:sz="6" w:space="0" w:color="2251FF" w:themeColor="accent3"/>
        </w:tcBorders>
        <w:shd w:val="clear" w:color="000000" w:fill="90A8FF" w:themeFill="accent3" w:themeFillTint="7F"/>
      </w:tcPr>
    </w:tblStylePr>
    <w:tblStylePr w:type="nwCell">
      <w:tblPr/>
      <w:tcPr>
        <w:shd w:val="clear" w:color="000000" w:fill="FFFFFF" w:themeFill="background1"/>
      </w:tcPr>
    </w:tblStylePr>
  </w:style>
  <w:style w:type="table" w:styleId="MediumGrid2-Accent4">
    <w:name w:val="Medium Grid 2 Accent 4"/>
    <w:basedOn w:val="TableNormal"/>
    <w:semiHidden/>
    <w:unhideWhenUsed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AE6F0" w:themeColor="accent4"/>
        <w:left w:val="single" w:sz="8" w:space="0" w:color="AAE6F0" w:themeColor="accent4"/>
        <w:bottom w:val="single" w:sz="8" w:space="0" w:color="AAE6F0" w:themeColor="accent4"/>
        <w:right w:val="single" w:sz="8" w:space="0" w:color="AAE6F0" w:themeColor="accent4"/>
        <w:insideH w:val="single" w:sz="8" w:space="0" w:color="AAE6F0" w:themeColor="accent4"/>
        <w:insideV w:val="single" w:sz="8" w:space="0" w:color="AAE6F0" w:themeColor="accent4"/>
      </w:tblBorders>
    </w:tblPr>
    <w:tcPr>
      <w:shd w:val="clear" w:color="000000" w:fill="E9F8FB" w:themeFill="accent4" w:themeFillTint="3F"/>
    </w:tcPr>
    <w:tblStylePr w:type="firstRow">
      <w:rPr>
        <w:b/>
        <w:color w:val="000000" w:themeColor="text1"/>
      </w:rPr>
      <w:tblPr/>
      <w:tcPr>
        <w:shd w:val="clear" w:color="000000" w:fill="F6FCFD" w:themeFill="accent4" w:themeFillTint="19"/>
      </w:tcPr>
    </w:tblStylePr>
    <w:tblStylePr w:type="lastRow">
      <w:rPr>
        <w:b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rPr>
        <w:b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lastCol">
      <w:rPr>
        <w:b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000000" w:fill="EEF9FC" w:themeFill="accent4" w:themeFillTint="33"/>
      </w:tcPr>
    </w:tblStylePr>
    <w:tblStylePr w:type="band1Vert">
      <w:tblPr/>
      <w:tcPr>
        <w:shd w:val="clear" w:color="000000" w:fill="D4F2F7" w:themeFill="accent4" w:themeFillTint="7F"/>
      </w:tcPr>
    </w:tblStylePr>
    <w:tblStylePr w:type="band1Horz">
      <w:tblPr/>
      <w:tcPr>
        <w:tcBorders>
          <w:insideH w:val="single" w:sz="6" w:space="0" w:color="AAE6F0" w:themeColor="accent4"/>
          <w:insideV w:val="single" w:sz="6" w:space="0" w:color="AAE6F0" w:themeColor="accent4"/>
        </w:tcBorders>
        <w:shd w:val="clear" w:color="000000" w:fill="D4F2F7" w:themeFill="accent4" w:themeFillTint="7F"/>
      </w:tcPr>
    </w:tblStylePr>
    <w:tblStylePr w:type="nwCell">
      <w:tblPr/>
      <w:tcPr>
        <w:shd w:val="clear" w:color="000000" w:fill="FFFFFF" w:themeFill="background1"/>
      </w:tcPr>
    </w:tblStylePr>
  </w:style>
  <w:style w:type="table" w:styleId="MediumGrid2-Accent5">
    <w:name w:val="Medium Grid 2 Accent 5"/>
    <w:basedOn w:val="TableNormal"/>
    <w:semiHidden/>
    <w:unhideWhenUsed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C96B4" w:themeColor="accent5"/>
        <w:left w:val="single" w:sz="8" w:space="0" w:color="3C96B4" w:themeColor="accent5"/>
        <w:bottom w:val="single" w:sz="8" w:space="0" w:color="3C96B4" w:themeColor="accent5"/>
        <w:right w:val="single" w:sz="8" w:space="0" w:color="3C96B4" w:themeColor="accent5"/>
        <w:insideH w:val="single" w:sz="8" w:space="0" w:color="3C96B4" w:themeColor="accent5"/>
        <w:insideV w:val="single" w:sz="8" w:space="0" w:color="3C96B4" w:themeColor="accent5"/>
      </w:tblBorders>
    </w:tblPr>
    <w:tcPr>
      <w:shd w:val="clear" w:color="000000" w:fill="CCE5EE" w:themeFill="accent5" w:themeFillTint="3F"/>
    </w:tcPr>
    <w:tblStylePr w:type="firstRow">
      <w:rPr>
        <w:b/>
        <w:color w:val="000000" w:themeColor="text1"/>
      </w:rPr>
      <w:tblPr/>
      <w:tcPr>
        <w:shd w:val="clear" w:color="000000" w:fill="EBF4F8" w:themeFill="accent5" w:themeFillTint="19"/>
      </w:tcPr>
    </w:tblStylePr>
    <w:tblStylePr w:type="lastRow">
      <w:rPr>
        <w:b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rPr>
        <w:b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lastCol">
      <w:rPr>
        <w:b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000000" w:fill="D6EAF1" w:themeFill="accent5" w:themeFillTint="33"/>
      </w:tcPr>
    </w:tblStylePr>
    <w:tblStylePr w:type="band1Vert">
      <w:tblPr/>
      <w:tcPr>
        <w:shd w:val="clear" w:color="000000" w:fill="9ACCDD" w:themeFill="accent5" w:themeFillTint="7F"/>
      </w:tcPr>
    </w:tblStylePr>
    <w:tblStylePr w:type="band1Horz">
      <w:tblPr/>
      <w:tcPr>
        <w:tcBorders>
          <w:insideH w:val="single" w:sz="6" w:space="0" w:color="3C96B4" w:themeColor="accent5"/>
          <w:insideV w:val="single" w:sz="6" w:space="0" w:color="3C96B4" w:themeColor="accent5"/>
        </w:tcBorders>
        <w:shd w:val="clear" w:color="000000" w:fill="9ACCDD" w:themeFill="accent5" w:themeFillTint="7F"/>
      </w:tcPr>
    </w:tblStylePr>
    <w:tblStylePr w:type="nwCell">
      <w:tblPr/>
      <w:tcPr>
        <w:shd w:val="clear" w:color="000000" w:fill="FFFFFF" w:themeFill="background1"/>
      </w:tcPr>
    </w:tblStylePr>
  </w:style>
  <w:style w:type="table" w:styleId="MediumGrid2-Accent6">
    <w:name w:val="Medium Grid 2 Accent 6"/>
    <w:basedOn w:val="TableNormal"/>
    <w:semiHidden/>
    <w:unhideWhenUsed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FC3FF" w:themeColor="accent6"/>
        <w:left w:val="single" w:sz="8" w:space="0" w:color="AFC3FF" w:themeColor="accent6"/>
        <w:bottom w:val="single" w:sz="8" w:space="0" w:color="AFC3FF" w:themeColor="accent6"/>
        <w:right w:val="single" w:sz="8" w:space="0" w:color="AFC3FF" w:themeColor="accent6"/>
        <w:insideH w:val="single" w:sz="8" w:space="0" w:color="AFC3FF" w:themeColor="accent6"/>
        <w:insideV w:val="single" w:sz="8" w:space="0" w:color="AFC3FF" w:themeColor="accent6"/>
      </w:tblBorders>
    </w:tblPr>
    <w:tcPr>
      <w:shd w:val="clear" w:color="000000" w:fill="EBEFFF" w:themeFill="accent6" w:themeFillTint="3F"/>
    </w:tcPr>
    <w:tblStylePr w:type="firstRow">
      <w:rPr>
        <w:b/>
        <w:color w:val="000000" w:themeColor="text1"/>
      </w:rPr>
      <w:tblPr/>
      <w:tcPr>
        <w:shd w:val="clear" w:color="000000" w:fill="F7F8FF" w:themeFill="accent6" w:themeFillTint="19"/>
      </w:tcPr>
    </w:tblStylePr>
    <w:tblStylePr w:type="lastRow">
      <w:rPr>
        <w:b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rPr>
        <w:b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lastCol">
      <w:rPr>
        <w:b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000000" w:fill="EFF2FF" w:themeFill="accent6" w:themeFillTint="33"/>
      </w:tcPr>
    </w:tblStylePr>
    <w:tblStylePr w:type="band1Vert">
      <w:tblPr/>
      <w:tcPr>
        <w:shd w:val="clear" w:color="000000" w:fill="D7E0FF" w:themeFill="accent6" w:themeFillTint="7F"/>
      </w:tcPr>
    </w:tblStylePr>
    <w:tblStylePr w:type="band1Horz">
      <w:tblPr/>
      <w:tcPr>
        <w:tcBorders>
          <w:insideH w:val="single" w:sz="6" w:space="0" w:color="AFC3FF" w:themeColor="accent6"/>
          <w:insideV w:val="single" w:sz="6" w:space="0" w:color="AFC3FF" w:themeColor="accent6"/>
        </w:tcBorders>
        <w:shd w:val="clear" w:color="000000" w:fill="D7E0FF" w:themeFill="accent6" w:themeFillTint="7F"/>
      </w:tcPr>
    </w:tblStylePr>
    <w:tblStylePr w:type="nwCell">
      <w:tblPr/>
      <w:tcPr>
        <w:shd w:val="clear" w:color="000000" w:fill="FFFFFF" w:themeFill="background1"/>
      </w:tcPr>
    </w:tblStylePr>
  </w:style>
  <w:style w:type="table" w:styleId="MediumGrid3">
    <w:name w:val="Medium Grid 3"/>
    <w:basedOn w:val="TableNormal"/>
    <w:semiHidden/>
    <w:unhideWhenUsed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000000" w:fill="C0C0C0" w:themeFill="text1" w:themeFillTint="3F"/>
    </w:tcPr>
    <w:tblStylePr w:type="firstRow">
      <w:rPr>
        <w:b/>
        <w:i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000000" w:fill="000000" w:themeFill="text1"/>
      </w:tcPr>
    </w:tblStylePr>
    <w:tblStylePr w:type="lastRow">
      <w:rPr>
        <w:b/>
        <w:i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000000" w:fill="000000" w:themeFill="text1"/>
      </w:tcPr>
    </w:tblStylePr>
    <w:tblStylePr w:type="firstCol">
      <w:rPr>
        <w:b/>
        <w:i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000000" w:fill="000000" w:themeFill="text1"/>
      </w:tcPr>
    </w:tblStylePr>
    <w:tblStylePr w:type="lastCol">
      <w:rPr>
        <w:b/>
        <w:i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000000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000000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000000" w:fill="808080" w:themeFill="text1" w:themeFillTint="7F"/>
      </w:tcPr>
    </w:tblStylePr>
  </w:style>
  <w:style w:type="table" w:styleId="MediumGrid3-Accent1">
    <w:name w:val="Medium Grid 3 Accent 1"/>
    <w:basedOn w:val="TableNormal"/>
    <w:semiHidden/>
    <w:unhideWhenUsed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000000" w:fill="98CEF3" w:themeFill="accent1" w:themeFillTint="3F"/>
    </w:tcPr>
    <w:tblStylePr w:type="firstRow">
      <w:rPr>
        <w:b/>
        <w:i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000000" w:fill="051C2C" w:themeFill="accent1"/>
      </w:tcPr>
    </w:tblStylePr>
    <w:tblStylePr w:type="lastRow">
      <w:rPr>
        <w:b/>
        <w:i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000000" w:fill="051C2C" w:themeFill="accent1"/>
      </w:tcPr>
    </w:tblStylePr>
    <w:tblStylePr w:type="firstCol">
      <w:rPr>
        <w:b/>
        <w:i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000000" w:fill="051C2C" w:themeFill="accent1"/>
      </w:tcPr>
    </w:tblStylePr>
    <w:tblStylePr w:type="lastCol">
      <w:rPr>
        <w:b/>
        <w:i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000000" w:fill="051C2C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000000" w:fill="309CE7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000000" w:fill="309CE7" w:themeFill="accent1" w:themeFillTint="7F"/>
      </w:tcPr>
    </w:tblStylePr>
  </w:style>
  <w:style w:type="table" w:styleId="MediumGrid3-Accent2">
    <w:name w:val="Medium Grid 3 Accent 2"/>
    <w:basedOn w:val="TableNormal"/>
    <w:semiHidden/>
    <w:unhideWhenUsed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000000" w:fill="BDEAFF" w:themeFill="accent2" w:themeFillTint="3F"/>
    </w:tcPr>
    <w:tblStylePr w:type="firstRow">
      <w:rPr>
        <w:b/>
        <w:i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000000" w:fill="00A9F4" w:themeFill="accent2"/>
      </w:tcPr>
    </w:tblStylePr>
    <w:tblStylePr w:type="lastRow">
      <w:rPr>
        <w:b/>
        <w:i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000000" w:fill="00A9F4" w:themeFill="accent2"/>
      </w:tcPr>
    </w:tblStylePr>
    <w:tblStylePr w:type="firstCol">
      <w:rPr>
        <w:b/>
        <w:i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000000" w:fill="00A9F4" w:themeFill="accent2"/>
      </w:tcPr>
    </w:tblStylePr>
    <w:tblStylePr w:type="lastCol">
      <w:rPr>
        <w:b/>
        <w:i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000000" w:fill="00A9F4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000000" w:fill="7AD5FF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000000" w:fill="7AD5FF" w:themeFill="accent2" w:themeFillTint="7F"/>
      </w:tcPr>
    </w:tblStylePr>
  </w:style>
  <w:style w:type="table" w:styleId="MediumGrid3-Accent3">
    <w:name w:val="Medium Grid 3 Accent 3"/>
    <w:basedOn w:val="TableNormal"/>
    <w:semiHidden/>
    <w:unhideWhenUsed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000000" w:fill="C8D3FF" w:themeFill="accent3" w:themeFillTint="3F"/>
    </w:tcPr>
    <w:tblStylePr w:type="firstRow">
      <w:rPr>
        <w:b/>
        <w:i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000000" w:fill="2251FF" w:themeFill="accent3"/>
      </w:tcPr>
    </w:tblStylePr>
    <w:tblStylePr w:type="lastRow">
      <w:rPr>
        <w:b/>
        <w:i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000000" w:fill="2251FF" w:themeFill="accent3"/>
      </w:tcPr>
    </w:tblStylePr>
    <w:tblStylePr w:type="firstCol">
      <w:rPr>
        <w:b/>
        <w:i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000000" w:fill="2251FF" w:themeFill="accent3"/>
      </w:tcPr>
    </w:tblStylePr>
    <w:tblStylePr w:type="lastCol">
      <w:rPr>
        <w:b/>
        <w:i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000000" w:fill="2251FF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000000" w:fill="90A8FF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000000" w:fill="90A8FF" w:themeFill="accent3" w:themeFillTint="7F"/>
      </w:tcPr>
    </w:tblStylePr>
  </w:style>
  <w:style w:type="table" w:styleId="MediumGrid3-Accent4">
    <w:name w:val="Medium Grid 3 Accent 4"/>
    <w:basedOn w:val="TableNormal"/>
    <w:semiHidden/>
    <w:unhideWhenUsed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000000" w:fill="E9F8FB" w:themeFill="accent4" w:themeFillTint="3F"/>
    </w:tcPr>
    <w:tblStylePr w:type="firstRow">
      <w:rPr>
        <w:b/>
        <w:i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000000" w:fill="AAE6F0" w:themeFill="accent4"/>
      </w:tcPr>
    </w:tblStylePr>
    <w:tblStylePr w:type="lastRow">
      <w:rPr>
        <w:b/>
        <w:i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000000" w:fill="AAE6F0" w:themeFill="accent4"/>
      </w:tcPr>
    </w:tblStylePr>
    <w:tblStylePr w:type="firstCol">
      <w:rPr>
        <w:b/>
        <w:i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000000" w:fill="AAE6F0" w:themeFill="accent4"/>
      </w:tcPr>
    </w:tblStylePr>
    <w:tblStylePr w:type="lastCol">
      <w:rPr>
        <w:b/>
        <w:i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000000" w:fill="AAE6F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000000" w:fill="D4F2F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000000" w:fill="D4F2F7" w:themeFill="accent4" w:themeFillTint="7F"/>
      </w:tcPr>
    </w:tblStylePr>
  </w:style>
  <w:style w:type="table" w:styleId="MediumGrid3-Accent5">
    <w:name w:val="Medium Grid 3 Accent 5"/>
    <w:basedOn w:val="TableNormal"/>
    <w:semiHidden/>
    <w:unhideWhenUsed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000000" w:fill="CCE5EE" w:themeFill="accent5" w:themeFillTint="3F"/>
    </w:tcPr>
    <w:tblStylePr w:type="firstRow">
      <w:rPr>
        <w:b/>
        <w:i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000000" w:fill="3C96B4" w:themeFill="accent5"/>
      </w:tcPr>
    </w:tblStylePr>
    <w:tblStylePr w:type="lastRow">
      <w:rPr>
        <w:b/>
        <w:i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000000" w:fill="3C96B4" w:themeFill="accent5"/>
      </w:tcPr>
    </w:tblStylePr>
    <w:tblStylePr w:type="firstCol">
      <w:rPr>
        <w:b/>
        <w:i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000000" w:fill="3C96B4" w:themeFill="accent5"/>
      </w:tcPr>
    </w:tblStylePr>
    <w:tblStylePr w:type="lastCol">
      <w:rPr>
        <w:b/>
        <w:i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000000" w:fill="3C96B4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000000" w:fill="9ACCDD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000000" w:fill="9ACCDD" w:themeFill="accent5" w:themeFillTint="7F"/>
      </w:tcPr>
    </w:tblStylePr>
  </w:style>
  <w:style w:type="table" w:styleId="MediumGrid3-Accent6">
    <w:name w:val="Medium Grid 3 Accent 6"/>
    <w:basedOn w:val="TableNormal"/>
    <w:semiHidden/>
    <w:unhideWhenUsed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000000" w:fill="EBEFFF" w:themeFill="accent6" w:themeFillTint="3F"/>
    </w:tcPr>
    <w:tblStylePr w:type="firstRow">
      <w:rPr>
        <w:b/>
        <w:i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000000" w:fill="AFC3FF" w:themeFill="accent6"/>
      </w:tcPr>
    </w:tblStylePr>
    <w:tblStylePr w:type="lastRow">
      <w:rPr>
        <w:b/>
        <w:i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000000" w:fill="AFC3FF" w:themeFill="accent6"/>
      </w:tcPr>
    </w:tblStylePr>
    <w:tblStylePr w:type="firstCol">
      <w:rPr>
        <w:b/>
        <w:i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000000" w:fill="AFC3FF" w:themeFill="accent6"/>
      </w:tcPr>
    </w:tblStylePr>
    <w:tblStylePr w:type="lastCol">
      <w:rPr>
        <w:b/>
        <w:i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000000" w:fill="AFC3FF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000000" w:fill="D7E0FF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000000" w:fill="D7E0FF" w:themeFill="accent6" w:themeFillTint="7F"/>
      </w:tcPr>
    </w:tblStylePr>
  </w:style>
  <w:style w:type="table" w:styleId="MediumList1">
    <w:name w:val="Medium List 1"/>
    <w:basedOn w:val="TableNormal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color w:val="051C2C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</w:rPr>
    </w:tblStylePr>
    <w:tblStylePr w:type="lastCol">
      <w:rPr>
        <w:b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000000" w:fill="C0C0C0" w:themeFill="text1" w:themeFillTint="3F"/>
      </w:tcPr>
    </w:tblStylePr>
    <w:tblStylePr w:type="band1Horz">
      <w:tblPr/>
      <w:tcPr>
        <w:shd w:val="clear" w:color="000000" w:fill="C0C0C0" w:themeFill="text1" w:themeFillTint="3F"/>
      </w:tcPr>
    </w:tblStylePr>
  </w:style>
  <w:style w:type="table" w:styleId="MediumList1-Accent1">
    <w:name w:val="Medium List 1 Accent 1"/>
    <w:basedOn w:val="TableNormal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51C2C" w:themeColor="accent1"/>
        <w:bottom w:val="single" w:sz="8" w:space="0" w:color="051C2C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51C2C" w:themeColor="accent1"/>
        </w:tcBorders>
      </w:tcPr>
    </w:tblStylePr>
    <w:tblStylePr w:type="lastRow">
      <w:rPr>
        <w:b/>
        <w:color w:val="051C2C" w:themeColor="text2"/>
      </w:rPr>
      <w:tblPr/>
      <w:tcPr>
        <w:tcBorders>
          <w:top w:val="single" w:sz="8" w:space="0" w:color="051C2C" w:themeColor="accent1"/>
          <w:bottom w:val="single" w:sz="8" w:space="0" w:color="051C2C" w:themeColor="accent1"/>
        </w:tcBorders>
      </w:tcPr>
    </w:tblStylePr>
    <w:tblStylePr w:type="firstCol">
      <w:rPr>
        <w:b/>
      </w:rPr>
    </w:tblStylePr>
    <w:tblStylePr w:type="lastCol">
      <w:rPr>
        <w:b/>
      </w:rPr>
      <w:tblPr/>
      <w:tcPr>
        <w:tcBorders>
          <w:top w:val="single" w:sz="8" w:space="0" w:color="051C2C" w:themeColor="accent1"/>
          <w:bottom w:val="single" w:sz="8" w:space="0" w:color="051C2C" w:themeColor="accent1"/>
        </w:tcBorders>
      </w:tcPr>
    </w:tblStylePr>
    <w:tblStylePr w:type="band1Vert">
      <w:tblPr/>
      <w:tcPr>
        <w:shd w:val="clear" w:color="000000" w:fill="98CEF3" w:themeFill="accent1" w:themeFillTint="3F"/>
      </w:tcPr>
    </w:tblStylePr>
    <w:tblStylePr w:type="band1Horz">
      <w:tblPr/>
      <w:tcPr>
        <w:shd w:val="clear" w:color="000000" w:fill="98CEF3" w:themeFill="accent1" w:themeFillTint="3F"/>
      </w:tcPr>
    </w:tblStylePr>
  </w:style>
  <w:style w:type="table" w:styleId="MediumList1-Accent2">
    <w:name w:val="Medium List 1 Accent 2"/>
    <w:basedOn w:val="TableNormal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A9F4" w:themeColor="accent2"/>
        <w:bottom w:val="single" w:sz="8" w:space="0" w:color="00A9F4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A9F4" w:themeColor="accent2"/>
        </w:tcBorders>
      </w:tcPr>
    </w:tblStylePr>
    <w:tblStylePr w:type="lastRow">
      <w:rPr>
        <w:b/>
        <w:color w:val="051C2C" w:themeColor="text2"/>
      </w:rPr>
      <w:tblPr/>
      <w:tcPr>
        <w:tcBorders>
          <w:top w:val="single" w:sz="8" w:space="0" w:color="00A9F4" w:themeColor="accent2"/>
          <w:bottom w:val="single" w:sz="8" w:space="0" w:color="00A9F4" w:themeColor="accent2"/>
        </w:tcBorders>
      </w:tcPr>
    </w:tblStylePr>
    <w:tblStylePr w:type="firstCol">
      <w:rPr>
        <w:b/>
      </w:rPr>
    </w:tblStylePr>
    <w:tblStylePr w:type="lastCol">
      <w:rPr>
        <w:b/>
      </w:rPr>
      <w:tblPr/>
      <w:tcPr>
        <w:tcBorders>
          <w:top w:val="single" w:sz="8" w:space="0" w:color="00A9F4" w:themeColor="accent2"/>
          <w:bottom w:val="single" w:sz="8" w:space="0" w:color="00A9F4" w:themeColor="accent2"/>
        </w:tcBorders>
      </w:tcPr>
    </w:tblStylePr>
    <w:tblStylePr w:type="band1Vert">
      <w:tblPr/>
      <w:tcPr>
        <w:shd w:val="clear" w:color="000000" w:fill="BDEAFF" w:themeFill="accent2" w:themeFillTint="3F"/>
      </w:tcPr>
    </w:tblStylePr>
    <w:tblStylePr w:type="band1Horz">
      <w:tblPr/>
      <w:tcPr>
        <w:shd w:val="clear" w:color="000000" w:fill="BDEAFF" w:themeFill="accent2" w:themeFillTint="3F"/>
      </w:tcPr>
    </w:tblStylePr>
  </w:style>
  <w:style w:type="table" w:styleId="MediumList1-Accent3">
    <w:name w:val="Medium List 1 Accent 3"/>
    <w:basedOn w:val="TableNormal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2251FF" w:themeColor="accent3"/>
        <w:bottom w:val="single" w:sz="8" w:space="0" w:color="2251FF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2251FF" w:themeColor="accent3"/>
        </w:tcBorders>
      </w:tcPr>
    </w:tblStylePr>
    <w:tblStylePr w:type="lastRow">
      <w:rPr>
        <w:b/>
        <w:color w:val="051C2C" w:themeColor="text2"/>
      </w:rPr>
      <w:tblPr/>
      <w:tcPr>
        <w:tcBorders>
          <w:top w:val="single" w:sz="8" w:space="0" w:color="2251FF" w:themeColor="accent3"/>
          <w:bottom w:val="single" w:sz="8" w:space="0" w:color="2251FF" w:themeColor="accent3"/>
        </w:tcBorders>
      </w:tcPr>
    </w:tblStylePr>
    <w:tblStylePr w:type="firstCol">
      <w:rPr>
        <w:b/>
      </w:rPr>
    </w:tblStylePr>
    <w:tblStylePr w:type="lastCol">
      <w:rPr>
        <w:b/>
      </w:rPr>
      <w:tblPr/>
      <w:tcPr>
        <w:tcBorders>
          <w:top w:val="single" w:sz="8" w:space="0" w:color="2251FF" w:themeColor="accent3"/>
          <w:bottom w:val="single" w:sz="8" w:space="0" w:color="2251FF" w:themeColor="accent3"/>
        </w:tcBorders>
      </w:tcPr>
    </w:tblStylePr>
    <w:tblStylePr w:type="band1Vert">
      <w:tblPr/>
      <w:tcPr>
        <w:shd w:val="clear" w:color="000000" w:fill="C8D3FF" w:themeFill="accent3" w:themeFillTint="3F"/>
      </w:tcPr>
    </w:tblStylePr>
    <w:tblStylePr w:type="band1Horz">
      <w:tblPr/>
      <w:tcPr>
        <w:shd w:val="clear" w:color="000000" w:fill="C8D3FF" w:themeFill="accent3" w:themeFillTint="3F"/>
      </w:tcPr>
    </w:tblStylePr>
  </w:style>
  <w:style w:type="table" w:styleId="MediumList1-Accent4">
    <w:name w:val="Medium List 1 Accent 4"/>
    <w:basedOn w:val="TableNormal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AAE6F0" w:themeColor="accent4"/>
        <w:bottom w:val="single" w:sz="8" w:space="0" w:color="AAE6F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AE6F0" w:themeColor="accent4"/>
        </w:tcBorders>
      </w:tcPr>
    </w:tblStylePr>
    <w:tblStylePr w:type="lastRow">
      <w:rPr>
        <w:b/>
        <w:color w:val="051C2C" w:themeColor="text2"/>
      </w:rPr>
      <w:tblPr/>
      <w:tcPr>
        <w:tcBorders>
          <w:top w:val="single" w:sz="8" w:space="0" w:color="AAE6F0" w:themeColor="accent4"/>
          <w:bottom w:val="single" w:sz="8" w:space="0" w:color="AAE6F0" w:themeColor="accent4"/>
        </w:tcBorders>
      </w:tcPr>
    </w:tblStylePr>
    <w:tblStylePr w:type="firstCol">
      <w:rPr>
        <w:b/>
      </w:rPr>
    </w:tblStylePr>
    <w:tblStylePr w:type="lastCol">
      <w:rPr>
        <w:b/>
      </w:rPr>
      <w:tblPr/>
      <w:tcPr>
        <w:tcBorders>
          <w:top w:val="single" w:sz="8" w:space="0" w:color="AAE6F0" w:themeColor="accent4"/>
          <w:bottom w:val="single" w:sz="8" w:space="0" w:color="AAE6F0" w:themeColor="accent4"/>
        </w:tcBorders>
      </w:tcPr>
    </w:tblStylePr>
    <w:tblStylePr w:type="band1Vert">
      <w:tblPr/>
      <w:tcPr>
        <w:shd w:val="clear" w:color="000000" w:fill="E9F8FB" w:themeFill="accent4" w:themeFillTint="3F"/>
      </w:tcPr>
    </w:tblStylePr>
    <w:tblStylePr w:type="band1Horz">
      <w:tblPr/>
      <w:tcPr>
        <w:shd w:val="clear" w:color="000000" w:fill="E9F8FB" w:themeFill="accent4" w:themeFillTint="3F"/>
      </w:tcPr>
    </w:tblStylePr>
  </w:style>
  <w:style w:type="table" w:styleId="MediumList1-Accent5">
    <w:name w:val="Medium List 1 Accent 5"/>
    <w:basedOn w:val="TableNormal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3C96B4" w:themeColor="accent5"/>
        <w:bottom w:val="single" w:sz="8" w:space="0" w:color="3C96B4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C96B4" w:themeColor="accent5"/>
        </w:tcBorders>
      </w:tcPr>
    </w:tblStylePr>
    <w:tblStylePr w:type="lastRow">
      <w:rPr>
        <w:b/>
        <w:color w:val="051C2C" w:themeColor="text2"/>
      </w:rPr>
      <w:tblPr/>
      <w:tcPr>
        <w:tcBorders>
          <w:top w:val="single" w:sz="8" w:space="0" w:color="3C96B4" w:themeColor="accent5"/>
          <w:bottom w:val="single" w:sz="8" w:space="0" w:color="3C96B4" w:themeColor="accent5"/>
        </w:tcBorders>
      </w:tcPr>
    </w:tblStylePr>
    <w:tblStylePr w:type="firstCol">
      <w:rPr>
        <w:b/>
      </w:rPr>
    </w:tblStylePr>
    <w:tblStylePr w:type="lastCol">
      <w:rPr>
        <w:b/>
      </w:rPr>
      <w:tblPr/>
      <w:tcPr>
        <w:tcBorders>
          <w:top w:val="single" w:sz="8" w:space="0" w:color="3C96B4" w:themeColor="accent5"/>
          <w:bottom w:val="single" w:sz="8" w:space="0" w:color="3C96B4" w:themeColor="accent5"/>
        </w:tcBorders>
      </w:tcPr>
    </w:tblStylePr>
    <w:tblStylePr w:type="band1Vert">
      <w:tblPr/>
      <w:tcPr>
        <w:shd w:val="clear" w:color="000000" w:fill="CCE5EE" w:themeFill="accent5" w:themeFillTint="3F"/>
      </w:tcPr>
    </w:tblStylePr>
    <w:tblStylePr w:type="band1Horz">
      <w:tblPr/>
      <w:tcPr>
        <w:shd w:val="clear" w:color="000000" w:fill="CCE5EE" w:themeFill="accent5" w:themeFillTint="3F"/>
      </w:tcPr>
    </w:tblStylePr>
  </w:style>
  <w:style w:type="table" w:styleId="MediumList1-Accent6">
    <w:name w:val="Medium List 1 Accent 6"/>
    <w:basedOn w:val="TableNormal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AFC3FF" w:themeColor="accent6"/>
        <w:bottom w:val="single" w:sz="8" w:space="0" w:color="AFC3FF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FC3FF" w:themeColor="accent6"/>
        </w:tcBorders>
      </w:tcPr>
    </w:tblStylePr>
    <w:tblStylePr w:type="lastRow">
      <w:rPr>
        <w:b/>
        <w:color w:val="051C2C" w:themeColor="text2"/>
      </w:rPr>
      <w:tblPr/>
      <w:tcPr>
        <w:tcBorders>
          <w:top w:val="single" w:sz="8" w:space="0" w:color="AFC3FF" w:themeColor="accent6"/>
          <w:bottom w:val="single" w:sz="8" w:space="0" w:color="AFC3FF" w:themeColor="accent6"/>
        </w:tcBorders>
      </w:tcPr>
    </w:tblStylePr>
    <w:tblStylePr w:type="firstCol">
      <w:rPr>
        <w:b/>
      </w:rPr>
    </w:tblStylePr>
    <w:tblStylePr w:type="lastCol">
      <w:rPr>
        <w:b/>
      </w:rPr>
      <w:tblPr/>
      <w:tcPr>
        <w:tcBorders>
          <w:top w:val="single" w:sz="8" w:space="0" w:color="AFC3FF" w:themeColor="accent6"/>
          <w:bottom w:val="single" w:sz="8" w:space="0" w:color="AFC3FF" w:themeColor="accent6"/>
        </w:tcBorders>
      </w:tcPr>
    </w:tblStylePr>
    <w:tblStylePr w:type="band1Vert">
      <w:tblPr/>
      <w:tcPr>
        <w:shd w:val="clear" w:color="000000" w:fill="EBEFFF" w:themeFill="accent6" w:themeFillTint="3F"/>
      </w:tcPr>
    </w:tblStylePr>
    <w:tblStylePr w:type="band1Horz">
      <w:tblPr/>
      <w:tcPr>
        <w:shd w:val="clear" w:color="000000" w:fill="EBEFFF" w:themeFill="accent6" w:themeFillTint="3F"/>
      </w:tcPr>
    </w:tblStylePr>
  </w:style>
  <w:style w:type="table" w:styleId="MediumList2">
    <w:name w:val="Medium List 2"/>
    <w:basedOn w:val="TableNormal"/>
    <w:semiHidden/>
    <w:unhideWhenUsed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000000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000000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000000" w:fill="C0C0C0" w:themeFill="text1" w:themeFillTint="3F"/>
      </w:tcPr>
    </w:tblStylePr>
    <w:tblStylePr w:type="nwCell">
      <w:tblPr/>
      <w:tcPr>
        <w:shd w:val="clear" w:color="000000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semiHidden/>
    <w:unhideWhenUsed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51C2C" w:themeColor="accent1"/>
        <w:left w:val="single" w:sz="8" w:space="0" w:color="051C2C" w:themeColor="accent1"/>
        <w:bottom w:val="single" w:sz="8" w:space="0" w:color="051C2C" w:themeColor="accent1"/>
        <w:right w:val="single" w:sz="8" w:space="0" w:color="051C2C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51C2C" w:themeColor="accent1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lastRow">
      <w:tblPr/>
      <w:tcPr>
        <w:tcBorders>
          <w:top w:val="single" w:sz="8" w:space="0" w:color="051C2C" w:themeColor="accent1"/>
          <w:left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51C2C" w:themeColor="accent1"/>
          <w:insideH w:val="nil"/>
          <w:insideV w:val="nil"/>
        </w:tcBorders>
        <w:shd w:val="clear" w:color="000000" w:fill="FFFFFF" w:themeFill="background1"/>
      </w:tcPr>
    </w:tblStylePr>
    <w:tblStylePr w:type="lastCol">
      <w:tblPr/>
      <w:tcPr>
        <w:tcBorders>
          <w:top w:val="nil"/>
          <w:left w:val="single" w:sz="8" w:space="0" w:color="051C2C" w:themeColor="accent1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000000" w:fill="98CEF3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000000" w:fill="98CEF3" w:themeFill="accent1" w:themeFillTint="3F"/>
      </w:tcPr>
    </w:tblStylePr>
    <w:tblStylePr w:type="nwCell">
      <w:tblPr/>
      <w:tcPr>
        <w:shd w:val="clear" w:color="000000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semiHidden/>
    <w:unhideWhenUsed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A9F4" w:themeColor="accent2"/>
        <w:left w:val="single" w:sz="8" w:space="0" w:color="00A9F4" w:themeColor="accent2"/>
        <w:bottom w:val="single" w:sz="8" w:space="0" w:color="00A9F4" w:themeColor="accent2"/>
        <w:right w:val="single" w:sz="8" w:space="0" w:color="00A9F4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A9F4" w:themeColor="accent2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lastRow">
      <w:tblPr/>
      <w:tcPr>
        <w:tcBorders>
          <w:top w:val="single" w:sz="8" w:space="0" w:color="00A9F4" w:themeColor="accent2"/>
          <w:left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A9F4" w:themeColor="accent2"/>
          <w:insideH w:val="nil"/>
          <w:insideV w:val="nil"/>
        </w:tcBorders>
        <w:shd w:val="clear" w:color="000000" w:fill="FFFFFF" w:themeFill="background1"/>
      </w:tcPr>
    </w:tblStylePr>
    <w:tblStylePr w:type="lastCol">
      <w:tblPr/>
      <w:tcPr>
        <w:tcBorders>
          <w:top w:val="nil"/>
          <w:left w:val="single" w:sz="8" w:space="0" w:color="00A9F4" w:themeColor="accent2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000000" w:fill="BDEAFF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000000" w:fill="BDEAFF" w:themeFill="accent2" w:themeFillTint="3F"/>
      </w:tcPr>
    </w:tblStylePr>
    <w:tblStylePr w:type="nwCell">
      <w:tblPr/>
      <w:tcPr>
        <w:shd w:val="clear" w:color="000000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semiHidden/>
    <w:unhideWhenUsed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2251FF" w:themeColor="accent3"/>
        <w:left w:val="single" w:sz="8" w:space="0" w:color="2251FF" w:themeColor="accent3"/>
        <w:bottom w:val="single" w:sz="8" w:space="0" w:color="2251FF" w:themeColor="accent3"/>
        <w:right w:val="single" w:sz="8" w:space="0" w:color="2251FF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2251FF" w:themeColor="accent3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lastRow">
      <w:tblPr/>
      <w:tcPr>
        <w:tcBorders>
          <w:top w:val="single" w:sz="8" w:space="0" w:color="2251FF" w:themeColor="accent3"/>
          <w:left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2251FF" w:themeColor="accent3"/>
          <w:insideH w:val="nil"/>
          <w:insideV w:val="nil"/>
        </w:tcBorders>
        <w:shd w:val="clear" w:color="000000" w:fill="FFFFFF" w:themeFill="background1"/>
      </w:tcPr>
    </w:tblStylePr>
    <w:tblStylePr w:type="lastCol">
      <w:tblPr/>
      <w:tcPr>
        <w:tcBorders>
          <w:top w:val="nil"/>
          <w:left w:val="single" w:sz="8" w:space="0" w:color="2251FF" w:themeColor="accent3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000000" w:fill="C8D3FF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000000" w:fill="C8D3FF" w:themeFill="accent3" w:themeFillTint="3F"/>
      </w:tcPr>
    </w:tblStylePr>
    <w:tblStylePr w:type="nwCell">
      <w:tblPr/>
      <w:tcPr>
        <w:shd w:val="clear" w:color="000000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semiHidden/>
    <w:unhideWhenUsed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AE6F0" w:themeColor="accent4"/>
        <w:left w:val="single" w:sz="8" w:space="0" w:color="AAE6F0" w:themeColor="accent4"/>
        <w:bottom w:val="single" w:sz="8" w:space="0" w:color="AAE6F0" w:themeColor="accent4"/>
        <w:right w:val="single" w:sz="8" w:space="0" w:color="AAE6F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AE6F0" w:themeColor="accent4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lastRow">
      <w:tblPr/>
      <w:tcPr>
        <w:tcBorders>
          <w:top w:val="single" w:sz="8" w:space="0" w:color="AAE6F0" w:themeColor="accent4"/>
          <w:left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AE6F0" w:themeColor="accent4"/>
          <w:insideH w:val="nil"/>
          <w:insideV w:val="nil"/>
        </w:tcBorders>
        <w:shd w:val="clear" w:color="000000" w:fill="FFFFFF" w:themeFill="background1"/>
      </w:tcPr>
    </w:tblStylePr>
    <w:tblStylePr w:type="lastCol">
      <w:tblPr/>
      <w:tcPr>
        <w:tcBorders>
          <w:top w:val="nil"/>
          <w:left w:val="single" w:sz="8" w:space="0" w:color="AAE6F0" w:themeColor="accent4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000000" w:fill="E9F8F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000000" w:fill="E9F8FB" w:themeFill="accent4" w:themeFillTint="3F"/>
      </w:tcPr>
    </w:tblStylePr>
    <w:tblStylePr w:type="nwCell">
      <w:tblPr/>
      <w:tcPr>
        <w:shd w:val="clear" w:color="000000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semiHidden/>
    <w:unhideWhenUsed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C96B4" w:themeColor="accent5"/>
        <w:left w:val="single" w:sz="8" w:space="0" w:color="3C96B4" w:themeColor="accent5"/>
        <w:bottom w:val="single" w:sz="8" w:space="0" w:color="3C96B4" w:themeColor="accent5"/>
        <w:right w:val="single" w:sz="8" w:space="0" w:color="3C96B4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C96B4" w:themeColor="accent5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lastRow">
      <w:tblPr/>
      <w:tcPr>
        <w:tcBorders>
          <w:top w:val="single" w:sz="8" w:space="0" w:color="3C96B4" w:themeColor="accent5"/>
          <w:left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C96B4" w:themeColor="accent5"/>
          <w:insideH w:val="nil"/>
          <w:insideV w:val="nil"/>
        </w:tcBorders>
        <w:shd w:val="clear" w:color="000000" w:fill="FFFFFF" w:themeFill="background1"/>
      </w:tcPr>
    </w:tblStylePr>
    <w:tblStylePr w:type="lastCol">
      <w:tblPr/>
      <w:tcPr>
        <w:tcBorders>
          <w:top w:val="nil"/>
          <w:left w:val="single" w:sz="8" w:space="0" w:color="3C96B4" w:themeColor="accent5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000000" w:fill="CCE5EE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000000" w:fill="CCE5EE" w:themeFill="accent5" w:themeFillTint="3F"/>
      </w:tcPr>
    </w:tblStylePr>
    <w:tblStylePr w:type="nwCell">
      <w:tblPr/>
      <w:tcPr>
        <w:shd w:val="clear" w:color="000000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semiHidden/>
    <w:unhideWhenUsed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FC3FF" w:themeColor="accent6"/>
        <w:left w:val="single" w:sz="8" w:space="0" w:color="AFC3FF" w:themeColor="accent6"/>
        <w:bottom w:val="single" w:sz="8" w:space="0" w:color="AFC3FF" w:themeColor="accent6"/>
        <w:right w:val="single" w:sz="8" w:space="0" w:color="AFC3FF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FC3FF" w:themeColor="accent6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lastRow">
      <w:tblPr/>
      <w:tcPr>
        <w:tcBorders>
          <w:top w:val="single" w:sz="8" w:space="0" w:color="AFC3FF" w:themeColor="accent6"/>
          <w:left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FC3FF" w:themeColor="accent6"/>
          <w:insideH w:val="nil"/>
          <w:insideV w:val="nil"/>
        </w:tcBorders>
        <w:shd w:val="clear" w:color="000000" w:fill="FFFFFF" w:themeFill="background1"/>
      </w:tcPr>
    </w:tblStylePr>
    <w:tblStylePr w:type="lastCol">
      <w:tblPr/>
      <w:tcPr>
        <w:tcBorders>
          <w:top w:val="nil"/>
          <w:left w:val="single" w:sz="8" w:space="0" w:color="AFC3FF" w:themeColor="accent6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000000" w:fill="EBEFFF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000000" w:fill="EBEFFF" w:themeFill="accent6" w:themeFillTint="3F"/>
      </w:tcPr>
    </w:tblStylePr>
    <w:tblStylePr w:type="nwCell">
      <w:tblPr/>
      <w:tcPr>
        <w:shd w:val="clear" w:color="000000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semiHidden/>
    <w:unhideWhenUsed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000000" w:fill="000000" w:themeFill="text1"/>
      </w:tcPr>
    </w:tblStylePr>
    <w:tblStylePr w:type="lastRow">
      <w:pPr>
        <w:spacing w:before="0" w:after="0" w:line="240" w:lineRule="auto"/>
      </w:pPr>
      <w:rPr>
        <w:b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000000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000000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semiHidden/>
    <w:unhideWhenUsed/>
    <w:pPr>
      <w:spacing w:after="0" w:line="240" w:lineRule="auto"/>
    </w:pPr>
    <w:tblPr>
      <w:tblStyleRowBandSize w:val="1"/>
      <w:tblStyleColBandSize w:val="1"/>
      <w:tblBorders>
        <w:top w:val="single" w:sz="8" w:space="0" w:color="115D93" w:themeColor="accent1" w:themeTint="BF"/>
        <w:left w:val="single" w:sz="8" w:space="0" w:color="115D93" w:themeColor="accent1" w:themeTint="BF"/>
        <w:bottom w:val="single" w:sz="8" w:space="0" w:color="115D93" w:themeColor="accent1" w:themeTint="BF"/>
        <w:right w:val="single" w:sz="8" w:space="0" w:color="115D93" w:themeColor="accent1" w:themeTint="BF"/>
        <w:insideH w:val="single" w:sz="8" w:space="0" w:color="115D93" w:themeColor="accent1" w:themeTint="BF"/>
      </w:tblBorders>
    </w:tblPr>
    <w:tblStylePr w:type="firstRow">
      <w:pPr>
        <w:spacing w:before="0" w:after="0" w:line="240" w:lineRule="auto"/>
      </w:pPr>
      <w:rPr>
        <w:b/>
        <w:color w:val="FFFFFF" w:themeColor="background1"/>
      </w:rPr>
      <w:tblPr/>
      <w:tcPr>
        <w:tcBorders>
          <w:top w:val="single" w:sz="8" w:space="0" w:color="115D93" w:themeColor="accent1" w:themeTint="BF"/>
          <w:left w:val="single" w:sz="8" w:space="0" w:color="115D93" w:themeColor="accent1" w:themeTint="BF"/>
          <w:bottom w:val="single" w:sz="8" w:space="0" w:color="115D93" w:themeColor="accent1" w:themeTint="BF"/>
          <w:right w:val="single" w:sz="8" w:space="0" w:color="115D93" w:themeColor="accent1" w:themeTint="BF"/>
          <w:insideH w:val="nil"/>
          <w:insideV w:val="nil"/>
        </w:tcBorders>
        <w:shd w:val="clear" w:color="000000" w:fill="051C2C" w:themeFill="accent1"/>
      </w:tcPr>
    </w:tblStylePr>
    <w:tblStylePr w:type="lastRow">
      <w:pPr>
        <w:spacing w:before="0" w:after="0" w:line="240" w:lineRule="auto"/>
      </w:pPr>
      <w:rPr>
        <w:b/>
      </w:rPr>
      <w:tblPr/>
      <w:tcPr>
        <w:tcBorders>
          <w:top w:val="double" w:sz="6" w:space="0" w:color="115D93" w:themeColor="accent1" w:themeTint="BF"/>
          <w:left w:val="single" w:sz="8" w:space="0" w:color="115D93" w:themeColor="accent1" w:themeTint="BF"/>
          <w:bottom w:val="single" w:sz="8" w:space="0" w:color="115D93" w:themeColor="accent1" w:themeTint="BF"/>
          <w:right w:val="single" w:sz="8" w:space="0" w:color="115D93" w:themeColor="accent1" w:themeTint="BF"/>
          <w:insideH w:val="nil"/>
          <w:insideV w:val="nil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000000" w:fill="98CEF3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000000" w:fill="98CEF3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semiHidden/>
    <w:unhideWhenUsed/>
    <w:pPr>
      <w:spacing w:after="0" w:line="240" w:lineRule="auto"/>
    </w:pPr>
    <w:tblPr>
      <w:tblStyleRowBandSize w:val="1"/>
      <w:tblStyleColBandSize w:val="1"/>
      <w:tblBorders>
        <w:top w:val="single" w:sz="8" w:space="0" w:color="37C1FF" w:themeColor="accent2" w:themeTint="BF"/>
        <w:left w:val="single" w:sz="8" w:space="0" w:color="37C1FF" w:themeColor="accent2" w:themeTint="BF"/>
        <w:bottom w:val="single" w:sz="8" w:space="0" w:color="37C1FF" w:themeColor="accent2" w:themeTint="BF"/>
        <w:right w:val="single" w:sz="8" w:space="0" w:color="37C1FF" w:themeColor="accent2" w:themeTint="BF"/>
        <w:insideH w:val="single" w:sz="8" w:space="0" w:color="37C1FF" w:themeColor="accent2" w:themeTint="BF"/>
      </w:tblBorders>
    </w:tblPr>
    <w:tblStylePr w:type="firstRow">
      <w:pPr>
        <w:spacing w:before="0" w:after="0" w:line="240" w:lineRule="auto"/>
      </w:pPr>
      <w:rPr>
        <w:b/>
        <w:color w:val="FFFFFF" w:themeColor="background1"/>
      </w:rPr>
      <w:tblPr/>
      <w:tcPr>
        <w:tcBorders>
          <w:top w:val="single" w:sz="8" w:space="0" w:color="37C1FF" w:themeColor="accent2" w:themeTint="BF"/>
          <w:left w:val="single" w:sz="8" w:space="0" w:color="37C1FF" w:themeColor="accent2" w:themeTint="BF"/>
          <w:bottom w:val="single" w:sz="8" w:space="0" w:color="37C1FF" w:themeColor="accent2" w:themeTint="BF"/>
          <w:right w:val="single" w:sz="8" w:space="0" w:color="37C1FF" w:themeColor="accent2" w:themeTint="BF"/>
          <w:insideH w:val="nil"/>
          <w:insideV w:val="nil"/>
        </w:tcBorders>
        <w:shd w:val="clear" w:color="000000" w:fill="00A9F4" w:themeFill="accent2"/>
      </w:tcPr>
    </w:tblStylePr>
    <w:tblStylePr w:type="lastRow">
      <w:pPr>
        <w:spacing w:before="0" w:after="0" w:line="240" w:lineRule="auto"/>
      </w:pPr>
      <w:rPr>
        <w:b/>
      </w:rPr>
      <w:tblPr/>
      <w:tcPr>
        <w:tcBorders>
          <w:top w:val="double" w:sz="6" w:space="0" w:color="37C1FF" w:themeColor="accent2" w:themeTint="BF"/>
          <w:left w:val="single" w:sz="8" w:space="0" w:color="37C1FF" w:themeColor="accent2" w:themeTint="BF"/>
          <w:bottom w:val="single" w:sz="8" w:space="0" w:color="37C1FF" w:themeColor="accent2" w:themeTint="BF"/>
          <w:right w:val="single" w:sz="8" w:space="0" w:color="37C1FF" w:themeColor="accent2" w:themeTint="BF"/>
          <w:insideH w:val="nil"/>
          <w:insideV w:val="nil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000000" w:fill="BDEAFF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000000" w:fill="BDEAFF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semiHidden/>
    <w:unhideWhenUsed/>
    <w:pPr>
      <w:spacing w:after="0" w:line="240" w:lineRule="auto"/>
    </w:pPr>
    <w:tblPr>
      <w:tblStyleRowBandSize w:val="1"/>
      <w:tblStyleColBandSize w:val="1"/>
      <w:tblBorders>
        <w:top w:val="single" w:sz="8" w:space="0" w:color="597CFF" w:themeColor="accent3" w:themeTint="BF"/>
        <w:left w:val="single" w:sz="8" w:space="0" w:color="597CFF" w:themeColor="accent3" w:themeTint="BF"/>
        <w:bottom w:val="single" w:sz="8" w:space="0" w:color="597CFF" w:themeColor="accent3" w:themeTint="BF"/>
        <w:right w:val="single" w:sz="8" w:space="0" w:color="597CFF" w:themeColor="accent3" w:themeTint="BF"/>
        <w:insideH w:val="single" w:sz="8" w:space="0" w:color="597CFF" w:themeColor="accent3" w:themeTint="BF"/>
      </w:tblBorders>
    </w:tblPr>
    <w:tblStylePr w:type="firstRow">
      <w:pPr>
        <w:spacing w:before="0" w:after="0" w:line="240" w:lineRule="auto"/>
      </w:pPr>
      <w:rPr>
        <w:b/>
        <w:color w:val="FFFFFF" w:themeColor="background1"/>
      </w:rPr>
      <w:tblPr/>
      <w:tcPr>
        <w:tcBorders>
          <w:top w:val="single" w:sz="8" w:space="0" w:color="597CFF" w:themeColor="accent3" w:themeTint="BF"/>
          <w:left w:val="single" w:sz="8" w:space="0" w:color="597CFF" w:themeColor="accent3" w:themeTint="BF"/>
          <w:bottom w:val="single" w:sz="8" w:space="0" w:color="597CFF" w:themeColor="accent3" w:themeTint="BF"/>
          <w:right w:val="single" w:sz="8" w:space="0" w:color="597CFF" w:themeColor="accent3" w:themeTint="BF"/>
          <w:insideH w:val="nil"/>
          <w:insideV w:val="nil"/>
        </w:tcBorders>
        <w:shd w:val="clear" w:color="000000" w:fill="2251FF" w:themeFill="accent3"/>
      </w:tcPr>
    </w:tblStylePr>
    <w:tblStylePr w:type="lastRow">
      <w:pPr>
        <w:spacing w:before="0" w:after="0" w:line="240" w:lineRule="auto"/>
      </w:pPr>
      <w:rPr>
        <w:b/>
      </w:rPr>
      <w:tblPr/>
      <w:tcPr>
        <w:tcBorders>
          <w:top w:val="double" w:sz="6" w:space="0" w:color="597CFF" w:themeColor="accent3" w:themeTint="BF"/>
          <w:left w:val="single" w:sz="8" w:space="0" w:color="597CFF" w:themeColor="accent3" w:themeTint="BF"/>
          <w:bottom w:val="single" w:sz="8" w:space="0" w:color="597CFF" w:themeColor="accent3" w:themeTint="BF"/>
          <w:right w:val="single" w:sz="8" w:space="0" w:color="597CFF" w:themeColor="accent3" w:themeTint="BF"/>
          <w:insideH w:val="nil"/>
          <w:insideV w:val="nil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000000" w:fill="C8D3FF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000000" w:fill="C8D3FF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semiHidden/>
    <w:unhideWhenUsed/>
    <w:pPr>
      <w:spacing w:after="0" w:line="240" w:lineRule="auto"/>
    </w:pPr>
    <w:tblPr>
      <w:tblStyleRowBandSize w:val="1"/>
      <w:tblStyleColBandSize w:val="1"/>
      <w:tblBorders>
        <w:top w:val="single" w:sz="8" w:space="0" w:color="BFECF3" w:themeColor="accent4" w:themeTint="BF"/>
        <w:left w:val="single" w:sz="8" w:space="0" w:color="BFECF3" w:themeColor="accent4" w:themeTint="BF"/>
        <w:bottom w:val="single" w:sz="8" w:space="0" w:color="BFECF3" w:themeColor="accent4" w:themeTint="BF"/>
        <w:right w:val="single" w:sz="8" w:space="0" w:color="BFECF3" w:themeColor="accent4" w:themeTint="BF"/>
        <w:insideH w:val="single" w:sz="8" w:space="0" w:color="BFECF3" w:themeColor="accent4" w:themeTint="BF"/>
      </w:tblBorders>
    </w:tblPr>
    <w:tblStylePr w:type="firstRow">
      <w:pPr>
        <w:spacing w:before="0" w:after="0" w:line="240" w:lineRule="auto"/>
      </w:pPr>
      <w:rPr>
        <w:b/>
        <w:color w:val="FFFFFF" w:themeColor="background1"/>
      </w:rPr>
      <w:tblPr/>
      <w:tcPr>
        <w:tcBorders>
          <w:top w:val="single" w:sz="8" w:space="0" w:color="BFECF3" w:themeColor="accent4" w:themeTint="BF"/>
          <w:left w:val="single" w:sz="8" w:space="0" w:color="BFECF3" w:themeColor="accent4" w:themeTint="BF"/>
          <w:bottom w:val="single" w:sz="8" w:space="0" w:color="BFECF3" w:themeColor="accent4" w:themeTint="BF"/>
          <w:right w:val="single" w:sz="8" w:space="0" w:color="BFECF3" w:themeColor="accent4" w:themeTint="BF"/>
          <w:insideH w:val="nil"/>
          <w:insideV w:val="nil"/>
        </w:tcBorders>
        <w:shd w:val="clear" w:color="000000" w:fill="AAE6F0" w:themeFill="accent4"/>
      </w:tcPr>
    </w:tblStylePr>
    <w:tblStylePr w:type="lastRow">
      <w:pPr>
        <w:spacing w:before="0" w:after="0" w:line="240" w:lineRule="auto"/>
      </w:pPr>
      <w:rPr>
        <w:b/>
      </w:rPr>
      <w:tblPr/>
      <w:tcPr>
        <w:tcBorders>
          <w:top w:val="double" w:sz="6" w:space="0" w:color="BFECF3" w:themeColor="accent4" w:themeTint="BF"/>
          <w:left w:val="single" w:sz="8" w:space="0" w:color="BFECF3" w:themeColor="accent4" w:themeTint="BF"/>
          <w:bottom w:val="single" w:sz="8" w:space="0" w:color="BFECF3" w:themeColor="accent4" w:themeTint="BF"/>
          <w:right w:val="single" w:sz="8" w:space="0" w:color="BFECF3" w:themeColor="accent4" w:themeTint="BF"/>
          <w:insideH w:val="nil"/>
          <w:insideV w:val="nil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000000" w:fill="E9F8F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000000" w:fill="E9F8F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semiHidden/>
    <w:unhideWhenUsed/>
    <w:pPr>
      <w:spacing w:after="0" w:line="240" w:lineRule="auto"/>
    </w:pPr>
    <w:tblPr>
      <w:tblStyleRowBandSize w:val="1"/>
      <w:tblStyleColBandSize w:val="1"/>
      <w:tblBorders>
        <w:top w:val="single" w:sz="8" w:space="0" w:color="67B3CC" w:themeColor="accent5" w:themeTint="BF"/>
        <w:left w:val="single" w:sz="8" w:space="0" w:color="67B3CC" w:themeColor="accent5" w:themeTint="BF"/>
        <w:bottom w:val="single" w:sz="8" w:space="0" w:color="67B3CC" w:themeColor="accent5" w:themeTint="BF"/>
        <w:right w:val="single" w:sz="8" w:space="0" w:color="67B3CC" w:themeColor="accent5" w:themeTint="BF"/>
        <w:insideH w:val="single" w:sz="8" w:space="0" w:color="67B3CC" w:themeColor="accent5" w:themeTint="BF"/>
      </w:tblBorders>
    </w:tblPr>
    <w:tblStylePr w:type="firstRow">
      <w:pPr>
        <w:spacing w:before="0" w:after="0" w:line="240" w:lineRule="auto"/>
      </w:pPr>
      <w:rPr>
        <w:b/>
        <w:color w:val="FFFFFF" w:themeColor="background1"/>
      </w:rPr>
      <w:tblPr/>
      <w:tcPr>
        <w:tcBorders>
          <w:top w:val="single" w:sz="8" w:space="0" w:color="67B3CC" w:themeColor="accent5" w:themeTint="BF"/>
          <w:left w:val="single" w:sz="8" w:space="0" w:color="67B3CC" w:themeColor="accent5" w:themeTint="BF"/>
          <w:bottom w:val="single" w:sz="8" w:space="0" w:color="67B3CC" w:themeColor="accent5" w:themeTint="BF"/>
          <w:right w:val="single" w:sz="8" w:space="0" w:color="67B3CC" w:themeColor="accent5" w:themeTint="BF"/>
          <w:insideH w:val="nil"/>
          <w:insideV w:val="nil"/>
        </w:tcBorders>
        <w:shd w:val="clear" w:color="000000" w:fill="3C96B4" w:themeFill="accent5"/>
      </w:tcPr>
    </w:tblStylePr>
    <w:tblStylePr w:type="lastRow">
      <w:pPr>
        <w:spacing w:before="0" w:after="0" w:line="240" w:lineRule="auto"/>
      </w:pPr>
      <w:rPr>
        <w:b/>
      </w:rPr>
      <w:tblPr/>
      <w:tcPr>
        <w:tcBorders>
          <w:top w:val="double" w:sz="6" w:space="0" w:color="67B3CC" w:themeColor="accent5" w:themeTint="BF"/>
          <w:left w:val="single" w:sz="8" w:space="0" w:color="67B3CC" w:themeColor="accent5" w:themeTint="BF"/>
          <w:bottom w:val="single" w:sz="8" w:space="0" w:color="67B3CC" w:themeColor="accent5" w:themeTint="BF"/>
          <w:right w:val="single" w:sz="8" w:space="0" w:color="67B3CC" w:themeColor="accent5" w:themeTint="BF"/>
          <w:insideH w:val="nil"/>
          <w:insideV w:val="nil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000000" w:fill="CCE5EE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000000" w:fill="CCE5EE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semiHidden/>
    <w:unhideWhenUsed/>
    <w:pPr>
      <w:spacing w:after="0" w:line="240" w:lineRule="auto"/>
    </w:pPr>
    <w:tblPr>
      <w:tblStyleRowBandSize w:val="1"/>
      <w:tblStyleColBandSize w:val="1"/>
      <w:tblBorders>
        <w:top w:val="single" w:sz="8" w:space="0" w:color="C3D1FF" w:themeColor="accent6" w:themeTint="BF"/>
        <w:left w:val="single" w:sz="8" w:space="0" w:color="C3D1FF" w:themeColor="accent6" w:themeTint="BF"/>
        <w:bottom w:val="single" w:sz="8" w:space="0" w:color="C3D1FF" w:themeColor="accent6" w:themeTint="BF"/>
        <w:right w:val="single" w:sz="8" w:space="0" w:color="C3D1FF" w:themeColor="accent6" w:themeTint="BF"/>
        <w:insideH w:val="single" w:sz="8" w:space="0" w:color="C3D1FF" w:themeColor="accent6" w:themeTint="BF"/>
      </w:tblBorders>
    </w:tblPr>
    <w:tblStylePr w:type="firstRow">
      <w:pPr>
        <w:spacing w:before="0" w:after="0" w:line="240" w:lineRule="auto"/>
      </w:pPr>
      <w:rPr>
        <w:b/>
        <w:color w:val="FFFFFF" w:themeColor="background1"/>
      </w:rPr>
      <w:tblPr/>
      <w:tcPr>
        <w:tcBorders>
          <w:top w:val="single" w:sz="8" w:space="0" w:color="C3D1FF" w:themeColor="accent6" w:themeTint="BF"/>
          <w:left w:val="single" w:sz="8" w:space="0" w:color="C3D1FF" w:themeColor="accent6" w:themeTint="BF"/>
          <w:bottom w:val="single" w:sz="8" w:space="0" w:color="C3D1FF" w:themeColor="accent6" w:themeTint="BF"/>
          <w:right w:val="single" w:sz="8" w:space="0" w:color="C3D1FF" w:themeColor="accent6" w:themeTint="BF"/>
          <w:insideH w:val="nil"/>
          <w:insideV w:val="nil"/>
        </w:tcBorders>
        <w:shd w:val="clear" w:color="000000" w:fill="AFC3FF" w:themeFill="accent6"/>
      </w:tcPr>
    </w:tblStylePr>
    <w:tblStylePr w:type="lastRow">
      <w:pPr>
        <w:spacing w:before="0" w:after="0" w:line="240" w:lineRule="auto"/>
      </w:pPr>
      <w:rPr>
        <w:b/>
      </w:rPr>
      <w:tblPr/>
      <w:tcPr>
        <w:tcBorders>
          <w:top w:val="double" w:sz="6" w:space="0" w:color="C3D1FF" w:themeColor="accent6" w:themeTint="BF"/>
          <w:left w:val="single" w:sz="8" w:space="0" w:color="C3D1FF" w:themeColor="accent6" w:themeTint="BF"/>
          <w:bottom w:val="single" w:sz="8" w:space="0" w:color="C3D1FF" w:themeColor="accent6" w:themeTint="BF"/>
          <w:right w:val="single" w:sz="8" w:space="0" w:color="C3D1FF" w:themeColor="accent6" w:themeTint="BF"/>
          <w:insideH w:val="nil"/>
          <w:insideV w:val="nil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000000" w:fill="EBEFFF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000000" w:fill="EBEFFF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semiHidden/>
    <w:unhideWhenUsed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000000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rPr>
        <w:b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000000" w:fill="000000" w:themeFill="text1"/>
      </w:tcPr>
    </w:tblStylePr>
    <w:tblStylePr w:type="lastCol">
      <w:rPr>
        <w:b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000000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000000" w:fill="D8D8D8" w:themeFill="background1" w:themeFillShade="D8"/>
      </w:tcPr>
    </w:tblStylePr>
    <w:tblStylePr w:type="band1Horz">
      <w:tblPr/>
      <w:tcPr>
        <w:shd w:val="clear" w:color="000000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semiHidden/>
    <w:unhideWhenUsed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000000" w:fill="051C2C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rPr>
        <w:b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000000" w:fill="051C2C" w:themeFill="accent1"/>
      </w:tcPr>
    </w:tblStylePr>
    <w:tblStylePr w:type="lastCol">
      <w:rPr>
        <w:b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000000" w:fill="051C2C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000000" w:fill="D8D8D8" w:themeFill="background1" w:themeFillShade="D8"/>
      </w:tcPr>
    </w:tblStylePr>
    <w:tblStylePr w:type="band1Horz">
      <w:tblPr/>
      <w:tcPr>
        <w:shd w:val="clear" w:color="000000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semiHidden/>
    <w:unhideWhenUsed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000000" w:fill="00A9F4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rPr>
        <w:b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000000" w:fill="00A9F4" w:themeFill="accent2"/>
      </w:tcPr>
    </w:tblStylePr>
    <w:tblStylePr w:type="lastCol">
      <w:rPr>
        <w:b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000000" w:fill="00A9F4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000000" w:fill="D8D8D8" w:themeFill="background1" w:themeFillShade="D8"/>
      </w:tcPr>
    </w:tblStylePr>
    <w:tblStylePr w:type="band1Horz">
      <w:tblPr/>
      <w:tcPr>
        <w:shd w:val="clear" w:color="000000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semiHidden/>
    <w:unhideWhenUsed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000000" w:fill="2251FF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rPr>
        <w:b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000000" w:fill="2251FF" w:themeFill="accent3"/>
      </w:tcPr>
    </w:tblStylePr>
    <w:tblStylePr w:type="lastCol">
      <w:rPr>
        <w:b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000000" w:fill="2251FF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000000" w:fill="D8D8D8" w:themeFill="background1" w:themeFillShade="D8"/>
      </w:tcPr>
    </w:tblStylePr>
    <w:tblStylePr w:type="band1Horz">
      <w:tblPr/>
      <w:tcPr>
        <w:shd w:val="clear" w:color="000000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semiHidden/>
    <w:unhideWhenUsed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000000" w:fill="AAE6F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rPr>
        <w:b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000000" w:fill="AAE6F0" w:themeFill="accent4"/>
      </w:tcPr>
    </w:tblStylePr>
    <w:tblStylePr w:type="lastCol">
      <w:rPr>
        <w:b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000000" w:fill="AAE6F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000000" w:fill="D8D8D8" w:themeFill="background1" w:themeFillShade="D8"/>
      </w:tcPr>
    </w:tblStylePr>
    <w:tblStylePr w:type="band1Horz">
      <w:tblPr/>
      <w:tcPr>
        <w:shd w:val="clear" w:color="000000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semiHidden/>
    <w:unhideWhenUsed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000000" w:fill="3C96B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rPr>
        <w:b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000000" w:fill="3C96B4" w:themeFill="accent5"/>
      </w:tcPr>
    </w:tblStylePr>
    <w:tblStylePr w:type="lastCol">
      <w:rPr>
        <w:b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000000" w:fill="3C96B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000000" w:fill="D8D8D8" w:themeFill="background1" w:themeFillShade="D8"/>
      </w:tcPr>
    </w:tblStylePr>
    <w:tblStylePr w:type="band1Horz">
      <w:tblPr/>
      <w:tcPr>
        <w:shd w:val="clear" w:color="000000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semiHidden/>
    <w:unhideWhenUsed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000000" w:fill="AFC3FF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rPr>
        <w:b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000000" w:fill="AFC3FF" w:themeFill="accent6"/>
      </w:tcPr>
    </w:tblStylePr>
    <w:tblStylePr w:type="lastCol">
      <w:rPr>
        <w:b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000000" w:fill="AFC3FF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000000" w:fill="D8D8D8" w:themeFill="background1" w:themeFillShade="D8"/>
      </w:tcPr>
    </w:tblStylePr>
    <w:tblStylePr w:type="band1Horz">
      <w:tblPr/>
      <w:tcPr>
        <w:shd w:val="clear" w:color="000000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customStyle="1" w:styleId="Mention1">
    <w:name w:val="Mention1"/>
    <w:basedOn w:val="DefaultParagraphFont"/>
    <w:semiHidden/>
    <w:unhideWhenUsed/>
    <w:rPr>
      <w:color w:val="2B579A"/>
      <w:shd w:val="clear" w:color="000000" w:fill="E1DFDD"/>
    </w:rPr>
  </w:style>
  <w:style w:type="paragraph" w:styleId="MessageHeader">
    <w:name w:val="Message Header"/>
    <w:basedOn w:val="Normal"/>
    <w:link w:val="MessageHeaderChar"/>
    <w:semiHidden/>
    <w:unhideWhenUsed/>
    <w:pPr>
      <w:pBdr>
        <w:top w:val="single" w:sz="6" w:space="1" w:color="000000"/>
        <w:left w:val="single" w:sz="6" w:space="1" w:color="000000"/>
        <w:bottom w:val="single" w:sz="6" w:space="1" w:color="000000"/>
        <w:right w:val="single" w:sz="6" w:space="1" w:color="000000"/>
      </w:pBdr>
      <w:shd w:val="pct20" w:color="000000" w:fill="auto"/>
      <w:spacing w:after="0"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semiHidden/>
    <w:rPr>
      <w:rFonts w:asciiTheme="majorHAnsi" w:eastAsiaTheme="majorEastAsia" w:hAnsiTheme="majorHAnsi" w:cstheme="majorBidi"/>
      <w:sz w:val="24"/>
      <w:szCs w:val="24"/>
      <w:shd w:val="pct20" w:color="000000" w:fill="auto"/>
      <w:lang w:val="en-US"/>
    </w:rPr>
  </w:style>
  <w:style w:type="paragraph" w:styleId="NormalIndent">
    <w:name w:val="Normal Indent"/>
    <w:basedOn w:val="Normal"/>
    <w:semiHidden/>
    <w:unhideWhenUsed/>
    <w:pPr>
      <w:ind w:left="708"/>
    </w:pPr>
  </w:style>
  <w:style w:type="paragraph" w:styleId="NoteHeading">
    <w:name w:val="Note Heading"/>
    <w:basedOn w:val="Normal"/>
    <w:next w:val="Normal"/>
    <w:link w:val="NoteHeadingChar"/>
    <w:semiHidden/>
    <w:unhideWhenUsed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semiHidden/>
    <w:rPr>
      <w:rFonts w:eastAsia="Times New Roman" w:cs="Times New Roman"/>
      <w:lang w:val="en-US"/>
    </w:rPr>
  </w:style>
  <w:style w:type="character" w:styleId="PageNumber">
    <w:name w:val="page number"/>
    <w:basedOn w:val="DefaultParagraphFont"/>
    <w:semiHidden/>
    <w:unhideWhenUsed/>
  </w:style>
  <w:style w:type="paragraph" w:styleId="PlainText">
    <w:name w:val="Plain Text"/>
    <w:basedOn w:val="Normal"/>
    <w:link w:val="PlainTextChar"/>
    <w:semiHidden/>
    <w:unhideWhenUsed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semiHidden/>
    <w:rPr>
      <w:rFonts w:ascii="Consolas" w:eastAsia="Times New Roman" w:hAnsi="Consolas" w:cs="Times New Roman"/>
      <w:sz w:val="21"/>
      <w:szCs w:val="21"/>
      <w:lang w:val="en-US"/>
    </w:rPr>
  </w:style>
  <w:style w:type="character" w:customStyle="1" w:styleId="QuoteChar">
    <w:name w:val="Quote Char"/>
    <w:basedOn w:val="DefaultParagraphFont"/>
    <w:link w:val="Quote"/>
    <w:rPr>
      <w:rFonts w:eastAsia="Times New Roman" w:cs="Times New Roman"/>
      <w:i/>
      <w:color w:val="404040" w:themeColor="text1" w:themeTint="BF"/>
      <w:lang w:val="en-US"/>
    </w:rPr>
  </w:style>
  <w:style w:type="paragraph" w:styleId="Signature">
    <w:name w:val="Signature"/>
    <w:basedOn w:val="Normal"/>
    <w:link w:val="SignatureChar"/>
    <w:semiHidden/>
    <w:unhideWhenUsed/>
    <w:pPr>
      <w:spacing w:after="0" w:line="240" w:lineRule="auto"/>
      <w:ind w:left="4252"/>
    </w:pPr>
  </w:style>
  <w:style w:type="character" w:customStyle="1" w:styleId="SignatureChar">
    <w:name w:val="Signature Char"/>
    <w:basedOn w:val="DefaultParagraphFont"/>
    <w:link w:val="Signature"/>
    <w:semiHidden/>
    <w:rPr>
      <w:rFonts w:eastAsia="Times New Roman" w:cs="Times New Roman"/>
      <w:lang w:val="en-US"/>
    </w:rPr>
  </w:style>
  <w:style w:type="character" w:customStyle="1" w:styleId="SmartHyperlink1">
    <w:name w:val="Smart Hyperlink1"/>
    <w:basedOn w:val="DefaultParagraphFont"/>
    <w:semiHidden/>
    <w:unhideWhenUsed/>
    <w:rPr>
      <w:u w:val="dotted"/>
    </w:rPr>
  </w:style>
  <w:style w:type="character" w:customStyle="1" w:styleId="SmartLink1">
    <w:name w:val="SmartLink1"/>
    <w:basedOn w:val="DefaultParagraphFont"/>
    <w:semiHidden/>
    <w:unhideWhenUsed/>
    <w:rPr>
      <w:color w:val="0000FF"/>
      <w:u w:val="single"/>
      <w:shd w:val="clear" w:color="000000" w:fill="F3F2F1"/>
    </w:rPr>
  </w:style>
  <w:style w:type="character" w:customStyle="1" w:styleId="SubtitleChar">
    <w:name w:val="Subtitle Char"/>
    <w:basedOn w:val="DefaultParagraphFont"/>
    <w:link w:val="Subtitle"/>
    <w:rPr>
      <w:rFonts w:eastAsiaTheme="minorEastAsia"/>
      <w:color w:val="5A5A5A" w:themeColor="text1" w:themeTint="A5"/>
      <w:spacing w:val="15"/>
      <w:lang w:val="en-US"/>
    </w:rPr>
  </w:style>
  <w:style w:type="table" w:styleId="Table3Deffects1">
    <w:name w:val="Table 3D effects 1"/>
    <w:basedOn w:val="TableNormal"/>
    <w:semiHidden/>
    <w:unhideWhenUsed/>
    <w:pPr>
      <w:spacing w:after="180" w:line="264" w:lineRule="auto"/>
    </w:pPr>
    <w:tblPr/>
    <w:tcPr>
      <w:shd w:val="solid" w:color="C0C0C0" w:fill="FFFFFF"/>
    </w:tcPr>
    <w:tblStylePr w:type="firstRow">
      <w:rPr>
        <w:b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semiHidden/>
    <w:unhideWhenUsed/>
    <w:pPr>
      <w:spacing w:after="180" w:line="264" w:lineRule="auto"/>
    </w:pPr>
    <w:tblPr>
      <w:tblStyleRowBandSize w:val="1"/>
    </w:tblPr>
    <w:tcPr>
      <w:shd w:val="solid" w:color="C0C0C0" w:fill="FFFFFF"/>
    </w:tcPr>
    <w:tblStylePr w:type="firstRow">
      <w:rPr>
        <w:b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semiHidden/>
    <w:unhideWhenUsed/>
    <w:pPr>
      <w:spacing w:after="180" w:line="264" w:lineRule="auto"/>
    </w:pPr>
    <w:tblPr>
      <w:tblStyleRowBandSize w:val="1"/>
      <w:tblStyleColBandSize w:val="1"/>
    </w:tblPr>
    <w:tblStylePr w:type="firstRow">
      <w:rPr>
        <w:b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semiHidden/>
    <w:unhideWhenUsed/>
    <w:pPr>
      <w:spacing w:after="180" w:line="264" w:lineRule="auto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000000" w:fill="auto"/>
    </w:tcPr>
    <w:tblStylePr w:type="firstRow">
      <w:rPr>
        <w:i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i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semiHidden/>
    <w:unhideWhenUsed/>
    <w:pPr>
      <w:spacing w:after="180" w:line="264" w:lineRule="auto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000000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semiHidden/>
    <w:unhideWhenUsed/>
    <w:pPr>
      <w:spacing w:after="180" w:line="264" w:lineRule="auto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i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semiHidden/>
    <w:unhideWhenUsed/>
    <w:pPr>
      <w:spacing w:after="180" w:line="264" w:lineRule="auto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000000" w:fill="auto"/>
    </w:tcPr>
    <w:tblStylePr w:type="firstRow">
      <w:rPr>
        <w:b/>
        <w:i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semiHidden/>
    <w:unhideWhenUsed/>
    <w:pPr>
      <w:spacing w:after="180" w:line="264" w:lineRule="auto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i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i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i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semiHidden/>
    <w:unhideWhenUsed/>
    <w:pPr>
      <w:spacing w:after="180" w:line="264" w:lineRule="auto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i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i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i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semiHidden/>
    <w:unhideWhenUsed/>
    <w:pPr>
      <w:spacing w:after="180" w:line="264" w:lineRule="auto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semiHidden/>
    <w:unhideWhenUsed/>
    <w:pPr>
      <w:spacing w:after="180" w:line="264" w:lineRule="auto"/>
    </w:pPr>
    <w:rPr>
      <w:b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semiHidden/>
    <w:unhideWhenUsed/>
    <w:pPr>
      <w:spacing w:after="180" w:line="264" w:lineRule="auto"/>
    </w:pPr>
    <w:rPr>
      <w:b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semiHidden/>
    <w:unhideWhenUsed/>
    <w:pPr>
      <w:spacing w:after="180" w:line="264" w:lineRule="auto"/>
    </w:pPr>
    <w:rPr>
      <w:b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semiHidden/>
    <w:unhideWhenUsed/>
    <w:pPr>
      <w:spacing w:after="180" w:line="264" w:lineRule="auto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semiHidden/>
    <w:unhideWhenUsed/>
    <w:pPr>
      <w:spacing w:after="180" w:line="264" w:lineRule="auto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i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semiHidden/>
    <w:unhideWhenUsed/>
    <w:pPr>
      <w:spacing w:after="180" w:line="264" w:lineRule="auto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semiHidden/>
    <w:unhideWhenUsed/>
    <w:pPr>
      <w:spacing w:after="180" w:line="264" w:lineRule="auto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000000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semiHidden/>
    <w:unhideWhenUsed/>
    <w:pPr>
      <w:spacing w:after="180" w:line="264" w:lineRule="auto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000000" w:fill="auto"/>
    </w:tcPr>
    <w:tblStylePr w:type="lastRow">
      <w:rPr>
        <w:i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semiHidden/>
    <w:unhideWhenUsed/>
    <w:pPr>
      <w:spacing w:after="180" w:line="264" w:lineRule="auto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000000" w:fill="auto"/>
    </w:tcPr>
    <w:tblStylePr w:type="firstRow">
      <w:rPr>
        <w:b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semiHidden/>
    <w:unhideWhenUsed/>
    <w:pPr>
      <w:spacing w:after="180" w:line="264" w:lineRule="auto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000000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semiHidden/>
    <w:unhideWhenUsed/>
    <w:pPr>
      <w:spacing w:after="180" w:line="264" w:lineRule="auto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000000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semiHidden/>
    <w:unhideWhenUsed/>
    <w:pPr>
      <w:spacing w:after="180" w:line="264" w:lineRule="auto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000000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semiHidden/>
    <w:unhideWhenUsed/>
    <w:pPr>
      <w:spacing w:after="180" w:line="264" w:lineRule="auto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000000" w:fill="auto"/>
    </w:tcPr>
    <w:tblStylePr w:type="firstRow">
      <w:rPr>
        <w:b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semiHidden/>
    <w:unhideWhenUsed/>
    <w:pPr>
      <w:spacing w:after="180" w:line="264" w:lineRule="auto"/>
    </w:pPr>
    <w:rPr>
      <w:b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000000" w:fill="auto"/>
    </w:tcPr>
    <w:tblStylePr w:type="firstRow">
      <w:rPr>
        <w:b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semiHidden/>
    <w:unhideWhenUsed/>
    <w:pPr>
      <w:spacing w:after="180" w:line="264" w:lineRule="auto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000000" w:fill="auto"/>
    </w:tcPr>
    <w:tblStylePr w:type="firstRow">
      <w:rPr>
        <w:b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1">
    <w:name w:val="Table List 1"/>
    <w:basedOn w:val="TableNormal"/>
    <w:semiHidden/>
    <w:unhideWhenUsed/>
    <w:pPr>
      <w:spacing w:after="180" w:line="264" w:lineRule="auto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i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semiHidden/>
    <w:unhideWhenUsed/>
    <w:pPr>
      <w:spacing w:after="180" w:line="264" w:lineRule="auto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semiHidden/>
    <w:unhideWhenUsed/>
    <w:pPr>
      <w:spacing w:after="180" w:line="264" w:lineRule="auto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000000" w:fill="auto"/>
    </w:tcPr>
    <w:tblStylePr w:type="firstRow">
      <w:rPr>
        <w:b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semiHidden/>
    <w:unhideWhenUsed/>
    <w:pPr>
      <w:spacing w:after="180" w:line="264" w:lineRule="auto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000000" w:fill="auto"/>
    </w:tcPr>
    <w:tblStylePr w:type="firstRow">
      <w:rPr>
        <w:b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semiHidden/>
    <w:unhideWhenUsed/>
    <w:pPr>
      <w:spacing w:after="180" w:line="264" w:lineRule="auto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000000" w:fill="auto"/>
    </w:tcPr>
    <w:tblStylePr w:type="firstRow">
      <w:rPr>
        <w:b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semiHidden/>
    <w:unhideWhenUsed/>
    <w:pPr>
      <w:spacing w:after="180" w:line="264" w:lineRule="auto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semiHidden/>
    <w:unhideWhenUsed/>
    <w:pPr>
      <w:spacing w:after="180" w:line="264" w:lineRule="auto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semiHidden/>
    <w:unhideWhenUsed/>
    <w:pPr>
      <w:spacing w:after="180" w:line="264" w:lineRule="auto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i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semiHidden/>
    <w:unhideWhenUsed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semiHidden/>
    <w:unhideWhenUsed/>
    <w:pPr>
      <w:spacing w:after="0"/>
    </w:pPr>
  </w:style>
  <w:style w:type="table" w:styleId="TableProfessional">
    <w:name w:val="Table Professional"/>
    <w:basedOn w:val="TableNormal"/>
    <w:semiHidden/>
    <w:unhideWhenUsed/>
    <w:pPr>
      <w:spacing w:after="180" w:line="264" w:lineRule="auto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000000" w:fill="auto"/>
    </w:tcPr>
    <w:tblStylePr w:type="firstRow">
      <w:rPr>
        <w:b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semiHidden/>
    <w:unhideWhenUsed/>
    <w:pPr>
      <w:spacing w:after="180" w:line="264" w:lineRule="auto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000000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semiHidden/>
    <w:unhideWhenUsed/>
    <w:pPr>
      <w:spacing w:after="180" w:line="264" w:lineRule="auto"/>
    </w:pPr>
    <w:tblPr/>
    <w:tblStylePr w:type="firstRow">
      <w:rPr>
        <w:b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semiHidden/>
    <w:unhideWhenUsed/>
    <w:pPr>
      <w:spacing w:after="180" w:line="264" w:lineRule="auto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000000" w:fill="auto"/>
    </w:tcPr>
    <w:tblStylePr w:type="firstRow">
      <w:rPr>
        <w:b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semiHidden/>
    <w:unhideWhenUsed/>
    <w:pPr>
      <w:spacing w:after="180" w:line="264" w:lineRule="auto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semiHidden/>
    <w:unhideWhenUsed/>
    <w:pPr>
      <w:spacing w:after="180" w:line="264" w:lineRule="auto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semiHidden/>
    <w:unhideWhenUsed/>
    <w:pPr>
      <w:spacing w:after="180" w:line="264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semiHidden/>
    <w:unhideWhenUsed/>
    <w:pPr>
      <w:spacing w:after="180" w:line="264" w:lineRule="auto"/>
    </w:pPr>
    <w:tblPr>
      <w:tblCellSpacing w:w="20" w:type="dxa"/>
      <w:tblBorders>
        <w:top w:val="none" w:sz="6" w:space="0" w:color="auto"/>
        <w:left w:val="none" w:sz="6" w:space="0" w:color="auto"/>
        <w:bottom w:val="none" w:sz="6" w:space="0" w:color="auto"/>
        <w:right w:val="none" w:sz="6" w:space="0" w:color="auto"/>
        <w:insideH w:val="none" w:sz="6" w:space="0" w:color="auto"/>
        <w:insideV w:val="none" w:sz="6" w:space="0" w:color="auto"/>
      </w:tblBorders>
    </w:tblPr>
    <w:trPr>
      <w:tblCellSpacing w:w="20" w:type="dxa"/>
    </w:trPr>
    <w:tcPr>
      <w:shd w:val="clear" w:color="000000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semiHidden/>
    <w:unhideWhenUsed/>
    <w:pPr>
      <w:spacing w:after="180" w:line="264" w:lineRule="auto"/>
    </w:pPr>
    <w:tblPr>
      <w:tblCellSpacing w:w="20" w:type="dxa"/>
      <w:tblBorders>
        <w:top w:val="none" w:sz="6" w:space="0" w:color="auto"/>
        <w:left w:val="none" w:sz="6" w:space="0" w:color="auto"/>
        <w:bottom w:val="none" w:sz="6" w:space="0" w:color="auto"/>
        <w:right w:val="none" w:sz="6" w:space="0" w:color="auto"/>
        <w:insideH w:val="none" w:sz="6" w:space="0" w:color="auto"/>
        <w:insideV w:val="none" w:sz="6" w:space="0" w:color="auto"/>
      </w:tblBorders>
    </w:tblPr>
    <w:trPr>
      <w:tblCellSpacing w:w="20" w:type="dxa"/>
    </w:trPr>
    <w:tcPr>
      <w:shd w:val="clear" w:color="000000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semiHidden/>
    <w:unhideWhenUsed/>
    <w:pPr>
      <w:spacing w:after="180" w:line="264" w:lineRule="auto"/>
    </w:pPr>
    <w:tblPr>
      <w:tblCellSpacing w:w="20" w:type="dxa"/>
      <w:tblBorders>
        <w:top w:val="none" w:sz="24" w:space="0" w:color="auto"/>
        <w:left w:val="none" w:sz="24" w:space="0" w:color="auto"/>
        <w:bottom w:val="none" w:sz="24" w:space="0" w:color="auto"/>
        <w:right w:val="none" w:sz="24" w:space="0" w:color="auto"/>
        <w:insideH w:val="none" w:sz="6" w:space="0" w:color="auto"/>
        <w:insideV w:val="none" w:sz="6" w:space="0" w:color="auto"/>
      </w:tblBorders>
    </w:tblPr>
    <w:trPr>
      <w:tblCellSpacing w:w="20" w:type="dxa"/>
    </w:trPr>
    <w:tcPr>
      <w:shd w:val="clear" w:color="000000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UnresolvedMention1">
    <w:name w:val="Unresolved Mention1"/>
    <w:basedOn w:val="DefaultParagraphFont"/>
    <w:semiHidden/>
    <w:unhideWhenUsed/>
    <w:rPr>
      <w:color w:val="605E5C"/>
      <w:shd w:val="clear" w:color="000000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cKinsey White 16x9">
  <a:themeElements>
    <a:clrScheme name="Custom 26">
      <a:dk1>
        <a:srgbClr val="000000"/>
      </a:dk1>
      <a:lt1>
        <a:srgbClr val="FFFFFF"/>
      </a:lt1>
      <a:dk2>
        <a:srgbClr val="051C2C"/>
      </a:dk2>
      <a:lt2>
        <a:srgbClr val="FFFFFF"/>
      </a:lt2>
      <a:accent1>
        <a:srgbClr val="051C2C"/>
      </a:accent1>
      <a:accent2>
        <a:srgbClr val="00A9F4"/>
      </a:accent2>
      <a:accent3>
        <a:srgbClr val="2251FF"/>
      </a:accent3>
      <a:accent4>
        <a:srgbClr val="AAE6F0"/>
      </a:accent4>
      <a:accent5>
        <a:srgbClr val="3C96B4"/>
      </a:accent5>
      <a:accent6>
        <a:srgbClr val="AFC3FF"/>
      </a:accent6>
      <a:hlink>
        <a:srgbClr val="00A9F4"/>
      </a:hlink>
      <a:folHlink>
        <a:srgbClr val="00A9F4"/>
      </a:folHlink>
    </a:clrScheme>
    <a:fontScheme name="McKinsey &amp; Company Word Documents">
      <a:majorFont>
        <a:latin typeface="Georgia"/>
        <a:ea typeface=""/>
        <a:cs typeface=""/>
      </a:majorFont>
      <a:minorFont>
        <a:latin typeface="Arial"/>
        <a:ea typeface=""/>
        <a:cs typeface=""/>
      </a:minorFont>
    </a:fontScheme>
    <a:fmtScheme name="Subtle Solids">
      <a:fillStyleLst>
        <a:solidFill>
          <a:schemeClr val="phClr"/>
        </a:solidFill>
        <a:solidFill>
          <a:schemeClr val="phClr">
            <a:tint val="65000"/>
          </a:schemeClr>
        </a:solidFill>
        <a:solidFill>
          <a:schemeClr val="phClr">
            <a:shade val="80000"/>
            <a:satMod val="150000"/>
          </a:schemeClr>
        </a:solidFill>
      </a:fillStyleLst>
      <a:lnStyleLst>
        <a:ln w="9525" cap="flat" cmpd="sng" algn="ctr">
          <a:solidFill>
            <a:schemeClr val="phClr"/>
          </a:solidFill>
          <a:prstDash val="solid"/>
        </a:ln>
        <a:ln w="10795" cap="flat" cmpd="sng" algn="ctr">
          <a:solidFill>
            <a:schemeClr val="phClr"/>
          </a:solidFill>
          <a:prstDash val="solid"/>
        </a:ln>
        <a:ln w="17145" cap="flat" cmpd="sng" algn="ctr">
          <a:solidFill>
            <a:schemeClr val="phClr">
              <a:shade val="95000"/>
              <a:alpha val="50000"/>
              <a:satMod val="150000"/>
            </a:schemeClr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44450" dist="13970" dir="5400000" algn="ctr" rotWithShape="0">
              <a:srgbClr val="000000">
                <a:alpha val="45000"/>
              </a:srgbClr>
            </a:outerShdw>
          </a:effectLst>
          <a:scene3d>
            <a:camera prst="orthographicFront">
              <a:rot lat="0" lon="0" rev="0"/>
            </a:camera>
            <a:lightRig rig="twoPt" dir="tl"/>
          </a:scene3d>
          <a:sp3d prstMaterial="flat">
            <a:bevelT w="12700" h="25400" prst="coolSlant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solidFill>
          <a:srgbClr val="051C2C"/>
        </a:solidFill>
        <a:ln w="6350" cap="sq">
          <a:noFill/>
          <a:miter lim="800000"/>
        </a:ln>
      </a:spPr>
      <a:bodyPr rot="0" spcFirstLastPara="0" vertOverflow="overflow" horzOverflow="overflow" vert="horz" wrap="square" lIns="91440" tIns="45720" rIns="91440" bIns="45720" numCol="1" spcCol="0" rtlCol="0" fromWordArt="0" anchor="ctr" anchorCtr="0" forceAA="0" compatLnSpc="1">
        <a:prstTxWarp prst="textNoShape">
          <a:avLst/>
        </a:prstTxWarp>
        <a:noAutofit/>
      </a:bodyPr>
      <a:lstStyle>
        <a:defPPr algn="ctr">
          <a:defRPr sz="1600" dirty="0" err="1" smtClean="0">
            <a:solidFill>
              <a:schemeClr val="bg1"/>
            </a:solidFill>
          </a:defRPr>
        </a:defPPr>
      </a:lstStyle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  <a:lnDef>
      <a:spPr>
        <a:ln w="6350" cap="sq">
          <a:solidFill>
            <a:srgbClr val="000000"/>
          </a:solidFill>
          <a:miter lim="800000"/>
          <a:tailEnd type="none"/>
        </a:ln>
      </a:spPr>
      <a:bodyPr/>
      <a:lstStyle/>
      <a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a:style>
    </a:lnDef>
    <a:txDef>
      <a:spPr>
        <a:ln w="6350">
          <a:noFill/>
          <a:miter lim="800000"/>
        </a:ln>
      </a:spPr>
      <a:bodyPr vert="horz" wrap="square" lIns="0" tIns="0" rIns="0" bIns="0" rtlCol="0">
        <a:noAutofit/>
      </a:bodyPr>
      <a:lstStyle>
        <a:defPPr algn="l">
          <a:spcBef>
            <a:spcPts val="300"/>
          </a:spcBef>
          <a:spcAft>
            <a:spcPts val="300"/>
          </a:spcAft>
          <a:buNone/>
          <a:defRPr sz="1600" dirty="0" smtClean="0"/>
        </a:defPPr>
      </a:lstStyle>
    </a:txDef>
  </a:objectDefaults>
  <a:extraClrSchemeLst/>
  <a:custClrLst>
    <a:custClr name="Electric Blue">
      <a:srgbClr val="2251FF"/>
    </a:custClr>
    <a:custClr name="Cyan">
      <a:srgbClr val="00A9F4"/>
    </a:custClr>
    <a:custClr name="Pale Blue">
      <a:srgbClr val="6DC1DB"/>
    </a:custClr>
    <a:custClr name="Super Light Gray">
      <a:srgbClr val="D0D0D0"/>
    </a:custClr>
    <a:custClr name="Pink">
      <a:srgbClr val="E8BDAD"/>
    </a:custClr>
    <a:custClr name="Orange">
      <a:srgbClr val="FAA082"/>
    </a:custClr>
    <a:custClr name="Red">
      <a:srgbClr val="E5546C"/>
    </a:custClr>
    <a:custClr name="Null">
      <a:srgbClr val="FFFFFF"/>
    </a:custClr>
    <a:custClr name="Null">
      <a:srgbClr val="FFFFFF"/>
    </a:custClr>
    <a:custClr name="Null">
      <a:srgbClr val="FFFFFF"/>
    </a:custClr>
    <a:custClr name="Dark Gray">
      <a:srgbClr val="4D4D4D"/>
    </a:custClr>
    <a:custClr name="Mid Gray">
      <a:srgbClr val="7F7F7F"/>
    </a:custClr>
    <a:custClr name="Light Gray">
      <a:srgbClr val="B3B3B3"/>
    </a:custClr>
    <a:custClr name="Super Light Gray">
      <a:srgbClr val="D0D0D0"/>
    </a:custClr>
    <a:custClr name="Pale Gray">
      <a:srgbClr val="E6E6E6"/>
    </a:custClr>
    <a:custClr name="Null">
      <a:srgbClr val="FFFFFF"/>
    </a:custClr>
    <a:custClr name="Null">
      <a:srgbClr val="FFFFFF"/>
    </a:custClr>
    <a:custClr name="Null">
      <a:srgbClr val="FFFFFF"/>
    </a:custClr>
    <a:custClr name="Null">
      <a:srgbClr val="FFFFFF"/>
    </a:custClr>
    <a:custClr name="Null">
      <a:srgbClr val="FFFFFF"/>
    </a:custClr>
    <a:custClr name="Deep Blue">
      <a:srgbClr val="051C2C"/>
    </a:custClr>
    <a:custClr name="McKinsey Cyan">
      <a:srgbClr val="00A9F4"/>
    </a:custClr>
    <a:custClr name="Electric Blue">
      <a:srgbClr val="1F40E6"/>
    </a:custClr>
    <a:custClr name="Pale Blue">
      <a:srgbClr val="AAE6F0"/>
    </a:custClr>
    <a:custClr name="Turquoise">
      <a:srgbClr val="3C96B4"/>
    </a:custClr>
    <a:custClr name="Pale Electric Blue">
      <a:srgbClr val="AFC3FF"/>
    </a:custClr>
    <a:custClr name="Purple">
      <a:srgbClr val="8C5AC8"/>
    </a:custClr>
    <a:custClr name="Pink">
      <a:srgbClr val="E6A0C8"/>
    </a:custClr>
    <a:custClr name="Red">
      <a:srgbClr val="E5546C"/>
    </a:custClr>
    <a:custClr name="Orange">
      <a:srgbClr val="FAA082"/>
    </a:custClr>
  </a:custClrLst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AFF0C1-AD38-4BE7-B11F-D59325A43D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5</Pages>
  <Words>2129</Words>
  <Characters>11714</Characters>
  <Application>Microsoft Office Word</Application>
  <DocSecurity>0</DocSecurity>
  <Lines>97</Lines>
  <Paragraphs>27</Paragraphs>
  <MMClips>0</MMClips>
  <ScaleCrop>false</ScaleCrop>
  <HeadingPairs>
    <vt:vector size="6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  <vt:variant>
        <vt:lpstr>f</vt:lpstr>
      </vt:variant>
      <vt:variant>
        <vt:i4>1</vt:i4>
      </vt:variant>
    </vt:vector>
  </HeadingPairs>
  <TitlesOfParts>
    <vt:vector size="3" baseType="lpstr">
      <vt:lpstr/>
      <vt:lpstr/>
      <vt:lpstr>Title text</vt:lpstr>
    </vt:vector>
  </TitlesOfParts>
  <Company>PPT/DSI</Company>
  <LinksUpToDate>false</LinksUpToDate>
  <CharactersWithSpaces>13816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revision>6</cp:revision>
  <dcterms:created xsi:type="dcterms:W3CDTF">2021-01-21T15:37:00Z</dcterms:created>
  <dcterms:modified xsi:type="dcterms:W3CDTF">2021-01-21T16:45:00Z</dcterms:modified>
</cp:coreProperties>
</file>