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C7D6FF" w14:textId="77777777" w:rsidR="004F71C4" w:rsidRDefault="004D6519" w:rsidP="004F71C4">
      <w:pPr>
        <w:jc w:val="center"/>
        <w:rPr>
          <w:b/>
          <w:sz w:val="28"/>
          <w:szCs w:val="28"/>
        </w:rPr>
      </w:pPr>
      <w:r w:rsidRPr="00D342F3">
        <w:rPr>
          <w:b/>
          <w:sz w:val="28"/>
          <w:szCs w:val="28"/>
        </w:rPr>
        <w:t>Note sur l’obligation vaccinale, l’interdiction d’exercer et</w:t>
      </w:r>
    </w:p>
    <w:p w14:paraId="088FD1B4" w14:textId="77777777" w:rsidR="004D6519" w:rsidRPr="00D342F3" w:rsidRDefault="004D6519" w:rsidP="004D6519">
      <w:pPr>
        <w:jc w:val="center"/>
        <w:rPr>
          <w:b/>
          <w:sz w:val="28"/>
          <w:szCs w:val="28"/>
        </w:rPr>
      </w:pPr>
      <w:r w:rsidRPr="00D342F3">
        <w:rPr>
          <w:b/>
          <w:sz w:val="28"/>
          <w:szCs w:val="28"/>
        </w:rPr>
        <w:t xml:space="preserve"> </w:t>
      </w:r>
      <w:proofErr w:type="gramStart"/>
      <w:r w:rsidRPr="00D342F3">
        <w:rPr>
          <w:b/>
          <w:sz w:val="28"/>
          <w:szCs w:val="28"/>
        </w:rPr>
        <w:t>le</w:t>
      </w:r>
      <w:proofErr w:type="gramEnd"/>
      <w:r w:rsidRPr="00D342F3">
        <w:rPr>
          <w:b/>
          <w:sz w:val="28"/>
          <w:szCs w:val="28"/>
        </w:rPr>
        <w:t xml:space="preserve"> </w:t>
      </w:r>
      <w:r w:rsidR="004F71C4">
        <w:rPr>
          <w:b/>
          <w:sz w:val="28"/>
          <w:szCs w:val="28"/>
        </w:rPr>
        <w:t xml:space="preserve">rôle des ARS dans le </w:t>
      </w:r>
      <w:r w:rsidRPr="00D342F3">
        <w:rPr>
          <w:b/>
          <w:sz w:val="28"/>
          <w:szCs w:val="28"/>
        </w:rPr>
        <w:t>contrôle du respect de ces obligations.</w:t>
      </w:r>
    </w:p>
    <w:p w14:paraId="106C8A6F" w14:textId="77777777" w:rsidR="00E9728F" w:rsidRDefault="00E9728F" w:rsidP="004D6519">
      <w:pPr>
        <w:jc w:val="both"/>
      </w:pPr>
    </w:p>
    <w:p w14:paraId="2F0785F6" w14:textId="101FB6CA" w:rsidR="00E9728F" w:rsidRPr="00E9728F" w:rsidRDefault="00E9728F" w:rsidP="004D6519">
      <w:pPr>
        <w:jc w:val="both"/>
        <w:rPr>
          <w:i/>
        </w:rPr>
      </w:pPr>
      <w:r w:rsidRPr="00E9728F">
        <w:rPr>
          <w:i/>
        </w:rPr>
        <w:t xml:space="preserve">Cette note a été réalisée en vue du séminaire réuni sous l’égide de la MPIC </w:t>
      </w:r>
      <w:r>
        <w:rPr>
          <w:i/>
        </w:rPr>
        <w:t xml:space="preserve">le 13 janvier 2022 </w:t>
      </w:r>
      <w:r w:rsidRPr="00E9728F">
        <w:rPr>
          <w:i/>
        </w:rPr>
        <w:t>et complété</w:t>
      </w:r>
      <w:r w:rsidR="006F5B3C">
        <w:rPr>
          <w:i/>
        </w:rPr>
        <w:t xml:space="preserve">e </w:t>
      </w:r>
      <w:r w:rsidRPr="00E9728F">
        <w:rPr>
          <w:i/>
        </w:rPr>
        <w:t>à sa suite, en prenant en compte les interrogations exprimées par les ARS</w:t>
      </w:r>
      <w:r w:rsidR="00990274">
        <w:rPr>
          <w:i/>
        </w:rPr>
        <w:t xml:space="preserve"> pour éclairer et sécuriser leur action dans</w:t>
      </w:r>
      <w:r w:rsidR="000955BB">
        <w:rPr>
          <w:i/>
        </w:rPr>
        <w:t xml:space="preserve"> le cadre de l’obligation vaccinale faite aux PSL et de l’interdiction d’exercer résultant de la non</w:t>
      </w:r>
      <w:r w:rsidR="006F5B3C">
        <w:rPr>
          <w:i/>
        </w:rPr>
        <w:t>-</w:t>
      </w:r>
      <w:r w:rsidR="000955BB">
        <w:rPr>
          <w:i/>
        </w:rPr>
        <w:t>observation de cette obligation</w:t>
      </w:r>
      <w:r w:rsidRPr="00E9728F">
        <w:rPr>
          <w:i/>
        </w:rPr>
        <w:t xml:space="preserve">. </w:t>
      </w:r>
      <w:bookmarkStart w:id="0" w:name="_GoBack"/>
      <w:r w:rsidRPr="00CA7E76">
        <w:rPr>
          <w:i/>
          <w:u w:val="single"/>
        </w:rPr>
        <w:t>Elle n’engage que la MPIC</w:t>
      </w:r>
      <w:bookmarkEnd w:id="0"/>
      <w:r>
        <w:rPr>
          <w:i/>
        </w:rPr>
        <w:t>.</w:t>
      </w:r>
    </w:p>
    <w:p w14:paraId="4EAB0CB4" w14:textId="77777777" w:rsidR="004D6519" w:rsidRDefault="004D6519" w:rsidP="004D6519">
      <w:pPr>
        <w:jc w:val="both"/>
      </w:pPr>
      <w:r w:rsidRPr="00D342F3">
        <w:rPr>
          <w:b/>
        </w:rPr>
        <w:t>Sources </w:t>
      </w:r>
      <w:r>
        <w:t>: loi n°2021-1040 du 5 août 2021 ; loi n°2021-1465 du 10 novembre 2021.</w:t>
      </w:r>
    </w:p>
    <w:p w14:paraId="1313232B" w14:textId="2BB42060" w:rsidR="004D6519" w:rsidRDefault="004D6519" w:rsidP="004D6519">
      <w:pPr>
        <w:jc w:val="both"/>
      </w:pPr>
      <w:r>
        <w:t xml:space="preserve">La loi du 5 août 2021, complétée par la loi du 10 novembre 2021, a imposé une obligation vaccinale contre la Covid-19, aux professionnels de santé, y compris ceux exerçant en cabinet libéral. </w:t>
      </w:r>
      <w:r w:rsidR="00990274">
        <w:t xml:space="preserve">La sanction de la violation de l’obligation vaccinale est l’interdiction d’exercer </w:t>
      </w:r>
      <w:r>
        <w:t xml:space="preserve">pour le professionnel en cause. </w:t>
      </w:r>
      <w:r w:rsidR="000B4061">
        <w:t>Il n’y a pas de sanction pénale attachée au non</w:t>
      </w:r>
      <w:r w:rsidR="006F5B3C">
        <w:t>-</w:t>
      </w:r>
      <w:r w:rsidR="000B4061">
        <w:t>respect de l’obligation vaccinale. Au contraire, l</w:t>
      </w:r>
      <w:r w:rsidR="00990274">
        <w:t xml:space="preserve">a violation de l’interdiction d’exercer est sanctionnée pénalement. </w:t>
      </w:r>
      <w:r>
        <w:t>D</w:t>
      </w:r>
      <w:r w:rsidR="00990274">
        <w:t>’autres</w:t>
      </w:r>
      <w:r>
        <w:t xml:space="preserve"> infractions pénales</w:t>
      </w:r>
      <w:r w:rsidR="00990274">
        <w:t xml:space="preserve"> sont</w:t>
      </w:r>
      <w:r w:rsidR="00465BD8">
        <w:t xml:space="preserve"> également</w:t>
      </w:r>
      <w:r w:rsidR="00990274">
        <w:t xml:space="preserve"> instituées</w:t>
      </w:r>
      <w:r w:rsidR="00F21EED">
        <w:t xml:space="preserve"> en lien avec l’obligation vaccinale</w:t>
      </w:r>
      <w:r w:rsidR="00990274">
        <w:t>.</w:t>
      </w:r>
    </w:p>
    <w:p w14:paraId="6038F0ED" w14:textId="77777777" w:rsidR="004D6519" w:rsidRPr="00E221D4" w:rsidRDefault="004D6519" w:rsidP="004D6519">
      <w:pPr>
        <w:jc w:val="both"/>
        <w:rPr>
          <w:b/>
        </w:rPr>
      </w:pPr>
      <w:r w:rsidRPr="00E221D4">
        <w:rPr>
          <w:b/>
        </w:rPr>
        <w:t>Les infractions pénales en lien avec l’obligation vaccinale.</w:t>
      </w:r>
    </w:p>
    <w:p w14:paraId="037F98CE" w14:textId="77777777" w:rsidR="004D6519" w:rsidRDefault="004D6519" w:rsidP="004D6519">
      <w:pPr>
        <w:jc w:val="both"/>
      </w:pPr>
      <w:r>
        <w:t>Plusieurs infractions pénales en lien avec l’obligation vaccinale des PSL sont instaurées.</w:t>
      </w:r>
    </w:p>
    <w:p w14:paraId="5115CF1B" w14:textId="77777777" w:rsidR="004D6519" w:rsidRDefault="004D6519" w:rsidP="004D6519">
      <w:pPr>
        <w:jc w:val="both"/>
      </w:pPr>
      <w:r w:rsidRPr="00F53F43">
        <w:rPr>
          <w:u w:val="single"/>
        </w:rPr>
        <w:t>L</w:t>
      </w:r>
      <w:r>
        <w:rPr>
          <w:u w:val="single"/>
        </w:rPr>
        <w:t xml:space="preserve">es </w:t>
      </w:r>
      <w:r w:rsidRPr="00F53F43">
        <w:rPr>
          <w:u w:val="single"/>
        </w:rPr>
        <w:t>infraction</w:t>
      </w:r>
      <w:r>
        <w:rPr>
          <w:u w:val="single"/>
        </w:rPr>
        <w:t>s</w:t>
      </w:r>
      <w:r w:rsidRPr="00F53F43">
        <w:rPr>
          <w:u w:val="single"/>
        </w:rPr>
        <w:t xml:space="preserve"> de faux et </w:t>
      </w:r>
      <w:r w:rsidR="007048BC">
        <w:rPr>
          <w:u w:val="single"/>
        </w:rPr>
        <w:t>d’</w:t>
      </w:r>
      <w:r w:rsidRPr="00F53F43">
        <w:rPr>
          <w:u w:val="single"/>
        </w:rPr>
        <w:t>usage de faux documents</w:t>
      </w:r>
      <w:r>
        <w:t xml:space="preserve"> fournis pour attester d’une vaccination ou d’une contre-indication au vaccin. Il s’agit d’un délit puni de 3 ans d’emprisonnement et 45 000 € d’amende, selon le régime de droit commun, en matière de faux. Pour les professionnels soumis à l’obligation vaccinale, les peines encourues pour l’usage d’un faux justificatif ont été réduites à 1 an d’emprisonnement et à 45 000 € d’amende par la loi n°2021-1465 du 10 novembre 2021.</w:t>
      </w:r>
    </w:p>
    <w:p w14:paraId="4CB72875" w14:textId="77777777" w:rsidR="004D6519" w:rsidRDefault="004D6519" w:rsidP="004D6519">
      <w:pPr>
        <w:jc w:val="both"/>
      </w:pPr>
      <w:r w:rsidRPr="005C3857">
        <w:rPr>
          <w:u w:val="single"/>
        </w:rPr>
        <w:t>L’infraction de transmission, en vue de son utilisation frauduleuse</w:t>
      </w:r>
      <w:r>
        <w:t xml:space="preserve">, d’un document authentique attestant d’un statut vaccinal ou d’une contre-indication. Cette contravention semble avoir été créée par la même loi du 10 novembre 2021 qui renvoie à l’article L3136-1 du </w:t>
      </w:r>
      <w:r w:rsidR="00F21EED">
        <w:t>code de la santé publique (</w:t>
      </w:r>
      <w:r>
        <w:t>CSP</w:t>
      </w:r>
      <w:r w:rsidR="00F21EED">
        <w:t>)</w:t>
      </w:r>
      <w:r>
        <w:t xml:space="preserve"> pour les pénalités. </w:t>
      </w:r>
    </w:p>
    <w:p w14:paraId="2997EEB1" w14:textId="384AD72C" w:rsidR="007048BC" w:rsidRDefault="004D6519" w:rsidP="004D6519">
      <w:pPr>
        <w:jc w:val="both"/>
      </w:pPr>
      <w:r w:rsidRPr="005C3857">
        <w:rPr>
          <w:u w:val="single"/>
        </w:rPr>
        <w:t>La violation de l’interdiction d’exercer</w:t>
      </w:r>
      <w:r>
        <w:t xml:space="preserve"> : Des sanctions pénales sont prévues par </w:t>
      </w:r>
      <w:r w:rsidRPr="00C87A96">
        <w:rPr>
          <w:b/>
        </w:rPr>
        <w:t>l’article 16</w:t>
      </w:r>
      <w:r>
        <w:t xml:space="preserve"> de la loi du 5 août 2021 en cas de non</w:t>
      </w:r>
      <w:r w:rsidR="006F5B3C">
        <w:t>-</w:t>
      </w:r>
      <w:r>
        <w:t>respect de l’obligation vaccinale des PSL : ce texte renvoie également à l’article L3136-1 du code de la santé publique</w:t>
      </w:r>
      <w:r>
        <w:rPr>
          <w:rStyle w:val="Appelnotedebasdep"/>
        </w:rPr>
        <w:footnoteReference w:id="1"/>
      </w:r>
      <w:r w:rsidR="008F1451">
        <w:t xml:space="preserve"> qui réprime les violations aux restrictions des libertés imposées en cas de menace ou de crises sanitaires graves</w:t>
      </w:r>
      <w:r>
        <w:t xml:space="preserve">. </w:t>
      </w:r>
    </w:p>
    <w:p w14:paraId="44ACBC24" w14:textId="77777777" w:rsidR="004D6519" w:rsidRDefault="004D6519" w:rsidP="004D6519">
      <w:pPr>
        <w:jc w:val="both"/>
      </w:pPr>
      <w:r>
        <w:lastRenderedPageBreak/>
        <w:t xml:space="preserve">La loi punit donc la violation de l’interdiction d’exercer </w:t>
      </w:r>
      <w:r w:rsidR="007048BC">
        <w:t xml:space="preserve">et l’infraction </w:t>
      </w:r>
      <w:r w:rsidR="007048BC" w:rsidRPr="007048BC">
        <w:t>de transmission, en vue de son utilisation frauduleuse</w:t>
      </w:r>
      <w:r w:rsidR="007048BC">
        <w:t xml:space="preserve">, d’un document authentique, </w:t>
      </w:r>
      <w:r>
        <w:t>d’une peine afférente à une contravention de 4</w:t>
      </w:r>
      <w:r w:rsidRPr="00C87A96">
        <w:rPr>
          <w:vertAlign w:val="superscript"/>
        </w:rPr>
        <w:t>ème</w:t>
      </w:r>
      <w:r>
        <w:t xml:space="preserve"> classe (</w:t>
      </w:r>
      <w:r w:rsidR="00766693">
        <w:t xml:space="preserve">135 € amende forfaitaire et </w:t>
      </w:r>
      <w:r>
        <w:t>750 € max-article 131-13 du code pénal</w:t>
      </w:r>
      <w:r w:rsidR="00766693">
        <w:t xml:space="preserve"> et R48-1 </w:t>
      </w:r>
      <w:r w:rsidR="00191091">
        <w:t xml:space="preserve">6° </w:t>
      </w:r>
      <w:r w:rsidR="00766693">
        <w:t>du code de procédure pénale</w:t>
      </w:r>
      <w:r>
        <w:t>), puis d’une peine afférente à un délit pour plus de trois verbalisations dans le délai de 30 jours.</w:t>
      </w:r>
    </w:p>
    <w:p w14:paraId="31BA81A1" w14:textId="77777777" w:rsidR="004D6519" w:rsidRPr="0068704F" w:rsidRDefault="004D6519" w:rsidP="004D6519">
      <w:pPr>
        <w:jc w:val="both"/>
        <w:rPr>
          <w:u w:val="single"/>
        </w:rPr>
      </w:pPr>
      <w:r w:rsidRPr="0068704F">
        <w:rPr>
          <w:b/>
          <w:i/>
          <w:u w:val="single"/>
        </w:rPr>
        <w:t>Observations</w:t>
      </w:r>
      <w:r w:rsidRPr="0068704F">
        <w:rPr>
          <w:u w:val="single"/>
        </w:rPr>
        <w:t xml:space="preserve"> : </w:t>
      </w:r>
    </w:p>
    <w:p w14:paraId="5B0BBB14" w14:textId="77777777" w:rsidR="004D6519" w:rsidRDefault="004D6519" w:rsidP="004D6519">
      <w:pPr>
        <w:jc w:val="both"/>
      </w:pPr>
      <w:r>
        <w:t>- le délit peut être très rapidement consommé</w:t>
      </w:r>
      <w:r w:rsidR="00951960">
        <w:t xml:space="preserve"> concernant l’interdiction d’exercer</w:t>
      </w:r>
      <w:r>
        <w:t xml:space="preserve"> (notamment si chaque acte/patient est considéré comme constituant une infraction) et la condamnation encourue peut très vite être, en conséquence, </w:t>
      </w:r>
      <w:r w:rsidRPr="00C61BD8">
        <w:t>de six mois d'emprisonnement et de 3 750 € d'amende</w:t>
      </w:r>
      <w:r>
        <w:t xml:space="preserve">, outre </w:t>
      </w:r>
      <w:r w:rsidRPr="00C61BD8">
        <w:t>la peine complémentaire de travail d'intérêt général</w:t>
      </w:r>
      <w:r>
        <w:t xml:space="preserve">. Cela témoigne de l’importance de l’enjeu au plan pénal que ne doit pas dissimuler la qualification, au départ, d’une simple contravention. </w:t>
      </w:r>
    </w:p>
    <w:p w14:paraId="6C14D3F1" w14:textId="77777777" w:rsidR="004D6519" w:rsidRDefault="004D6519" w:rsidP="004D6519">
      <w:pPr>
        <w:jc w:val="both"/>
      </w:pPr>
      <w:r>
        <w:t>- Le régime pénal de la violation de l’interdiction d’exercer est cependant moins sévère que celui de l’exercice illégal de la médecine</w:t>
      </w:r>
      <w:r>
        <w:rPr>
          <w:rStyle w:val="Appelnotedebasdep"/>
        </w:rPr>
        <w:footnoteReference w:id="2"/>
      </w:r>
      <w:r>
        <w:t xml:space="preserve"> (et dentiste, sage-femme) prévu aux articles L 4161-1 et suivants du code de la santé publique,  auquel la jurisprudence assimile usuellement le médecin (et le dentiste et la sage-femme) frappé d’une interdiction d’exercer. </w:t>
      </w:r>
      <w:r w:rsidR="00F21EED">
        <w:t>La plus grande</w:t>
      </w:r>
      <w:r>
        <w:t xml:space="preserve"> sévérité </w:t>
      </w:r>
      <w:r w:rsidR="00F21EED">
        <w:t xml:space="preserve">de ce régime </w:t>
      </w:r>
      <w:r>
        <w:t>s’exprime</w:t>
      </w:r>
      <w:r w:rsidR="00951960">
        <w:rPr>
          <w:rStyle w:val="Appelnotedebasdep"/>
        </w:rPr>
        <w:footnoteReference w:id="3"/>
      </w:r>
      <w:r>
        <w:t xml:space="preserve"> aussi bien en ce qui concerne les peines principales</w:t>
      </w:r>
      <w:r w:rsidR="00F21EED">
        <w:t xml:space="preserve"> encourues</w:t>
      </w:r>
      <w:r>
        <w:t xml:space="preserve"> </w:t>
      </w:r>
      <w:r w:rsidR="00951960">
        <w:t>(</w:t>
      </w:r>
      <w:r w:rsidR="00F21EED">
        <w:t xml:space="preserve">2 ans d’emprisonnement et </w:t>
      </w:r>
      <w:r w:rsidR="00951960">
        <w:t xml:space="preserve">30 000 € d’amende) </w:t>
      </w:r>
      <w:r>
        <w:t>que les peines complémentaires </w:t>
      </w:r>
      <w:r w:rsidR="00951960">
        <w:t xml:space="preserve">(affichage de la décision pénale, confiscation de la chose ayant servi à commettre l’infraction, ou provenant de l’infraction, l’interdiction définitive ou une durée de 5 ans au plus d’exercer… ). </w:t>
      </w:r>
      <w:r>
        <w:t>De plus, le fait d’enfreindre cette</w:t>
      </w:r>
      <w:r w:rsidR="00F21EED">
        <w:t xml:space="preserve"> dernière</w:t>
      </w:r>
      <w:r>
        <w:t xml:space="preserve"> interdiction est puni des mêmes peines.</w:t>
      </w:r>
    </w:p>
    <w:p w14:paraId="7613B10B" w14:textId="77777777" w:rsidR="004D6519" w:rsidRDefault="004D6519" w:rsidP="004D6519">
      <w:pPr>
        <w:jc w:val="both"/>
      </w:pPr>
      <w:r>
        <w:t xml:space="preserve">Il convient donc de souligner le fait que les pénalités instaurées par la loi de 2021 </w:t>
      </w:r>
      <w:r w:rsidR="00A236A6">
        <w:t xml:space="preserve">pour la violation de l’interdiction d’exercer </w:t>
      </w:r>
      <w:r>
        <w:t xml:space="preserve">ne renvoient pas </w:t>
      </w:r>
      <w:r w:rsidR="00A236A6">
        <w:t>et</w:t>
      </w:r>
      <w:r>
        <w:t xml:space="preserve"> n’adoptent pas le régime des sanctions plus sévères prévues à l’article L4161-5 du CSP</w:t>
      </w:r>
      <w:r w:rsidR="00F21EED">
        <w:t xml:space="preserve"> pour l’exercice illégal de la médecine</w:t>
      </w:r>
      <w:r>
        <w:t>.</w:t>
      </w:r>
    </w:p>
    <w:p w14:paraId="6C7BF3CC" w14:textId="77777777" w:rsidR="004D6519" w:rsidRPr="000843BA" w:rsidRDefault="004D6519" w:rsidP="004D6519">
      <w:pPr>
        <w:jc w:val="both"/>
        <w:rPr>
          <w:b/>
        </w:rPr>
      </w:pPr>
      <w:r w:rsidRPr="000843BA">
        <w:rPr>
          <w:b/>
        </w:rPr>
        <w:t>Le rôle des ARS :</w:t>
      </w:r>
    </w:p>
    <w:p w14:paraId="6A44BC3D" w14:textId="77777777" w:rsidR="004D6519" w:rsidRPr="00435A85" w:rsidRDefault="004D6519" w:rsidP="004D6519">
      <w:pPr>
        <w:jc w:val="both"/>
        <w:rPr>
          <w:u w:val="single"/>
        </w:rPr>
      </w:pPr>
      <w:r>
        <w:rPr>
          <w:u w:val="single"/>
        </w:rPr>
        <w:t xml:space="preserve">Les possibilités d’action des </w:t>
      </w:r>
      <w:r w:rsidRPr="00435A85">
        <w:rPr>
          <w:u w:val="single"/>
        </w:rPr>
        <w:t>ARS</w:t>
      </w:r>
      <w:r>
        <w:rPr>
          <w:u w:val="single"/>
        </w:rPr>
        <w:t> : la vérification du respect des obligations par les PSL et les suites à donner aux violations constatées :</w:t>
      </w:r>
    </w:p>
    <w:p w14:paraId="69F655FC" w14:textId="5F361B53" w:rsidR="00990274" w:rsidRDefault="004D6519" w:rsidP="004D6519">
      <w:pPr>
        <w:jc w:val="both"/>
      </w:pPr>
      <w:r>
        <w:t xml:space="preserve">La loi du 5 août 2021 désigne expressément les ARS pour </w:t>
      </w:r>
      <w:r w:rsidR="00BC40B1">
        <w:t>« </w:t>
      </w:r>
      <w:r w:rsidR="00990274" w:rsidRPr="00990274">
        <w:rPr>
          <w:u w:val="single"/>
        </w:rPr>
        <w:t>contrôler</w:t>
      </w:r>
      <w:r w:rsidR="00BC40B1">
        <w:rPr>
          <w:u w:val="single"/>
        </w:rPr>
        <w:t> »</w:t>
      </w:r>
      <w:r>
        <w:t xml:space="preserve"> le respect de l’obligation vaccinale par les PSL (ou de la justification d’une contre-indication au vaccin) et, le cas échéant, </w:t>
      </w:r>
      <w:r w:rsidR="00990274">
        <w:t xml:space="preserve">pour </w:t>
      </w:r>
      <w:r w:rsidR="00BC40B1">
        <w:t>« </w:t>
      </w:r>
      <w:r w:rsidR="00990274" w:rsidRPr="00990274">
        <w:rPr>
          <w:u w:val="single"/>
        </w:rPr>
        <w:t>vérifie</w:t>
      </w:r>
      <w:r w:rsidR="00990274">
        <w:t>r</w:t>
      </w:r>
      <w:r w:rsidR="00BC40B1">
        <w:t> »</w:t>
      </w:r>
      <w:r w:rsidR="00990274">
        <w:t xml:space="preserve"> </w:t>
      </w:r>
      <w:r>
        <w:t>le respect de l’interdiction d’exercer résultant de la non</w:t>
      </w:r>
      <w:r w:rsidR="006F5B3C">
        <w:t>-</w:t>
      </w:r>
      <w:r>
        <w:t xml:space="preserve">observance de l’obligation vaccinale. </w:t>
      </w:r>
    </w:p>
    <w:p w14:paraId="2A4D9EFB" w14:textId="77777777" w:rsidR="008C1783" w:rsidRDefault="008C1783" w:rsidP="004D6519">
      <w:pPr>
        <w:jc w:val="both"/>
      </w:pPr>
      <w:r>
        <w:t>C’est donc sous la responsabilité de l’ARS que ce contrôle et cette vérification s’opèrent.</w:t>
      </w:r>
    </w:p>
    <w:p w14:paraId="7ED8D560" w14:textId="77777777" w:rsidR="008C1783" w:rsidRDefault="008C1783" w:rsidP="004D6519">
      <w:pPr>
        <w:jc w:val="both"/>
      </w:pPr>
      <w:r>
        <w:t xml:space="preserve">Le contrôle du respect de l’obligation vaccinale </w:t>
      </w:r>
      <w:r w:rsidR="00F9592E">
        <w:t xml:space="preserve">(dont la violation ne </w:t>
      </w:r>
      <w:r w:rsidR="00500233">
        <w:t xml:space="preserve">constitue pas une infraction pénale) </w:t>
      </w:r>
      <w:r>
        <w:t>peut s’exercer sur pièces, avec le concours des organismes locaux d’assurance maladie, selon les termes de la loi</w:t>
      </w:r>
      <w:r w:rsidR="00F9592E">
        <w:t xml:space="preserve"> </w:t>
      </w:r>
      <w:r w:rsidR="00500233">
        <w:t xml:space="preserve">du 5 août 2021 </w:t>
      </w:r>
      <w:r w:rsidR="00F9592E">
        <w:t>et dans le cadre des articles L1421-1 et suivants et l’article L1435-7 du code de la santé publique</w:t>
      </w:r>
      <w:r>
        <w:t>.</w:t>
      </w:r>
    </w:p>
    <w:p w14:paraId="5F7ECE0B" w14:textId="77777777" w:rsidR="00500233" w:rsidRDefault="008218E9" w:rsidP="004D6519">
      <w:pPr>
        <w:jc w:val="both"/>
      </w:pPr>
      <w:r>
        <w:lastRenderedPageBreak/>
        <w:t>L’ARS</w:t>
      </w:r>
      <w:r w:rsidR="004D6519">
        <w:t xml:space="preserve"> ne peut déléguer cette tâche à un tiers. </w:t>
      </w:r>
      <w:r w:rsidR="00500233">
        <w:t xml:space="preserve">Il en est de même pour </w:t>
      </w:r>
      <w:r>
        <w:t xml:space="preserve">la vérification de </w:t>
      </w:r>
      <w:r w:rsidR="00500233">
        <w:t>l’interdiction d’exercice.</w:t>
      </w:r>
    </w:p>
    <w:p w14:paraId="1EB353BD" w14:textId="038411C2" w:rsidR="004D6519" w:rsidRDefault="004D6519" w:rsidP="004D6519">
      <w:pPr>
        <w:jc w:val="both"/>
      </w:pPr>
      <w:r>
        <w:t>Cela signifie que, le cas échéant, elle doit procéder à un contrôle sur place</w:t>
      </w:r>
      <w:r w:rsidR="008C1783">
        <w:t>, en particulier pour la vérification de l’interdiction d’exercer</w:t>
      </w:r>
      <w:r>
        <w:t xml:space="preserve">. </w:t>
      </w:r>
      <w:r w:rsidRPr="002D1CF2">
        <w:t>Les éléments que l’assurance maladie lui aura éventuellement transmis lui permett</w:t>
      </w:r>
      <w:r w:rsidR="004B67CA" w:rsidRPr="002D1CF2">
        <w:t>ront</w:t>
      </w:r>
      <w:r w:rsidRPr="002D1CF2">
        <w:t xml:space="preserve"> d’orienter ses </w:t>
      </w:r>
      <w:r w:rsidR="00500233" w:rsidRPr="002D1CF2">
        <w:t>vérifications</w:t>
      </w:r>
      <w:r w:rsidR="006F5B3C" w:rsidRPr="002D1CF2">
        <w:t xml:space="preserve">, </w:t>
      </w:r>
      <w:r w:rsidRPr="002D1CF2">
        <w:t>mais il</w:t>
      </w:r>
      <w:r w:rsidR="002D1CF2" w:rsidRPr="002D1CF2">
        <w:t>s ne dispensent pas l’ARS de procéder elle-même à la vérification sur place.</w:t>
      </w:r>
      <w:r>
        <w:t xml:space="preserve"> Ce</w:t>
      </w:r>
      <w:r w:rsidR="00500233">
        <w:t>tte</w:t>
      </w:r>
      <w:r>
        <w:t xml:space="preserve"> </w:t>
      </w:r>
      <w:r w:rsidR="00500233">
        <w:t>vérification</w:t>
      </w:r>
      <w:r>
        <w:t xml:space="preserve"> doit lui permettre de vérifier l’exactitude des informations transmises par l’assurance maladie et la réalité de la violation de l’interdiction d</w:t>
      </w:r>
      <w:r w:rsidR="00500233">
        <w:t>’exercer. Elle</w:t>
      </w:r>
      <w:r>
        <w:t xml:space="preserve"> peut ouvrir la voie à la discussion avec la personne contrôlée. </w:t>
      </w:r>
    </w:p>
    <w:p w14:paraId="60A04809" w14:textId="77777777" w:rsidR="008218E9" w:rsidRPr="00BE4CFB" w:rsidRDefault="008218E9" w:rsidP="004D6519">
      <w:pPr>
        <w:jc w:val="both"/>
        <w:rPr>
          <w:u w:val="single"/>
        </w:rPr>
      </w:pPr>
      <w:r w:rsidRPr="00BE4CFB">
        <w:rPr>
          <w:u w:val="single"/>
        </w:rPr>
        <w:t>Les suites à donner :</w:t>
      </w:r>
    </w:p>
    <w:p w14:paraId="7FF85AF5" w14:textId="77777777" w:rsidR="004D6519" w:rsidRDefault="004D6519" w:rsidP="004D6519">
      <w:pPr>
        <w:jc w:val="both"/>
      </w:pPr>
      <w:r>
        <w:t xml:space="preserve">L’ARS peut signaler au conseil national de l’ordre concerné toute interdiction d’exercer depuis plus de 30 jours </w:t>
      </w:r>
      <w:r w:rsidRPr="000E0517">
        <w:rPr>
          <w:b/>
        </w:rPr>
        <w:t>(article 14 V</w:t>
      </w:r>
      <w:r w:rsidR="00D36F52">
        <w:rPr>
          <w:b/>
        </w:rPr>
        <w:t xml:space="preserve"> loi du 5 août 2021</w:t>
      </w:r>
      <w:r>
        <w:t>).</w:t>
      </w:r>
    </w:p>
    <w:p w14:paraId="75C65319" w14:textId="77777777" w:rsidR="004D6519" w:rsidRDefault="004D6519" w:rsidP="004D6519">
      <w:pPr>
        <w:jc w:val="both"/>
      </w:pPr>
      <w:r>
        <w:t>Elle peut</w:t>
      </w:r>
      <w:r w:rsidR="00D36F52">
        <w:t xml:space="preserve"> également</w:t>
      </w:r>
      <w:r>
        <w:t>, en application de l’article 40 du code de procédure pénale</w:t>
      </w:r>
      <w:r w:rsidR="009215E3">
        <w:t>,</w:t>
      </w:r>
      <w:r>
        <w:t> </w:t>
      </w:r>
      <w:r w:rsidR="00500233">
        <w:t>dénoncer au procureur de la République</w:t>
      </w:r>
      <w:r w:rsidR="007048BC">
        <w:t xml:space="preserve"> </w:t>
      </w:r>
      <w:r>
        <w:t>:</w:t>
      </w:r>
    </w:p>
    <w:p w14:paraId="546EEE13" w14:textId="77777777" w:rsidR="004D6519" w:rsidRDefault="004D6519" w:rsidP="004D6519">
      <w:pPr>
        <w:jc w:val="both"/>
      </w:pPr>
      <w:r>
        <w:t>- les faits d’exercice illégal</w:t>
      </w:r>
      <w:r>
        <w:rPr>
          <w:rStyle w:val="Appelnotedebasdep"/>
        </w:rPr>
        <w:footnoteReference w:id="4"/>
      </w:r>
      <w:r>
        <w:t xml:space="preserve"> ; </w:t>
      </w:r>
    </w:p>
    <w:p w14:paraId="3EB042D1" w14:textId="77777777" w:rsidR="004D6519" w:rsidRDefault="004D6519" w:rsidP="004D6519">
      <w:pPr>
        <w:jc w:val="both"/>
      </w:pPr>
      <w:r>
        <w:t>- les cas de faux et d’usage de faux documents fournis pour attester d’une vaccination ou d’une contre-indication au vaccin, quand ceux-ci lui apparaîtront probables ou flagrants ;</w:t>
      </w:r>
    </w:p>
    <w:p w14:paraId="0B0025B2" w14:textId="77777777" w:rsidR="004D6519" w:rsidRDefault="004D6519" w:rsidP="004D6519">
      <w:pPr>
        <w:jc w:val="both"/>
      </w:pPr>
      <w:r>
        <w:t>- les cas de transmission, en vue de son utilisation frauduleuse, d’un document authentique attestant d’un statut vaccinal ou d’une contre-indication</w:t>
      </w:r>
      <w:r w:rsidR="009215E3">
        <w:t>, infraction créée</w:t>
      </w:r>
      <w:r>
        <w:t xml:space="preserve"> par la même loi du 10 novembre 2021. </w:t>
      </w:r>
    </w:p>
    <w:p w14:paraId="1FB2C202" w14:textId="4DF3BA07" w:rsidR="00D36F52" w:rsidRDefault="00D36F52" w:rsidP="004D6519">
      <w:pPr>
        <w:jc w:val="both"/>
      </w:pPr>
      <w:r>
        <w:t>Dans ce cas, elle transmet au procureur de la République un courrier d’information auquel elle joint l’ensemble des documents et éléments sur lesquels elle se fonde.</w:t>
      </w:r>
    </w:p>
    <w:p w14:paraId="27C97DE0" w14:textId="77777777" w:rsidR="004D6519" w:rsidRPr="004B67CA" w:rsidRDefault="004D6519" w:rsidP="004D6519">
      <w:pPr>
        <w:jc w:val="both"/>
        <w:rPr>
          <w:u w:val="single"/>
        </w:rPr>
      </w:pPr>
      <w:r w:rsidRPr="004B67CA">
        <w:rPr>
          <w:u w:val="single"/>
        </w:rPr>
        <w:t xml:space="preserve">Ce qu’elles ne </w:t>
      </w:r>
      <w:r w:rsidR="005C09B1" w:rsidRPr="004B67CA">
        <w:rPr>
          <w:u w:val="single"/>
        </w:rPr>
        <w:t>semblent pas être habilitées à faire</w:t>
      </w:r>
      <w:r w:rsidRPr="004B67CA">
        <w:rPr>
          <w:u w:val="single"/>
        </w:rPr>
        <w:t xml:space="preserve"> : </w:t>
      </w:r>
    </w:p>
    <w:p w14:paraId="77EEC839" w14:textId="1A346AE6" w:rsidR="004D6519" w:rsidRDefault="004D6519" w:rsidP="004D6519">
      <w:pPr>
        <w:jc w:val="both"/>
      </w:pPr>
      <w:r w:rsidRPr="004B67CA">
        <w:t xml:space="preserve"> - La verbalisation des infractions : il revient aux agents mentionnés à l’article L3136-1 du code de la santé publique de verbaliser l’infraction (poursuite de l’activité professionnelle malgré interdiction). L’article L3136-1 du code de la santé publique vise notamment les agents et les officiers de police judiciaire, la police municipale, etc</w:t>
      </w:r>
      <w:r w:rsidR="003477B2" w:rsidRPr="004B67CA">
        <w:t xml:space="preserve">. </w:t>
      </w:r>
      <w:r w:rsidRPr="004B67CA">
        <w:t xml:space="preserve">Il ne vise pas les agents relevant des articles L1421-1 et L1435-7 du code de la santé publique </w:t>
      </w:r>
      <w:r w:rsidR="000E74C3" w:rsidRPr="004B67CA">
        <w:t xml:space="preserve">alors que </w:t>
      </w:r>
      <w:r w:rsidRPr="004B67CA">
        <w:t>la violation en cause concerne une obligation imposée</w:t>
      </w:r>
      <w:r w:rsidR="000E74C3" w:rsidRPr="004B67CA">
        <w:t xml:space="preserve"> par une loi spéciale liée à</w:t>
      </w:r>
      <w:r w:rsidRPr="004B67CA">
        <w:t xml:space="preserve"> la santé publique.</w:t>
      </w:r>
    </w:p>
    <w:p w14:paraId="1E842859" w14:textId="77777777" w:rsidR="004D6519" w:rsidRDefault="004D6519" w:rsidP="004D6519">
      <w:pPr>
        <w:jc w:val="both"/>
      </w:pPr>
      <w:r>
        <w:t xml:space="preserve">-  Le prononcé de sanctions administratives : </w:t>
      </w:r>
    </w:p>
    <w:tbl>
      <w:tblPr>
        <w:tblStyle w:val="Grilledutableau"/>
        <w:tblW w:w="9152" w:type="dxa"/>
        <w:tblLook w:val="04A0" w:firstRow="1" w:lastRow="0" w:firstColumn="1" w:lastColumn="0" w:noHBand="0" w:noVBand="1"/>
      </w:tblPr>
      <w:tblGrid>
        <w:gridCol w:w="9152"/>
      </w:tblGrid>
      <w:tr w:rsidR="004D6519" w14:paraId="3F192963" w14:textId="77777777" w:rsidTr="00224F4E">
        <w:trPr>
          <w:trHeight w:val="2485"/>
        </w:trPr>
        <w:tc>
          <w:tcPr>
            <w:tcW w:w="9152" w:type="dxa"/>
          </w:tcPr>
          <w:p w14:paraId="4F0C98B3" w14:textId="77777777" w:rsidR="004D6519" w:rsidRDefault="004D6519" w:rsidP="00224F4E">
            <w:pPr>
              <w:jc w:val="both"/>
            </w:pPr>
            <w:r>
              <w:lastRenderedPageBreak/>
              <w:t>Les lois restrictives de libertés, celles qui édictent des sanctions, ainsi que la loi pénale sont d’interprétation stricte.</w:t>
            </w:r>
          </w:p>
          <w:p w14:paraId="314AF7F9" w14:textId="77777777" w:rsidR="004D6519" w:rsidRDefault="004D6519" w:rsidP="00224F4E">
            <w:pPr>
              <w:jc w:val="both"/>
            </w:pPr>
          </w:p>
          <w:p w14:paraId="2417E958" w14:textId="5782F780" w:rsidR="004D6519" w:rsidRDefault="004D6519" w:rsidP="00224F4E">
            <w:pPr>
              <w:jc w:val="both"/>
            </w:pPr>
            <w:r>
              <w:t xml:space="preserve">Or par les lois </w:t>
            </w:r>
            <w:r w:rsidR="00633710">
              <w:t xml:space="preserve">d’août et de novembre </w:t>
            </w:r>
            <w:r>
              <w:t>2021, non seulement, le législateur a opté pour un régime pénal de la violation de l’interdiction d’exercice moins sévère que l’exercice illégal de la médecine, mais encore, il ne semble pas qu’il ait prévu des sanctions autres que pénales</w:t>
            </w:r>
            <w:r>
              <w:rPr>
                <w:rStyle w:val="Appelnotedebasdep"/>
              </w:rPr>
              <w:footnoteReference w:id="5"/>
            </w:r>
            <w:r w:rsidR="00146DB0">
              <w:t xml:space="preserve"> </w:t>
            </w:r>
            <w:r>
              <w:t>à l’égard des professionnels contrevenants</w:t>
            </w:r>
            <w:r w:rsidR="003477B2">
              <w:t xml:space="preserve"> (ce qui exclut les sanctions administratives)</w:t>
            </w:r>
            <w:r>
              <w:t xml:space="preserve">. </w:t>
            </w:r>
          </w:p>
          <w:p w14:paraId="445F9F4C" w14:textId="77777777" w:rsidR="004D6519" w:rsidRDefault="004D6519" w:rsidP="00224F4E">
            <w:pPr>
              <w:jc w:val="both"/>
            </w:pPr>
          </w:p>
          <w:p w14:paraId="236F07A5" w14:textId="65C29649" w:rsidR="004D6519" w:rsidRDefault="004D6519" w:rsidP="00224F4E">
            <w:pPr>
              <w:jc w:val="both"/>
            </w:pPr>
            <w:r>
              <w:t>Pour le Conseil d’</w:t>
            </w:r>
            <w:r w:rsidR="006F5B3C">
              <w:t>É</w:t>
            </w:r>
            <w:r>
              <w:t>tat, la disposition instaurant une interdiction d’exercer ne suscite « aucune observation » (avis du CE du 17 juillet 2021</w:t>
            </w:r>
            <w:r w:rsidR="00633710">
              <w:t xml:space="preserve"> sur le projet de loi </w:t>
            </w:r>
            <w:r>
              <w:t xml:space="preserve">- p : 13 et s) ; l’étude d’impact </w:t>
            </w:r>
            <w:r w:rsidR="00633710">
              <w:t xml:space="preserve">du projet de loi </w:t>
            </w:r>
            <w:r>
              <w:t>(p : 65 à 67)</w:t>
            </w:r>
            <w:r w:rsidR="00991D0E">
              <w:t xml:space="preserve">, </w:t>
            </w:r>
            <w:r>
              <w:t xml:space="preserve">ce même avis du Conseil d’Etat n’évoque pas de conséquences </w:t>
            </w:r>
            <w:r w:rsidR="003C3A85">
              <w:t>administratives liées</w:t>
            </w:r>
            <w:r>
              <w:t xml:space="preserve"> à l’interdiction d’exercice. La décision du Conseil constitutionnel</w:t>
            </w:r>
            <w:r w:rsidR="003C3A85">
              <w:t xml:space="preserve"> sur la loi votée</w:t>
            </w:r>
            <w:r w:rsidR="00917EDF">
              <w:t xml:space="preserve"> du 5 août 2021</w:t>
            </w:r>
            <w:r>
              <w:t xml:space="preserve">, pas davantage. Les documents consultés sur des possibilités de sanctions autres que pénales n’en disent </w:t>
            </w:r>
            <w:r w:rsidR="005D10CD">
              <w:t xml:space="preserve">donc </w:t>
            </w:r>
            <w:r>
              <w:t>rien.</w:t>
            </w:r>
          </w:p>
          <w:p w14:paraId="75850108" w14:textId="77777777" w:rsidR="004D6519" w:rsidRDefault="004D6519" w:rsidP="00224F4E">
            <w:pPr>
              <w:jc w:val="both"/>
            </w:pPr>
          </w:p>
          <w:p w14:paraId="0A8583AD" w14:textId="750C5492" w:rsidR="004D6519" w:rsidRDefault="004D6519" w:rsidP="00224F4E">
            <w:pPr>
              <w:jc w:val="both"/>
            </w:pPr>
            <w:r>
              <w:t xml:space="preserve">L’instruction de la </w:t>
            </w:r>
            <w:proofErr w:type="spellStart"/>
            <w:r>
              <w:t>Task</w:t>
            </w:r>
            <w:proofErr w:type="spellEnd"/>
            <w:r>
              <w:t xml:space="preserve"> Force (p : 22) qui évoque la privation des revenus tirés de l’activité illégale par les PSL contrevenants et les non</w:t>
            </w:r>
            <w:r w:rsidR="006F5B3C">
              <w:t>-</w:t>
            </w:r>
            <w:r>
              <w:t>remboursements de soins des assurés, qui constituent des sanctions très graves, n’en précise pas les bases juridiques.</w:t>
            </w:r>
          </w:p>
        </w:tc>
      </w:tr>
    </w:tbl>
    <w:p w14:paraId="453D5461" w14:textId="77777777" w:rsidR="003477B2" w:rsidRDefault="003477B2" w:rsidP="004D6519">
      <w:pPr>
        <w:jc w:val="both"/>
      </w:pPr>
    </w:p>
    <w:p w14:paraId="5CDAE281" w14:textId="77777777" w:rsidR="004D6519" w:rsidRDefault="004D6519" w:rsidP="004D6519">
      <w:pPr>
        <w:jc w:val="both"/>
      </w:pPr>
      <w:r>
        <w:t>Une grande prudence s’impose donc dans les conséquences à donner à l’interdiction d’exercer instaurée par la loi du 5 août 2021 et en particulier sur les sujets suivants :</w:t>
      </w:r>
    </w:p>
    <w:p w14:paraId="543063D3" w14:textId="77777777" w:rsidR="004D6519" w:rsidRDefault="004D6519" w:rsidP="004D6519">
      <w:pPr>
        <w:jc w:val="both"/>
      </w:pPr>
      <w:r w:rsidRPr="00E570EF">
        <w:rPr>
          <w:u w:val="single"/>
        </w:rPr>
        <w:t>Le remplacement du professionnel interdit</w:t>
      </w:r>
      <w:r>
        <w:t xml:space="preserve"> d’exercice par un professionnel vacciné. </w:t>
      </w:r>
      <w:r w:rsidRPr="0006011F">
        <w:rPr>
          <w:b/>
        </w:rPr>
        <w:t>L’article 14</w:t>
      </w:r>
      <w:r>
        <w:t xml:space="preserve"> de la loi du 5 août 2021 prévoit que « les personnes mentionnées au I de l’article 12 ne peuvent plus exercer leur activité » si elles ne justifient pas de la conformité de leur situation à l’égard de l’obligation vaccinale. Il s’agit d’une sanction liée à la personne : cela ne semble pas interdire le remplacement, sauf s’il existe une disposition spéciale l’interdisant. Le remplacement suppose de payer le remplaçant ce qui constitue déjà un inconvénient impactant le niveau des revenus du praticien interdit d’exercice.</w:t>
      </w:r>
    </w:p>
    <w:p w14:paraId="5F72843F" w14:textId="2D1B4472" w:rsidR="004D6519" w:rsidRDefault="004D6519" w:rsidP="004D6519">
      <w:pPr>
        <w:jc w:val="both"/>
      </w:pPr>
      <w:r w:rsidRPr="00FF5039">
        <w:rPr>
          <w:u w:val="single"/>
        </w:rPr>
        <w:t>La fermeture du cabinet ou de l’officine du PSL interdit d’exercice</w:t>
      </w:r>
      <w:r>
        <w:t>. Elle n’est pas prévue par les lois du 5 août et du 10 novembre 2021. Si un autre texte ne le prévoit pas expressément, la fermeture (du cabinet médical, de la pharmacie…) ne parait pas possible</w:t>
      </w:r>
      <w:r w:rsidRPr="00B14FFE">
        <w:t xml:space="preserve">. </w:t>
      </w:r>
      <w:r w:rsidR="004034DE" w:rsidRPr="00B14FFE">
        <w:t>Les conséquences d’une fermeture sont potentiellement très importantes : pour une officine comportant des salariés, par exemple, manque à gagner, paiement des salaires e</w:t>
      </w:r>
      <w:r w:rsidR="008609E6" w:rsidRPr="00B14FFE">
        <w:t>t des cotisations des salariés…</w:t>
      </w:r>
    </w:p>
    <w:p w14:paraId="4748429F" w14:textId="77777777" w:rsidR="004D6519" w:rsidRDefault="004D6519" w:rsidP="004D6519">
      <w:pPr>
        <w:jc w:val="both"/>
      </w:pPr>
      <w:r>
        <w:t xml:space="preserve">En tout état de cause de telles décisions (de fermeture, interdisant le remplacement notamment) constitueraient des décisions (sanctions) administratives faisant grief et, en conséquence, susceptibles de recours devant le juge administratif. </w:t>
      </w:r>
    </w:p>
    <w:p w14:paraId="3A30B085" w14:textId="4D5EB55C" w:rsidR="004D6519" w:rsidRDefault="004D6519" w:rsidP="004D6519">
      <w:pPr>
        <w:jc w:val="both"/>
      </w:pPr>
      <w:r>
        <w:t xml:space="preserve">Si l’assurance maladie se retire du tiers payant ou réclame aux médecins contrevenants </w:t>
      </w:r>
      <w:r w:rsidRPr="005D10CD">
        <w:rPr>
          <w:u w:val="single"/>
        </w:rPr>
        <w:t>le remboursement des honoraires encaissés par eux pendant la période d’interdiction</w:t>
      </w:r>
      <w:r>
        <w:t xml:space="preserve">, </w:t>
      </w:r>
      <w:r w:rsidR="00991D0E">
        <w:t xml:space="preserve">il lui appartient de </w:t>
      </w:r>
      <w:r>
        <w:t xml:space="preserve">vérifier que les textes l’y autorisent. Il n’est pas recommandé que les ARS, auxquelles </w:t>
      </w:r>
      <w:r w:rsidR="006F5B3C">
        <w:t>l</w:t>
      </w:r>
      <w:r>
        <w:t>a loi demande seulement de vérifier que l’interdiction d’exercer est respectée, se lancent dans cette problématique. En revanche, dans la perspective d’éventuelles poursuites pénales, il apparaît primordial pour les ARS d’entreprendre un contact, même informel avec les parquets compétents.</w:t>
      </w:r>
    </w:p>
    <w:p w14:paraId="78F0A139" w14:textId="77777777" w:rsidR="004D6519" w:rsidRDefault="004D6519" w:rsidP="004D6519">
      <w:pPr>
        <w:jc w:val="both"/>
      </w:pPr>
      <w:r>
        <w:lastRenderedPageBreak/>
        <w:t>Enfin, les informations qui circulent notamment dans les revues professionnelles démontrent le besoin d’informations claires et précises des professionnels de santé exerçant en libéral.</w:t>
      </w:r>
    </w:p>
    <w:tbl>
      <w:tblPr>
        <w:tblStyle w:val="Grilledutableau"/>
        <w:tblW w:w="8911" w:type="dxa"/>
        <w:tblLook w:val="04A0" w:firstRow="1" w:lastRow="0" w:firstColumn="1" w:lastColumn="0" w:noHBand="0" w:noVBand="1"/>
      </w:tblPr>
      <w:tblGrid>
        <w:gridCol w:w="8911"/>
      </w:tblGrid>
      <w:tr w:rsidR="004D6519" w14:paraId="7EF2B4C1" w14:textId="77777777" w:rsidTr="00224F4E">
        <w:trPr>
          <w:trHeight w:val="7667"/>
        </w:trPr>
        <w:tc>
          <w:tcPr>
            <w:tcW w:w="8911" w:type="dxa"/>
          </w:tcPr>
          <w:p w14:paraId="42660FC7" w14:textId="77777777" w:rsidR="004D6519" w:rsidRPr="001231D0" w:rsidRDefault="004D6519" w:rsidP="00224F4E">
            <w:pPr>
              <w:spacing w:before="100" w:beforeAutospacing="1" w:after="100" w:afterAutospacing="1"/>
              <w:rPr>
                <w:rFonts w:ascii="Times New Roman" w:eastAsia="Times New Roman" w:hAnsi="Times New Roman" w:cs="Times New Roman"/>
                <w:b/>
                <w:i/>
                <w:sz w:val="24"/>
                <w:szCs w:val="24"/>
                <w:lang w:eastAsia="fr-FR"/>
              </w:rPr>
            </w:pPr>
            <w:r w:rsidRPr="001231D0">
              <w:rPr>
                <w:rFonts w:ascii="Times New Roman" w:eastAsia="Times New Roman" w:hAnsi="Times New Roman" w:cs="Times New Roman"/>
                <w:b/>
                <w:i/>
                <w:sz w:val="24"/>
                <w:szCs w:val="24"/>
                <w:lang w:eastAsia="fr-FR"/>
              </w:rPr>
              <w:t>Extraits de « Le quotidien du médecin » en ligne depuis plusieurs semaines et encore le 24 janvier 2022</w:t>
            </w:r>
          </w:p>
          <w:p w14:paraId="607819BC" w14:textId="77777777" w:rsidR="004D6519" w:rsidRPr="00E12F3F" w:rsidRDefault="004D6519" w:rsidP="00224F4E">
            <w:pPr>
              <w:spacing w:before="100" w:beforeAutospacing="1" w:after="100" w:afterAutospacing="1"/>
              <w:jc w:val="both"/>
              <w:rPr>
                <w:rFonts w:ascii="Times New Roman" w:eastAsia="Times New Roman" w:hAnsi="Times New Roman" w:cs="Times New Roman"/>
                <w:sz w:val="24"/>
                <w:szCs w:val="24"/>
                <w:lang w:eastAsia="fr-FR"/>
              </w:rPr>
            </w:pPr>
            <w:r w:rsidRPr="00E12F3F">
              <w:rPr>
                <w:rFonts w:ascii="Times New Roman" w:eastAsia="Times New Roman" w:hAnsi="Times New Roman" w:cs="Times New Roman"/>
                <w:sz w:val="24"/>
                <w:szCs w:val="24"/>
                <w:lang w:eastAsia="fr-FR"/>
              </w:rPr>
              <w:t>Quelles conséquences pour les médecins non vaccinés après le 15 septembre ?</w:t>
            </w:r>
            <w:r w:rsidRPr="00E12F3F">
              <w:rPr>
                <w:rFonts w:ascii="Times New Roman" w:eastAsia="Times New Roman" w:hAnsi="Times New Roman" w:cs="Times New Roman"/>
                <w:sz w:val="24"/>
                <w:szCs w:val="24"/>
                <w:lang w:eastAsia="fr-FR"/>
              </w:rPr>
              <w:br/>
              <w:t>La suspension d’exercice se traduira pour les médecins conventionnés par une interruption des remboursements par l’Assurance-maladie des actes pratiqués. Une mesure de dissuasion pour les praticiens non vaccinés tentés de poursuivre leur activité. Ils s’exposent également à des sanctions (voir ci-dessous).</w:t>
            </w:r>
          </w:p>
          <w:p w14:paraId="7A803655" w14:textId="77777777" w:rsidR="004D6519" w:rsidRPr="00E12F3F" w:rsidRDefault="004D6519" w:rsidP="00224F4E">
            <w:pPr>
              <w:spacing w:before="100" w:beforeAutospacing="1" w:after="100" w:afterAutospacing="1"/>
              <w:jc w:val="both"/>
              <w:rPr>
                <w:rFonts w:ascii="Times New Roman" w:eastAsia="Times New Roman" w:hAnsi="Times New Roman" w:cs="Times New Roman"/>
                <w:sz w:val="24"/>
                <w:szCs w:val="24"/>
                <w:lang w:eastAsia="fr-FR"/>
              </w:rPr>
            </w:pPr>
            <w:r w:rsidRPr="00E12F3F">
              <w:rPr>
                <w:rFonts w:ascii="Times New Roman" w:eastAsia="Times New Roman" w:hAnsi="Times New Roman" w:cs="Times New Roman"/>
                <w:sz w:val="24"/>
                <w:szCs w:val="24"/>
                <w:lang w:eastAsia="fr-FR"/>
              </w:rPr>
              <w:t>Que risque un médecin non vacciné qui continuerait à exercer ?</w:t>
            </w:r>
            <w:r w:rsidRPr="00E12F3F">
              <w:rPr>
                <w:rFonts w:ascii="Times New Roman" w:eastAsia="Times New Roman" w:hAnsi="Times New Roman" w:cs="Times New Roman"/>
                <w:sz w:val="24"/>
                <w:szCs w:val="24"/>
                <w:lang w:eastAsia="fr-FR"/>
              </w:rPr>
              <w:br/>
              <w:t xml:space="preserve">La loi dispose que </w:t>
            </w:r>
            <w:r w:rsidRPr="00E12F3F">
              <w:rPr>
                <w:rFonts w:ascii="Times New Roman" w:eastAsia="Times New Roman" w:hAnsi="Times New Roman" w:cs="Times New Roman"/>
                <w:i/>
                <w:iCs/>
                <w:sz w:val="24"/>
                <w:szCs w:val="24"/>
                <w:lang w:eastAsia="fr-FR"/>
              </w:rPr>
              <w:t>« la méconnaissance de l’interdiction d’exercer</w:t>
            </w:r>
            <w:r w:rsidRPr="00E12F3F">
              <w:rPr>
                <w:rFonts w:ascii="Times New Roman" w:eastAsia="Times New Roman" w:hAnsi="Times New Roman" w:cs="Times New Roman"/>
                <w:sz w:val="24"/>
                <w:szCs w:val="24"/>
                <w:lang w:eastAsia="fr-FR"/>
              </w:rPr>
              <w:t xml:space="preserve"> […] </w:t>
            </w:r>
            <w:r w:rsidRPr="00E12F3F">
              <w:rPr>
                <w:rFonts w:ascii="Times New Roman" w:eastAsia="Times New Roman" w:hAnsi="Times New Roman" w:cs="Times New Roman"/>
                <w:i/>
                <w:iCs/>
                <w:sz w:val="24"/>
                <w:szCs w:val="24"/>
                <w:lang w:eastAsia="fr-FR"/>
              </w:rPr>
              <w:t>est sanctionnée dans les mêmes conditions que celles prévues à l’article L3136-1 du code de la santé publique »</w:t>
            </w:r>
            <w:r w:rsidRPr="00E12F3F">
              <w:rPr>
                <w:rFonts w:ascii="Times New Roman" w:eastAsia="Times New Roman" w:hAnsi="Times New Roman" w:cs="Times New Roman"/>
                <w:sz w:val="24"/>
                <w:szCs w:val="24"/>
                <w:lang w:eastAsia="fr-FR"/>
              </w:rPr>
              <w:t>. Les contrevenants s’exposent donc à une amende forfaitaire prévue pour les contraventions de quatrième classe, soit 135 euros (pouvant être minorée à 90 euros ou majorée à 375 euros). Si l’infraction est constatée de nouveau dans les 15 jours, l’amende pénale s’élève alors à 1 500 euros. Si les violations sont relevées à plus de trois reprises dans un délai de trente jours, les faits sont punis de 3 750 euros d’amende, six mois d’emprisonnement et une peine complémentaire de travail d’intérêt général. Les médecins s’exposent également à des sanctions pour non-respect de l’obligation vaccinale (voir ci-dessous).</w:t>
            </w:r>
          </w:p>
          <w:p w14:paraId="23B15072" w14:textId="77777777" w:rsidR="003477B2" w:rsidRDefault="004D6519" w:rsidP="00224F4E">
            <w:pPr>
              <w:spacing w:before="100" w:beforeAutospacing="1" w:after="100" w:afterAutospacing="1"/>
              <w:jc w:val="both"/>
              <w:rPr>
                <w:rFonts w:ascii="Times New Roman" w:eastAsia="Times New Roman" w:hAnsi="Times New Roman" w:cs="Times New Roman"/>
                <w:sz w:val="24"/>
                <w:szCs w:val="24"/>
                <w:lang w:eastAsia="fr-FR"/>
              </w:rPr>
            </w:pPr>
            <w:r w:rsidRPr="00E12F3F">
              <w:rPr>
                <w:rFonts w:ascii="Times New Roman" w:eastAsia="Times New Roman" w:hAnsi="Times New Roman" w:cs="Times New Roman"/>
                <w:sz w:val="24"/>
                <w:szCs w:val="24"/>
                <w:lang w:eastAsia="fr-FR"/>
              </w:rPr>
              <w:t>Quelles sanctions pour non-respect de l'obligation vaccinale ?</w:t>
            </w:r>
          </w:p>
          <w:p w14:paraId="6467D8BD" w14:textId="45607665" w:rsidR="004D6519" w:rsidRDefault="004D6519" w:rsidP="00224F4E">
            <w:pPr>
              <w:spacing w:before="100" w:beforeAutospacing="1" w:after="100" w:afterAutospacing="1"/>
              <w:jc w:val="both"/>
              <w:rPr>
                <w:rFonts w:ascii="Times New Roman" w:eastAsia="Times New Roman" w:hAnsi="Times New Roman" w:cs="Times New Roman"/>
                <w:sz w:val="24"/>
                <w:szCs w:val="24"/>
                <w:lang w:eastAsia="fr-FR"/>
              </w:rPr>
            </w:pPr>
            <w:r w:rsidRPr="00E12F3F">
              <w:rPr>
                <w:rFonts w:ascii="Times New Roman" w:eastAsia="Times New Roman" w:hAnsi="Times New Roman" w:cs="Times New Roman"/>
                <w:sz w:val="24"/>
                <w:szCs w:val="24"/>
                <w:lang w:eastAsia="fr-FR"/>
              </w:rPr>
              <w:t xml:space="preserve">À ce jour, la procédure appliquée en cas de non-respect de l’obligation vaccinale n’est pas arrêtée selon les informations communiquées au « Quotidien » par l’ARS Île-de-France. Le type de sanction dépendra de la situation et aura un </w:t>
            </w:r>
            <w:r w:rsidRPr="00E12F3F">
              <w:rPr>
                <w:rFonts w:ascii="Times New Roman" w:eastAsia="Times New Roman" w:hAnsi="Times New Roman" w:cs="Times New Roman"/>
                <w:i/>
                <w:iCs/>
                <w:sz w:val="24"/>
                <w:szCs w:val="24"/>
                <w:lang w:eastAsia="fr-FR"/>
              </w:rPr>
              <w:t>« caractère progressif »</w:t>
            </w:r>
            <w:r w:rsidRPr="00E12F3F">
              <w:rPr>
                <w:rFonts w:ascii="Times New Roman" w:eastAsia="Times New Roman" w:hAnsi="Times New Roman" w:cs="Times New Roman"/>
                <w:sz w:val="24"/>
                <w:szCs w:val="24"/>
                <w:lang w:eastAsia="fr-FR"/>
              </w:rPr>
              <w:t>, indique l’agence : mises en demeure, interdiction d’exercice, suspension des remboursements… Les contrevenants s’exposent aussi à des sanctions ordinales (voir ci-dessous).</w:t>
            </w:r>
          </w:p>
        </w:tc>
      </w:tr>
    </w:tbl>
    <w:p w14:paraId="400D581C" w14:textId="77777777" w:rsidR="00B373E5" w:rsidRDefault="00E7405E"/>
    <w:sectPr w:rsidR="00B373E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D26C57" w14:textId="77777777" w:rsidR="00E7405E" w:rsidRDefault="00E7405E" w:rsidP="004D6519">
      <w:pPr>
        <w:spacing w:after="0" w:line="240" w:lineRule="auto"/>
      </w:pPr>
      <w:r>
        <w:separator/>
      </w:r>
    </w:p>
  </w:endnote>
  <w:endnote w:type="continuationSeparator" w:id="0">
    <w:p w14:paraId="407DDD5B" w14:textId="77777777" w:rsidR="00E7405E" w:rsidRDefault="00E7405E" w:rsidP="004D65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2351588"/>
      <w:docPartObj>
        <w:docPartGallery w:val="Page Numbers (Bottom of Page)"/>
        <w:docPartUnique/>
      </w:docPartObj>
    </w:sdtPr>
    <w:sdtEndPr/>
    <w:sdtContent>
      <w:p w14:paraId="11CE58D5" w14:textId="70383F83" w:rsidR="00872B30" w:rsidRDefault="00872B30">
        <w:pPr>
          <w:pStyle w:val="Pieddepage"/>
          <w:jc w:val="center"/>
        </w:pPr>
        <w:r>
          <w:fldChar w:fldCharType="begin"/>
        </w:r>
        <w:r>
          <w:instrText>PAGE   \* MERGEFORMAT</w:instrText>
        </w:r>
        <w:r>
          <w:fldChar w:fldCharType="separate"/>
        </w:r>
        <w:r w:rsidR="00CA7E76">
          <w:rPr>
            <w:noProof/>
          </w:rPr>
          <w:t>5</w:t>
        </w:r>
        <w:r>
          <w:fldChar w:fldCharType="end"/>
        </w:r>
      </w:p>
    </w:sdtContent>
  </w:sdt>
  <w:p w14:paraId="34328DA4" w14:textId="77777777" w:rsidR="00872B30" w:rsidRDefault="00872B3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A68A55" w14:textId="77777777" w:rsidR="00E7405E" w:rsidRDefault="00E7405E" w:rsidP="004D6519">
      <w:pPr>
        <w:spacing w:after="0" w:line="240" w:lineRule="auto"/>
      </w:pPr>
      <w:r>
        <w:separator/>
      </w:r>
    </w:p>
  </w:footnote>
  <w:footnote w:type="continuationSeparator" w:id="0">
    <w:p w14:paraId="7F17C225" w14:textId="77777777" w:rsidR="00E7405E" w:rsidRDefault="00E7405E" w:rsidP="004D6519">
      <w:pPr>
        <w:spacing w:after="0" w:line="240" w:lineRule="auto"/>
      </w:pPr>
      <w:r>
        <w:continuationSeparator/>
      </w:r>
    </w:p>
  </w:footnote>
  <w:footnote w:id="1">
    <w:p w14:paraId="65DBBCEF" w14:textId="77777777" w:rsidR="003477B2" w:rsidRDefault="004D6519" w:rsidP="004D6519">
      <w:pPr>
        <w:jc w:val="both"/>
        <w:rPr>
          <w:sz w:val="18"/>
          <w:szCs w:val="18"/>
        </w:rPr>
      </w:pPr>
      <w:r>
        <w:rPr>
          <w:rStyle w:val="Appelnotedebasdep"/>
        </w:rPr>
        <w:footnoteRef/>
      </w:r>
      <w:r>
        <w:t xml:space="preserve"> </w:t>
      </w:r>
      <w:r w:rsidRPr="006D5173">
        <w:rPr>
          <w:sz w:val="18"/>
          <w:szCs w:val="18"/>
        </w:rPr>
        <w:t>Extrait : « ……..La violation des autres interdictions ou obligations édictées en application des articles L. 3131-1 et L. 3131-15 à L. 3131-17 est punie de l'amende prévue pour les contraventions de la quatrième classe, y compris le fait par toute personne de se rendre dans un établissement recevant du public en méconnaissance d'une mesure édictée sur le fondement du 5° du I de l'article L. 3131-15, et de l'amende prévue pour les contraventions de la cinquième classe s'agissant de la violation par l'exploitant d'un établissement recevant du public des mesures édictées sur le fondement du 5° du I de l'article L. 3131-15 et s'agissant de la violation des mesures de mise en quarantaine et des mesures de placement et de maintien en isolement édictées sur le fondement des 3° et 4° du I de ce même article ou des 1° et 2° du I de l'article L. 3131-1 du même code. Cette contravention peut faire l'objet de la procédure de l'amende forfaitaire prévue à l'</w:t>
      </w:r>
      <w:hyperlink r:id="rId1" w:history="1">
        <w:r w:rsidRPr="006D5173">
          <w:rPr>
            <w:color w:val="0000FF"/>
            <w:sz w:val="18"/>
            <w:szCs w:val="18"/>
            <w:u w:val="single"/>
          </w:rPr>
          <w:t>article 529 du code de procédure pénale</w:t>
        </w:r>
      </w:hyperlink>
      <w:r w:rsidRPr="006D5173">
        <w:rPr>
          <w:sz w:val="18"/>
          <w:szCs w:val="18"/>
        </w:rPr>
        <w:t>. Si cette violation est constatée à nouveau dans un délai de quinze jours, l'amende est celle prévue pour les contraventions de la cinquième classe.</w:t>
      </w:r>
    </w:p>
    <w:p w14:paraId="39EC1A1B" w14:textId="008F7B03" w:rsidR="004D6519" w:rsidRDefault="004D6519" w:rsidP="003477B2">
      <w:pPr>
        <w:jc w:val="both"/>
      </w:pPr>
      <w:r w:rsidRPr="006D5173">
        <w:rPr>
          <w:sz w:val="18"/>
          <w:szCs w:val="18"/>
        </w:rPr>
        <w:t>Si [ces violations] sont verbalisées à plus de trois reprises dans un délai de trente jours, les faits sont punis de six mois d'emprisonnement et de 3 750 € d'amende ainsi que de la peine complémentaire de travail d'intérêt général, selon les modalités prévues à l'</w:t>
      </w:r>
      <w:hyperlink r:id="rId2" w:history="1">
        <w:r w:rsidRPr="006D5173">
          <w:rPr>
            <w:color w:val="0000FF"/>
            <w:sz w:val="18"/>
            <w:szCs w:val="18"/>
            <w:u w:val="single"/>
          </w:rPr>
          <w:t>article 131-8 du code pénal</w:t>
        </w:r>
      </w:hyperlink>
      <w:r w:rsidRPr="006D5173">
        <w:rPr>
          <w:sz w:val="18"/>
          <w:szCs w:val="18"/>
        </w:rPr>
        <w:t xml:space="preserve"> et selon les conditions prévues aux articles 131-22 à 131-24 du même code, et de la peine complémentaire de suspension, pour une durée de trois ans au plus, du permis de conduire lorsque l'infraction a été commise à l'aide d'un véhicule ».</w:t>
      </w:r>
    </w:p>
  </w:footnote>
  <w:footnote w:id="2">
    <w:p w14:paraId="31B24C42" w14:textId="77777777" w:rsidR="004D6519" w:rsidRPr="00527DCB" w:rsidRDefault="004D6519" w:rsidP="004D6519">
      <w:pPr>
        <w:pStyle w:val="Notedebasdepage"/>
        <w:jc w:val="both"/>
        <w:rPr>
          <w:sz w:val="18"/>
          <w:szCs w:val="18"/>
        </w:rPr>
      </w:pPr>
      <w:r>
        <w:rPr>
          <w:rStyle w:val="Appelnotedebasdep"/>
        </w:rPr>
        <w:footnoteRef/>
      </w:r>
      <w:r>
        <w:t xml:space="preserve"> </w:t>
      </w:r>
      <w:r w:rsidRPr="00527DCB">
        <w:rPr>
          <w:sz w:val="18"/>
          <w:szCs w:val="18"/>
        </w:rPr>
        <w:t>Exercice illégal de la médecine: une personne ne répondant aux exigences administratives et de diplômes requis par la loi. Selon la jurisprudence, est également dans ce cas le médecin qui tout en étant interdit d’exercice poursuit son activité. Ce médecin commet également une faute déontologique.</w:t>
      </w:r>
    </w:p>
  </w:footnote>
  <w:footnote w:id="3">
    <w:p w14:paraId="202460A3" w14:textId="77777777" w:rsidR="00951960" w:rsidRDefault="00951960">
      <w:pPr>
        <w:pStyle w:val="Notedebasdepage"/>
      </w:pPr>
      <w:r>
        <w:rPr>
          <w:rStyle w:val="Appelnotedebasdep"/>
        </w:rPr>
        <w:footnoteRef/>
      </w:r>
      <w:r>
        <w:t xml:space="preserve"> Article L4161-5 du CSP.</w:t>
      </w:r>
    </w:p>
  </w:footnote>
  <w:footnote w:id="4">
    <w:p w14:paraId="2E9C0CD5" w14:textId="77777777" w:rsidR="004D6519" w:rsidRPr="00677930" w:rsidRDefault="004D6519" w:rsidP="004D6519">
      <w:pPr>
        <w:spacing w:before="100" w:beforeAutospacing="1" w:after="100" w:afterAutospacing="1" w:line="240" w:lineRule="auto"/>
        <w:rPr>
          <w:rFonts w:eastAsia="Times New Roman" w:cstheme="minorHAnsi"/>
          <w:sz w:val="20"/>
          <w:szCs w:val="20"/>
          <w:lang w:eastAsia="fr-FR"/>
        </w:rPr>
      </w:pPr>
      <w:r>
        <w:rPr>
          <w:rStyle w:val="Appelnotedebasdep"/>
        </w:rPr>
        <w:footnoteRef/>
      </w:r>
      <w:r>
        <w:t xml:space="preserve"> </w:t>
      </w:r>
      <w:r w:rsidRPr="00677930">
        <w:rPr>
          <w:rFonts w:cstheme="minorHAnsi"/>
          <w:sz w:val="20"/>
          <w:szCs w:val="20"/>
        </w:rPr>
        <w:t xml:space="preserve">Article 40 du CPP : </w:t>
      </w:r>
      <w:r w:rsidRPr="00677930">
        <w:rPr>
          <w:rFonts w:eastAsia="Times New Roman" w:cstheme="minorHAnsi"/>
          <w:sz w:val="20"/>
          <w:szCs w:val="20"/>
          <w:lang w:eastAsia="fr-FR"/>
        </w:rPr>
        <w:t>Le procureur de la République reçoit les plaintes et les dénonciations et apprécie la suite à leur donner conformément aux dispositions de l'article 40-1.</w:t>
      </w:r>
    </w:p>
    <w:p w14:paraId="33A50306" w14:textId="77777777" w:rsidR="004D6519" w:rsidRDefault="004D6519" w:rsidP="004D6519">
      <w:pPr>
        <w:spacing w:before="100" w:beforeAutospacing="1" w:after="100" w:afterAutospacing="1" w:line="240" w:lineRule="auto"/>
      </w:pPr>
      <w:r w:rsidRPr="00677930">
        <w:rPr>
          <w:rFonts w:eastAsia="Times New Roman" w:cstheme="minorHAnsi"/>
          <w:sz w:val="20"/>
          <w:szCs w:val="20"/>
          <w:lang w:eastAsia="fr-FR"/>
        </w:rPr>
        <w:t>Toute autorité constituée, tout officier public ou fonctionnaire qui, dans l'exercice de ses fonctions, acquiert la connaissance d'un crime ou d'un délit est tenu d'en donner avis sans délai au procureur de la République et de transmettre à ce magistrat tous les renseignements, procès-verbaux et actes qui y sont relatifs.</w:t>
      </w:r>
    </w:p>
  </w:footnote>
  <w:footnote w:id="5">
    <w:p w14:paraId="5C71C722" w14:textId="1CE167E0" w:rsidR="004D6519" w:rsidRPr="00B73DCB" w:rsidRDefault="004D6519" w:rsidP="004D6519">
      <w:pPr>
        <w:jc w:val="both"/>
        <w:rPr>
          <w:sz w:val="18"/>
          <w:szCs w:val="18"/>
        </w:rPr>
      </w:pPr>
      <w:r>
        <w:rPr>
          <w:rStyle w:val="Appelnotedebasdep"/>
        </w:rPr>
        <w:footnoteRef/>
      </w:r>
      <w:r>
        <w:t xml:space="preserve"> </w:t>
      </w:r>
      <w:r w:rsidR="006F5B3C">
        <w:rPr>
          <w:sz w:val="18"/>
          <w:szCs w:val="18"/>
        </w:rPr>
        <w:t>À</w:t>
      </w:r>
      <w:r w:rsidRPr="00B73DCB">
        <w:rPr>
          <w:sz w:val="18"/>
          <w:szCs w:val="18"/>
        </w:rPr>
        <w:t xml:space="preserve"> noter que la loi s’est, au contraire, montrée plus prolixe sur les sanctions professionnelles encourues dans le cadre du contrat de travail des salariés du privé, ou sur la relation de travail avec les agents publics, fonctionnaires ou contractuels (suspension de la relation de travail entrainant la privation du traitement ou du salaire).</w:t>
      </w:r>
    </w:p>
    <w:p w14:paraId="13F147E9" w14:textId="77777777" w:rsidR="004D6519" w:rsidRDefault="004D6519" w:rsidP="004D6519">
      <w:pPr>
        <w:pStyle w:val="Notedebasdepag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519"/>
    <w:rsid w:val="000955BB"/>
    <w:rsid w:val="000B25AA"/>
    <w:rsid w:val="000B4061"/>
    <w:rsid w:val="000E74C3"/>
    <w:rsid w:val="00146DB0"/>
    <w:rsid w:val="00191091"/>
    <w:rsid w:val="0019723B"/>
    <w:rsid w:val="002D1CF2"/>
    <w:rsid w:val="003477B2"/>
    <w:rsid w:val="003669F7"/>
    <w:rsid w:val="003C3A85"/>
    <w:rsid w:val="004034DE"/>
    <w:rsid w:val="00465BD8"/>
    <w:rsid w:val="004B67CA"/>
    <w:rsid w:val="004D6519"/>
    <w:rsid w:val="004F71C4"/>
    <w:rsid w:val="00500233"/>
    <w:rsid w:val="005078D6"/>
    <w:rsid w:val="00524E8E"/>
    <w:rsid w:val="005349F6"/>
    <w:rsid w:val="005C09B1"/>
    <w:rsid w:val="005D10CD"/>
    <w:rsid w:val="00633710"/>
    <w:rsid w:val="006661DA"/>
    <w:rsid w:val="006E0C70"/>
    <w:rsid w:val="006F5B3C"/>
    <w:rsid w:val="007048BC"/>
    <w:rsid w:val="00766693"/>
    <w:rsid w:val="008218E9"/>
    <w:rsid w:val="00834340"/>
    <w:rsid w:val="008609E6"/>
    <w:rsid w:val="00872B30"/>
    <w:rsid w:val="008A3811"/>
    <w:rsid w:val="008C1783"/>
    <w:rsid w:val="008F1451"/>
    <w:rsid w:val="008F3DFC"/>
    <w:rsid w:val="00917EDF"/>
    <w:rsid w:val="009215E3"/>
    <w:rsid w:val="00951960"/>
    <w:rsid w:val="00990274"/>
    <w:rsid w:val="00991D0E"/>
    <w:rsid w:val="00A236A6"/>
    <w:rsid w:val="00B14FFE"/>
    <w:rsid w:val="00BC40B1"/>
    <w:rsid w:val="00BE4CFB"/>
    <w:rsid w:val="00C357D2"/>
    <w:rsid w:val="00C54A97"/>
    <w:rsid w:val="00CA7E76"/>
    <w:rsid w:val="00CC1CD5"/>
    <w:rsid w:val="00D36051"/>
    <w:rsid w:val="00D36F52"/>
    <w:rsid w:val="00E05A2E"/>
    <w:rsid w:val="00E7405E"/>
    <w:rsid w:val="00E76EFF"/>
    <w:rsid w:val="00E9728F"/>
    <w:rsid w:val="00F21EED"/>
    <w:rsid w:val="00F41DFE"/>
    <w:rsid w:val="00F94145"/>
    <w:rsid w:val="00F959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5828E"/>
  <w15:chartTrackingRefBased/>
  <w15:docId w15:val="{0132613B-9D2F-45C1-B3C0-A29D8A2E4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651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4D6519"/>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D6519"/>
    <w:rPr>
      <w:sz w:val="20"/>
      <w:szCs w:val="20"/>
    </w:rPr>
  </w:style>
  <w:style w:type="character" w:styleId="Appelnotedebasdep">
    <w:name w:val="footnote reference"/>
    <w:basedOn w:val="Policepardfaut"/>
    <w:uiPriority w:val="99"/>
    <w:semiHidden/>
    <w:unhideWhenUsed/>
    <w:rsid w:val="004D6519"/>
    <w:rPr>
      <w:vertAlign w:val="superscript"/>
    </w:rPr>
  </w:style>
  <w:style w:type="table" w:styleId="Grilledutableau">
    <w:name w:val="Table Grid"/>
    <w:basedOn w:val="TableauNormal"/>
    <w:uiPriority w:val="39"/>
    <w:rsid w:val="004D6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872B30"/>
    <w:pPr>
      <w:tabs>
        <w:tab w:val="center" w:pos="4536"/>
        <w:tab w:val="right" w:pos="9072"/>
      </w:tabs>
      <w:spacing w:after="0" w:line="240" w:lineRule="auto"/>
    </w:pPr>
  </w:style>
  <w:style w:type="character" w:customStyle="1" w:styleId="En-tteCar">
    <w:name w:val="En-tête Car"/>
    <w:basedOn w:val="Policepardfaut"/>
    <w:link w:val="En-tte"/>
    <w:uiPriority w:val="99"/>
    <w:rsid w:val="00872B30"/>
  </w:style>
  <w:style w:type="paragraph" w:styleId="Pieddepage">
    <w:name w:val="footer"/>
    <w:basedOn w:val="Normal"/>
    <w:link w:val="PieddepageCar"/>
    <w:uiPriority w:val="99"/>
    <w:unhideWhenUsed/>
    <w:rsid w:val="00872B3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72B30"/>
  </w:style>
  <w:style w:type="paragraph" w:styleId="Textedebulles">
    <w:name w:val="Balloon Text"/>
    <w:basedOn w:val="Normal"/>
    <w:link w:val="TextedebullesCar"/>
    <w:uiPriority w:val="99"/>
    <w:semiHidden/>
    <w:unhideWhenUsed/>
    <w:rsid w:val="0019723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9723B"/>
    <w:rPr>
      <w:rFonts w:ascii="Segoe UI" w:hAnsi="Segoe UI" w:cs="Segoe UI"/>
      <w:sz w:val="18"/>
      <w:szCs w:val="18"/>
    </w:rPr>
  </w:style>
  <w:style w:type="character" w:styleId="Marquedecommentaire">
    <w:name w:val="annotation reference"/>
    <w:basedOn w:val="Policepardfaut"/>
    <w:uiPriority w:val="99"/>
    <w:semiHidden/>
    <w:unhideWhenUsed/>
    <w:rsid w:val="0019723B"/>
    <w:rPr>
      <w:sz w:val="16"/>
      <w:szCs w:val="16"/>
    </w:rPr>
  </w:style>
  <w:style w:type="paragraph" w:styleId="Commentaire">
    <w:name w:val="annotation text"/>
    <w:basedOn w:val="Normal"/>
    <w:link w:val="CommentaireCar"/>
    <w:uiPriority w:val="99"/>
    <w:semiHidden/>
    <w:unhideWhenUsed/>
    <w:rsid w:val="0019723B"/>
    <w:pPr>
      <w:spacing w:line="240" w:lineRule="auto"/>
    </w:pPr>
    <w:rPr>
      <w:sz w:val="20"/>
      <w:szCs w:val="20"/>
    </w:rPr>
  </w:style>
  <w:style w:type="character" w:customStyle="1" w:styleId="CommentaireCar">
    <w:name w:val="Commentaire Car"/>
    <w:basedOn w:val="Policepardfaut"/>
    <w:link w:val="Commentaire"/>
    <w:uiPriority w:val="99"/>
    <w:semiHidden/>
    <w:rsid w:val="0019723B"/>
    <w:rPr>
      <w:sz w:val="20"/>
      <w:szCs w:val="20"/>
    </w:rPr>
  </w:style>
  <w:style w:type="paragraph" w:styleId="Objetducommentaire">
    <w:name w:val="annotation subject"/>
    <w:basedOn w:val="Commentaire"/>
    <w:next w:val="Commentaire"/>
    <w:link w:val="ObjetducommentaireCar"/>
    <w:uiPriority w:val="99"/>
    <w:semiHidden/>
    <w:unhideWhenUsed/>
    <w:rsid w:val="0019723B"/>
    <w:rPr>
      <w:b/>
      <w:bCs/>
    </w:rPr>
  </w:style>
  <w:style w:type="character" w:customStyle="1" w:styleId="ObjetducommentaireCar">
    <w:name w:val="Objet du commentaire Car"/>
    <w:basedOn w:val="CommentaireCar"/>
    <w:link w:val="Objetducommentaire"/>
    <w:uiPriority w:val="99"/>
    <w:semiHidden/>
    <w:rsid w:val="0019723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legifrance.gouv.fr/affichCodeArticle.do?cidTexte=LEGITEXT000006070719&amp;idArticle=LEGIARTI000006417241&amp;dateTexte=&amp;categorieLien=cid" TargetMode="External"/><Relationship Id="rId1" Type="http://schemas.openxmlformats.org/officeDocument/2006/relationships/hyperlink" Target="https://www.legifrance.gouv.fr/affichCodeArticle.do?cidTexte=LEGITEXT000006071154&amp;idArticle=LEGIARTI000006576826&amp;dateTexte=&amp;categorieLien=cid"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4A057-ED91-4F59-91A2-E1835C039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2009</Words>
  <Characters>11051</Characters>
  <Application>Microsoft Office Word</Application>
  <DocSecurity>0</DocSecurity>
  <Lines>92</Lines>
  <Paragraphs>26</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OPPELT, Marthe-Elisabeth (IGAS/INSPECTANTS)</dc:creator>
  <cp:keywords/>
  <dc:description/>
  <cp:lastModifiedBy>DE BATZ, Charles (IGAS/INSPECTANTS)</cp:lastModifiedBy>
  <cp:revision>5</cp:revision>
  <dcterms:created xsi:type="dcterms:W3CDTF">2022-01-28T11:05:00Z</dcterms:created>
  <dcterms:modified xsi:type="dcterms:W3CDTF">2022-02-01T20:05:00Z</dcterms:modified>
</cp:coreProperties>
</file>