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67A37" w14:textId="77777777" w:rsidR="00C30F6C" w:rsidRDefault="00072D49">
      <w:r>
        <w:rPr>
          <w:noProof/>
        </w:rPr>
        <w:drawing>
          <wp:anchor distT="0" distB="0" distL="114300" distR="114300" simplePos="0" relativeHeight="251657728" behindDoc="1" locked="0" layoutInCell="1" allowOverlap="1" wp14:anchorId="7DB24CFE" wp14:editId="3C40A68F">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DB5B35" w14:textId="77777777" w:rsidR="00C30F6C" w:rsidRDefault="00C30F6C"/>
    <w:p w14:paraId="4446E82E" w14:textId="77777777" w:rsidR="00C30F6C" w:rsidRDefault="00C30F6C"/>
    <w:p w14:paraId="6F460413" w14:textId="77777777" w:rsidR="00C30F6C" w:rsidRDefault="00C30F6C">
      <w:pPr>
        <w:rPr>
          <w:noProof/>
        </w:rPr>
      </w:pPr>
    </w:p>
    <w:p w14:paraId="6C174529" w14:textId="77777777" w:rsidR="00AC1EE8" w:rsidRDefault="00AC1EE8"/>
    <w:p w14:paraId="53C52443" w14:textId="77777777" w:rsidR="00C30F6C" w:rsidRDefault="00C30F6C"/>
    <w:p w14:paraId="4D0D0D9C" w14:textId="77777777" w:rsidR="00C30F6C" w:rsidRDefault="00C30F6C"/>
    <w:p w14:paraId="08CFE966" w14:textId="77777777" w:rsidR="00C30F6C" w:rsidRDefault="00C30F6C"/>
    <w:p w14:paraId="2B39ABB9" w14:textId="77777777" w:rsidR="00C30F6C" w:rsidRDefault="00C30F6C"/>
    <w:p w14:paraId="5E7D9E7D" w14:textId="77777777" w:rsidR="00C30F6C" w:rsidRDefault="00C30F6C"/>
    <w:p w14:paraId="143609CA" w14:textId="77777777" w:rsidR="00C30F6C" w:rsidRDefault="00C30F6C"/>
    <w:p w14:paraId="78223ED4" w14:textId="77777777" w:rsidR="00C30F6C" w:rsidRDefault="00C30F6C"/>
    <w:p w14:paraId="54D150E9" w14:textId="77777777" w:rsidR="00AC1EE8" w:rsidRDefault="00072D49">
      <w:r>
        <w:rPr>
          <w:noProof/>
        </w:rPr>
        <mc:AlternateContent>
          <mc:Choice Requires="wps">
            <w:drawing>
              <wp:anchor distT="0" distB="0" distL="114300" distR="114300" simplePos="0" relativeHeight="251656704" behindDoc="0" locked="0" layoutInCell="0" allowOverlap="1" wp14:anchorId="17428036" wp14:editId="6D3D5D4C">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D9EA6B"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3C02E41C" w14:textId="46744DB3" w:rsidR="004568FE" w:rsidRPr="00624158" w:rsidRDefault="00BC1372"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NOVEMBRE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24</w:t>
                            </w:r>
                          </w:p>
                          <w:p w14:paraId="55F5ECD3"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428036"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4DD9EA6B"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3C02E41C" w14:textId="46744DB3" w:rsidR="004568FE" w:rsidRPr="00624158" w:rsidRDefault="00BC1372"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NOVEMBRE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24</w:t>
                      </w:r>
                    </w:p>
                    <w:p w14:paraId="55F5ECD3"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7D19EB42" w14:textId="77777777" w:rsidR="00665ACB" w:rsidRDefault="00665ACB" w:rsidP="00AC1EE8">
      <w:pPr>
        <w:pStyle w:val="Default"/>
        <w:jc w:val="both"/>
        <w:rPr>
          <w:color w:val="FF0000"/>
        </w:rPr>
      </w:pPr>
    </w:p>
    <w:p w14:paraId="66634367" w14:textId="77777777" w:rsidR="00665ACB" w:rsidRDefault="00665ACB" w:rsidP="00AC1EE8">
      <w:pPr>
        <w:pStyle w:val="Default"/>
        <w:jc w:val="both"/>
        <w:rPr>
          <w:color w:val="FF0000"/>
        </w:rPr>
      </w:pPr>
    </w:p>
    <w:p w14:paraId="091DAD26" w14:textId="77777777" w:rsidR="00665ACB" w:rsidRDefault="00665ACB" w:rsidP="00AC1EE8">
      <w:pPr>
        <w:pStyle w:val="Default"/>
        <w:jc w:val="both"/>
        <w:rPr>
          <w:color w:val="FF0000"/>
        </w:rPr>
      </w:pPr>
    </w:p>
    <w:p w14:paraId="52883F67" w14:textId="77777777" w:rsidR="00DD6865" w:rsidRDefault="00DD6865" w:rsidP="00AC1EE8">
      <w:pPr>
        <w:pStyle w:val="Default"/>
        <w:jc w:val="both"/>
        <w:rPr>
          <w:color w:val="FF0000"/>
        </w:rPr>
      </w:pPr>
    </w:p>
    <w:p w14:paraId="4FF53FE3" w14:textId="77777777" w:rsidR="00DD6865" w:rsidRDefault="00DD6865" w:rsidP="00AC1EE8">
      <w:pPr>
        <w:pStyle w:val="Default"/>
        <w:jc w:val="both"/>
        <w:rPr>
          <w:color w:val="FF0000"/>
        </w:rPr>
      </w:pPr>
    </w:p>
    <w:p w14:paraId="0EA0CFC5"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663129F6" wp14:editId="0723BE3A">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4F660C"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630ABE03" w14:textId="77777777" w:rsidR="00EC7CB4" w:rsidRDefault="00EC7CB4" w:rsidP="004568FE">
      <w:pPr>
        <w:pStyle w:val="Default"/>
        <w:jc w:val="both"/>
        <w:rPr>
          <w:color w:val="FF0000"/>
        </w:rPr>
      </w:pPr>
    </w:p>
    <w:p w14:paraId="06BCA206" w14:textId="34915838" w:rsidR="00AB46D6" w:rsidRPr="00F24AA7" w:rsidRDefault="00AB46D6" w:rsidP="00AB46D6">
      <w:pPr>
        <w:pStyle w:val="Default"/>
        <w:jc w:val="both"/>
        <w:rPr>
          <w:rStyle w:val="Lienhypertexte"/>
        </w:rPr>
      </w:pPr>
      <w:r>
        <w:rPr>
          <w:rStyle w:val="Lienhypertexte"/>
        </w:rPr>
        <w:fldChar w:fldCharType="begin"/>
      </w:r>
      <w:r>
        <w:rPr>
          <w:rStyle w:val="Lienhypertexte"/>
        </w:rPr>
        <w:instrText>HYPERLINK "https://peps.sante.gouv.fr/themes/labm/labm.html"</w:instrText>
      </w:r>
      <w:r>
        <w:rPr>
          <w:rStyle w:val="Lienhypertexte"/>
        </w:rPr>
      </w:r>
      <w:r>
        <w:rPr>
          <w:rStyle w:val="Lienhypertexte"/>
        </w:rPr>
        <w:fldChar w:fldCharType="separate"/>
      </w:r>
      <w:r>
        <w:rPr>
          <w:rStyle w:val="Lienhypertexte"/>
        </w:rPr>
        <w:t>LBM</w:t>
      </w:r>
    </w:p>
    <w:p w14:paraId="0DA08185" w14:textId="54B385C8" w:rsidR="00AB46D6" w:rsidRDefault="00AB46D6" w:rsidP="00AB46D6">
      <w:pPr>
        <w:pStyle w:val="Default"/>
        <w:jc w:val="both"/>
        <w:rPr>
          <w:color w:val="538135"/>
          <w:sz w:val="20"/>
        </w:rPr>
      </w:pPr>
      <w:r>
        <w:rPr>
          <w:rStyle w:val="Lienhypertexte"/>
        </w:rPr>
        <w:fldChar w:fldCharType="end"/>
      </w:r>
      <w:r>
        <w:rPr>
          <w:color w:val="538135"/>
          <w:sz w:val="20"/>
        </w:rPr>
        <w:t xml:space="preserve">- </w:t>
      </w:r>
      <w:r w:rsidRPr="00AB46D6">
        <w:rPr>
          <w:color w:val="538135"/>
          <w:sz w:val="20"/>
        </w:rPr>
        <w:t>Courrier de la Direction Générale de l’Offre de Soins du 22 octobre 2024 concernant les compétences des techniciens de laboratoire de biologie médicale (TLM) en matière de prélèvements nasopharyngés, oropharyngés, salivaires ou nasaux</w:t>
      </w:r>
      <w:r>
        <w:rPr>
          <w:color w:val="538135"/>
          <w:sz w:val="20"/>
        </w:rPr>
        <w:t>.</w:t>
      </w:r>
    </w:p>
    <w:p w14:paraId="61958DC7" w14:textId="77777777" w:rsidR="00AB46D6" w:rsidRDefault="00AB46D6" w:rsidP="00AB46D6">
      <w:pPr>
        <w:pStyle w:val="Default"/>
        <w:jc w:val="both"/>
        <w:rPr>
          <w:color w:val="FF0000"/>
        </w:rPr>
      </w:pPr>
    </w:p>
    <w:p w14:paraId="77D55D14" w14:textId="6DB7EB4F" w:rsidR="00AB46D6" w:rsidRPr="00F24AA7" w:rsidRDefault="00AB46D6" w:rsidP="00AB46D6">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Pr>
          <w:rStyle w:val="Lienhypertexte"/>
        </w:rPr>
        <w:t>Prise en charge des addictions</w:t>
      </w:r>
    </w:p>
    <w:p w14:paraId="5993E13B" w14:textId="77777777" w:rsidR="00AB46D6" w:rsidRPr="00AB46D6" w:rsidRDefault="00AB46D6" w:rsidP="00AB46D6">
      <w:pPr>
        <w:pStyle w:val="Default"/>
        <w:jc w:val="both"/>
        <w:rPr>
          <w:color w:val="538135"/>
          <w:sz w:val="20"/>
        </w:rPr>
      </w:pPr>
      <w:r>
        <w:rPr>
          <w:rStyle w:val="Lienhypertexte"/>
        </w:rPr>
        <w:fldChar w:fldCharType="end"/>
      </w:r>
      <w:r>
        <w:rPr>
          <w:color w:val="538135"/>
          <w:sz w:val="20"/>
        </w:rPr>
        <w:t xml:space="preserve">- </w:t>
      </w:r>
      <w:r w:rsidRPr="00AB46D6">
        <w:rPr>
          <w:color w:val="538135"/>
          <w:sz w:val="20"/>
        </w:rPr>
        <w:t xml:space="preserve">« Aller vers les </w:t>
      </w:r>
      <w:proofErr w:type="spellStart"/>
      <w:r w:rsidRPr="00AB46D6">
        <w:rPr>
          <w:color w:val="538135"/>
          <w:sz w:val="20"/>
        </w:rPr>
        <w:t>chemsexeurs</w:t>
      </w:r>
      <w:proofErr w:type="spellEnd"/>
      <w:r w:rsidRPr="00AB46D6">
        <w:rPr>
          <w:color w:val="538135"/>
          <w:sz w:val="20"/>
        </w:rPr>
        <w:t xml:space="preserve"> » : un guide pour accueillir, prévenir et orienter (federationaddiction.fr, 06/11/2024).</w:t>
      </w:r>
    </w:p>
    <w:p w14:paraId="4F60CACA" w14:textId="19347CE3" w:rsidR="00AB46D6" w:rsidRDefault="00AB46D6" w:rsidP="00AB46D6">
      <w:pPr>
        <w:pStyle w:val="Default"/>
        <w:jc w:val="both"/>
        <w:rPr>
          <w:color w:val="538135"/>
          <w:sz w:val="20"/>
        </w:rPr>
      </w:pPr>
      <w:r w:rsidRPr="00AB46D6">
        <w:rPr>
          <w:color w:val="538135"/>
          <w:sz w:val="20"/>
        </w:rPr>
        <w:t xml:space="preserve">La Fédération Addiction et AIDES publient ce 6 novembre 2024 le guide « Aller vers les </w:t>
      </w:r>
      <w:proofErr w:type="spellStart"/>
      <w:r w:rsidRPr="00AB46D6">
        <w:rPr>
          <w:color w:val="538135"/>
          <w:sz w:val="20"/>
        </w:rPr>
        <w:t>chemsexeurs</w:t>
      </w:r>
      <w:proofErr w:type="spellEnd"/>
      <w:r w:rsidRPr="00AB46D6">
        <w:rPr>
          <w:color w:val="538135"/>
          <w:sz w:val="20"/>
        </w:rPr>
        <w:t xml:space="preserve"> ». Construit sur la base des expérimentations du projet ARPA-</w:t>
      </w:r>
      <w:proofErr w:type="spellStart"/>
      <w:r w:rsidRPr="00AB46D6">
        <w:rPr>
          <w:color w:val="538135"/>
          <w:sz w:val="20"/>
        </w:rPr>
        <w:t>Chemsex</w:t>
      </w:r>
      <w:proofErr w:type="spellEnd"/>
      <w:r w:rsidRPr="00AB46D6">
        <w:rPr>
          <w:color w:val="538135"/>
          <w:sz w:val="20"/>
        </w:rPr>
        <w:t xml:space="preserve">, des besoins exprimés par les </w:t>
      </w:r>
      <w:proofErr w:type="spellStart"/>
      <w:r w:rsidRPr="00AB46D6">
        <w:rPr>
          <w:color w:val="538135"/>
          <w:sz w:val="20"/>
        </w:rPr>
        <w:t>chemsexeurs</w:t>
      </w:r>
      <w:proofErr w:type="spellEnd"/>
      <w:r w:rsidRPr="00AB46D6">
        <w:rPr>
          <w:color w:val="538135"/>
          <w:sz w:val="20"/>
        </w:rPr>
        <w:t xml:space="preserve"> et des réponses initiées par les sites pilotes, ce guide doit permettre aux intervenants en santé sexuelle, prévention, réduction des risques et soins de mettre en place des offres pour accueillir les </w:t>
      </w:r>
      <w:proofErr w:type="spellStart"/>
      <w:r w:rsidRPr="00AB46D6">
        <w:rPr>
          <w:color w:val="538135"/>
          <w:sz w:val="20"/>
        </w:rPr>
        <w:t>chemsexeurs</w:t>
      </w:r>
      <w:proofErr w:type="spellEnd"/>
      <w:r w:rsidRPr="00AB46D6">
        <w:rPr>
          <w:color w:val="538135"/>
          <w:sz w:val="20"/>
        </w:rPr>
        <w:t xml:space="preserve"> dans les meilleures conditions</w:t>
      </w:r>
      <w:r>
        <w:rPr>
          <w:color w:val="538135"/>
          <w:sz w:val="20"/>
        </w:rPr>
        <w:t>.</w:t>
      </w:r>
    </w:p>
    <w:p w14:paraId="73893FDF" w14:textId="77777777" w:rsidR="00AB46D6" w:rsidRPr="00AB46D6" w:rsidRDefault="00AB46D6" w:rsidP="00AB46D6">
      <w:pPr>
        <w:pStyle w:val="Default"/>
        <w:jc w:val="both"/>
        <w:rPr>
          <w:color w:val="538135"/>
          <w:sz w:val="20"/>
        </w:rPr>
      </w:pPr>
      <w:r>
        <w:rPr>
          <w:color w:val="538135"/>
          <w:sz w:val="20"/>
        </w:rPr>
        <w:t xml:space="preserve">- </w:t>
      </w:r>
      <w:r w:rsidRPr="00AB46D6">
        <w:rPr>
          <w:color w:val="538135"/>
          <w:sz w:val="20"/>
        </w:rPr>
        <w:t>L’essentiel sur… Drogues et environnement (MILDECA, 06/11/2024).</w:t>
      </w:r>
    </w:p>
    <w:p w14:paraId="73645029" w14:textId="77777777" w:rsidR="00AB46D6" w:rsidRPr="00AB46D6" w:rsidRDefault="00AB46D6" w:rsidP="00AB46D6">
      <w:pPr>
        <w:pStyle w:val="Default"/>
        <w:jc w:val="both"/>
        <w:rPr>
          <w:color w:val="538135"/>
          <w:sz w:val="20"/>
        </w:rPr>
      </w:pPr>
      <w:r w:rsidRPr="00AB46D6">
        <w:rPr>
          <w:color w:val="538135"/>
          <w:sz w:val="20"/>
        </w:rPr>
        <w:t>Si l’impact des drogues sur l’environnement demeure relativement méconnu, les études existantes pointent des effets désastreux et souvent irrémédiables.</w:t>
      </w:r>
    </w:p>
    <w:p w14:paraId="02E89B3F" w14:textId="6A64225D" w:rsidR="00AB46D6" w:rsidRDefault="00AB46D6" w:rsidP="00AB46D6">
      <w:pPr>
        <w:pStyle w:val="Default"/>
        <w:jc w:val="both"/>
        <w:rPr>
          <w:color w:val="538135"/>
          <w:sz w:val="20"/>
        </w:rPr>
      </w:pPr>
      <w:r w:rsidRPr="00AB46D6">
        <w:rPr>
          <w:color w:val="538135"/>
          <w:sz w:val="20"/>
        </w:rPr>
        <w:t>Depuis quelques années, la France s’est engagée sur ce thème qui figure dans la Stratégie interministérielle de mobilisation contre les conduites addictives 2023-2027. En particulier, les enjeux environnementaux liés à la production, à l’acheminement et à la distribution des drogues, licites et illicites, méritent d’être soulignés dans les messages de prévention</w:t>
      </w:r>
    </w:p>
    <w:p w14:paraId="4F509168" w14:textId="77777777" w:rsidR="00AB46D6" w:rsidRDefault="00AB46D6" w:rsidP="00AB46D6">
      <w:pPr>
        <w:pStyle w:val="Default"/>
        <w:jc w:val="both"/>
        <w:rPr>
          <w:color w:val="FF0000"/>
        </w:rPr>
      </w:pPr>
    </w:p>
    <w:p w14:paraId="16C026AD" w14:textId="77777777" w:rsidR="004568FE" w:rsidRPr="00ED2E7C" w:rsidRDefault="00C53717" w:rsidP="004568FE">
      <w:pPr>
        <w:pStyle w:val="Default"/>
        <w:jc w:val="both"/>
        <w:rPr>
          <w:color w:val="FF0000"/>
        </w:rPr>
      </w:pPr>
      <w:hyperlink r:id="rId9" w:history="1">
        <w:r w:rsidR="00F27632" w:rsidRPr="00117BB3">
          <w:rPr>
            <w:rStyle w:val="Lienhypertexte"/>
          </w:rPr>
          <w:t>Substances vénéneuses</w:t>
        </w:r>
      </w:hyperlink>
    </w:p>
    <w:p w14:paraId="4ED686E1" w14:textId="495066A3" w:rsidR="00C53717" w:rsidRPr="00C53717" w:rsidRDefault="00C53717" w:rsidP="00C53717">
      <w:pPr>
        <w:pStyle w:val="Default"/>
        <w:jc w:val="both"/>
        <w:rPr>
          <w:color w:val="538135"/>
          <w:sz w:val="20"/>
        </w:rPr>
      </w:pPr>
      <w:r>
        <w:rPr>
          <w:color w:val="538135"/>
          <w:sz w:val="20"/>
        </w:rPr>
        <w:t xml:space="preserve">- </w:t>
      </w:r>
      <w:hyperlink r:id="rId10" w:anchor="stupinterdits" w:history="1">
        <w:r w:rsidRPr="00C53717">
          <w:rPr>
            <w:color w:val="538135"/>
            <w:sz w:val="20"/>
          </w:rPr>
          <w:t>Décision d’exécution (UE) 2024/2797 de la commission du 31 octobre 2024 relative à l’autorisation provisoire de la mesure prise par la République française en ce qui concerne l’étiquetage des produits contenant uniquement du protoxyde d’azote (autorisation pour 36 mois à partir du 05/11/2024, soit jusqu'au 05/05/2027)</w:t>
        </w:r>
      </w:hyperlink>
      <w:r w:rsidRPr="00C53717">
        <w:rPr>
          <w:color w:val="538135"/>
          <w:sz w:val="20"/>
        </w:rPr>
        <w:t>.</w:t>
      </w:r>
    </w:p>
    <w:p w14:paraId="17015502" w14:textId="100018AC" w:rsidR="00C53717" w:rsidRPr="00C53717" w:rsidRDefault="00C53717" w:rsidP="00C53717">
      <w:pPr>
        <w:pStyle w:val="Default"/>
        <w:jc w:val="both"/>
        <w:rPr>
          <w:color w:val="538135"/>
          <w:sz w:val="20"/>
        </w:rPr>
      </w:pPr>
      <w:r>
        <w:rPr>
          <w:color w:val="538135"/>
          <w:sz w:val="20"/>
        </w:rPr>
        <w:t xml:space="preserve">- </w:t>
      </w:r>
      <w:hyperlink r:id="rId11" w:anchor="svclassement" w:history="1">
        <w:r w:rsidRPr="00C53717">
          <w:rPr>
            <w:color w:val="538135"/>
            <w:sz w:val="20"/>
          </w:rPr>
          <w:t>Décision ANSM du 27/11/2024 modifiant la décision du 24/09/2024 portant inscription sur les listes I et II des substances vénéneuses définies à l’article L.5132-6 du code de la santé publique (passage de la codéine sous forme sirop de la liste II à la liste I des substances vénéneuses reporté du 01/12/2024 au 01/03/2025)</w:t>
        </w:r>
      </w:hyperlink>
      <w:r w:rsidRPr="00C53717">
        <w:rPr>
          <w:color w:val="538135"/>
          <w:sz w:val="20"/>
        </w:rPr>
        <w:t>.</w:t>
      </w:r>
    </w:p>
    <w:p w14:paraId="2926FD74" w14:textId="4C5AA5A4" w:rsidR="00C53717" w:rsidRPr="00C53717" w:rsidRDefault="00C53717" w:rsidP="00C53717">
      <w:pPr>
        <w:pStyle w:val="Default"/>
        <w:jc w:val="both"/>
        <w:rPr>
          <w:color w:val="538135"/>
          <w:sz w:val="20"/>
        </w:rPr>
      </w:pPr>
      <w:r>
        <w:rPr>
          <w:color w:val="538135"/>
          <w:sz w:val="20"/>
        </w:rPr>
        <w:t xml:space="preserve">- </w:t>
      </w:r>
      <w:hyperlink r:id="rId12" w:anchor="stupprescription" w:history="1">
        <w:proofErr w:type="spellStart"/>
        <w:r w:rsidRPr="00C53717">
          <w:rPr>
            <w:color w:val="538135"/>
            <w:sz w:val="20"/>
          </w:rPr>
          <w:t>Tramadol</w:t>
        </w:r>
        <w:proofErr w:type="spellEnd"/>
        <w:r w:rsidRPr="00C53717">
          <w:rPr>
            <w:color w:val="538135"/>
            <w:sz w:val="20"/>
          </w:rPr>
          <w:t xml:space="preserve"> et codéine devront être prescrits sur une ordonnance sécurisée dès le 1er décembre (ANSM, actualisation du 25/11/2024).</w:t>
        </w:r>
        <w:r>
          <w:rPr>
            <w:color w:val="538135"/>
            <w:sz w:val="20"/>
          </w:rPr>
          <w:t xml:space="preserve"> </w:t>
        </w:r>
        <w:r w:rsidRPr="00C53717">
          <w:rPr>
            <w:color w:val="538135"/>
            <w:sz w:val="20"/>
          </w:rPr>
          <w:t xml:space="preserve">L’obligation de prescrire sur ordonnance sécurisée les médicaments contenant du </w:t>
        </w:r>
        <w:proofErr w:type="spellStart"/>
        <w:r w:rsidRPr="00C53717">
          <w:rPr>
            <w:color w:val="538135"/>
            <w:sz w:val="20"/>
          </w:rPr>
          <w:t>tramadol</w:t>
        </w:r>
        <w:proofErr w:type="spellEnd"/>
        <w:r w:rsidRPr="00C53717">
          <w:rPr>
            <w:color w:val="538135"/>
            <w:sz w:val="20"/>
          </w:rPr>
          <w:t xml:space="preserve">, de la codéine ou de la </w:t>
        </w:r>
        <w:proofErr w:type="spellStart"/>
        <w:r w:rsidRPr="00C53717">
          <w:rPr>
            <w:color w:val="538135"/>
            <w:sz w:val="20"/>
          </w:rPr>
          <w:t>dihydrocodéine</w:t>
        </w:r>
        <w:proofErr w:type="spellEnd"/>
        <w:r w:rsidRPr="00C53717">
          <w:rPr>
            <w:color w:val="538135"/>
            <w:sz w:val="20"/>
          </w:rPr>
          <w:t xml:space="preserve"> est reportée du 1er décembre 2024 au 1er mars 2025. La réduction de la durée maximale de prescription des médicaments contenant de la codéine ou de la </w:t>
        </w:r>
        <w:proofErr w:type="spellStart"/>
        <w:r w:rsidRPr="00C53717">
          <w:rPr>
            <w:color w:val="538135"/>
            <w:sz w:val="20"/>
          </w:rPr>
          <w:t>dihydrocodéine</w:t>
        </w:r>
        <w:proofErr w:type="spellEnd"/>
        <w:r w:rsidRPr="00C53717">
          <w:rPr>
            <w:color w:val="538135"/>
            <w:sz w:val="20"/>
          </w:rPr>
          <w:t xml:space="preserve"> à 12 semaines est également différée au 1er mars 2025</w:t>
        </w:r>
      </w:hyperlink>
      <w:r w:rsidRPr="00C53717">
        <w:rPr>
          <w:color w:val="538135"/>
          <w:sz w:val="20"/>
        </w:rPr>
        <w:t xml:space="preserve">. NB : à ce jour, l'article 5 du décret n° 2023-1222 du 20 décembre 2023 </w:t>
      </w:r>
      <w:r w:rsidRPr="00C53717">
        <w:rPr>
          <w:i/>
          <w:iCs/>
          <w:color w:val="538135"/>
          <w:sz w:val="20"/>
        </w:rPr>
        <w:t>relatif à la prescription électronique</w:t>
      </w:r>
      <w:r w:rsidRPr="00C53717">
        <w:rPr>
          <w:color w:val="538135"/>
          <w:sz w:val="20"/>
        </w:rPr>
        <w:t xml:space="preserve"> n'a pas encore été modifié en ce sens.</w:t>
      </w:r>
    </w:p>
    <w:p w14:paraId="57D608CE" w14:textId="01782E2F" w:rsidR="00C53717" w:rsidRPr="00C53717" w:rsidRDefault="00C53717" w:rsidP="00C53717">
      <w:pPr>
        <w:pStyle w:val="Default"/>
        <w:jc w:val="both"/>
        <w:rPr>
          <w:color w:val="538135"/>
          <w:sz w:val="20"/>
        </w:rPr>
      </w:pPr>
      <w:r>
        <w:rPr>
          <w:color w:val="538135"/>
          <w:sz w:val="20"/>
        </w:rPr>
        <w:lastRenderedPageBreak/>
        <w:t xml:space="preserve">- </w:t>
      </w:r>
      <w:hyperlink r:id="rId13" w:anchor="stupprescription" w:history="1">
        <w:r w:rsidRPr="00C53717">
          <w:rPr>
            <w:color w:val="538135"/>
            <w:sz w:val="20"/>
          </w:rPr>
          <w:t xml:space="preserve">Report des modifications de prescription / délivrance du </w:t>
        </w:r>
        <w:proofErr w:type="spellStart"/>
        <w:r w:rsidRPr="00C53717">
          <w:rPr>
            <w:color w:val="538135"/>
            <w:sz w:val="20"/>
          </w:rPr>
          <w:t>tramadol</w:t>
        </w:r>
        <w:proofErr w:type="spellEnd"/>
        <w:r w:rsidRPr="00C53717">
          <w:rPr>
            <w:color w:val="538135"/>
            <w:sz w:val="20"/>
          </w:rPr>
          <w:t xml:space="preserve"> et codéine au 1er mars 2025 (CNOP, 25/11/2024).</w:t>
        </w:r>
        <w:r w:rsidRPr="00C53717">
          <w:rPr>
            <w:color w:val="538135"/>
            <w:sz w:val="20"/>
          </w:rPr>
          <w:br/>
          <w:t xml:space="preserve">Actualisation du 25/11/2024 - L’obligation de prescrire sur ordonnance sécurisée les médicaments contenant du </w:t>
        </w:r>
        <w:proofErr w:type="spellStart"/>
        <w:r w:rsidRPr="00C53717">
          <w:rPr>
            <w:color w:val="538135"/>
            <w:sz w:val="20"/>
          </w:rPr>
          <w:t>tramadol</w:t>
        </w:r>
        <w:proofErr w:type="spellEnd"/>
        <w:r w:rsidRPr="00C53717">
          <w:rPr>
            <w:color w:val="538135"/>
            <w:sz w:val="20"/>
          </w:rPr>
          <w:t xml:space="preserve">, de la codéine ou de la </w:t>
        </w:r>
        <w:proofErr w:type="spellStart"/>
        <w:r w:rsidRPr="00C53717">
          <w:rPr>
            <w:color w:val="538135"/>
            <w:sz w:val="20"/>
          </w:rPr>
          <w:t>dihydrocodéine</w:t>
        </w:r>
        <w:proofErr w:type="spellEnd"/>
        <w:r w:rsidRPr="00C53717">
          <w:rPr>
            <w:color w:val="538135"/>
            <w:sz w:val="20"/>
          </w:rPr>
          <w:t xml:space="preserve"> est reportée du 1er décembre 2024 au 1er mars 2025. La réduction de la durée maximale de prescription des médicaments contenant de la codéine ou de la </w:t>
        </w:r>
        <w:proofErr w:type="spellStart"/>
        <w:r w:rsidRPr="00C53717">
          <w:rPr>
            <w:color w:val="538135"/>
            <w:sz w:val="20"/>
          </w:rPr>
          <w:t>dihydrocodéine</w:t>
        </w:r>
        <w:proofErr w:type="spellEnd"/>
        <w:r w:rsidRPr="00C53717">
          <w:rPr>
            <w:color w:val="538135"/>
            <w:sz w:val="20"/>
          </w:rPr>
          <w:t xml:space="preserve"> à 12 semaines est également différée au 1er mars 2025</w:t>
        </w:r>
      </w:hyperlink>
      <w:r w:rsidRPr="00C53717">
        <w:rPr>
          <w:color w:val="538135"/>
          <w:sz w:val="20"/>
        </w:rPr>
        <w:t>.</w:t>
      </w:r>
    </w:p>
    <w:p w14:paraId="491CB37B" w14:textId="114D287D" w:rsidR="00C53717" w:rsidRPr="00C53717" w:rsidRDefault="00C53717" w:rsidP="00C53717">
      <w:pPr>
        <w:pStyle w:val="Default"/>
        <w:jc w:val="both"/>
        <w:rPr>
          <w:color w:val="538135"/>
          <w:sz w:val="20"/>
        </w:rPr>
      </w:pPr>
      <w:r>
        <w:rPr>
          <w:color w:val="538135"/>
          <w:sz w:val="20"/>
        </w:rPr>
        <w:t xml:space="preserve">- </w:t>
      </w:r>
      <w:hyperlink r:id="rId14" w:anchor="svdelivrance" w:history="1">
        <w:r w:rsidRPr="00C53717">
          <w:rPr>
            <w:color w:val="538135"/>
            <w:sz w:val="20"/>
          </w:rPr>
          <w:t xml:space="preserve">Décret n° 2024-1070 du 26 novembre 2024 </w:t>
        </w:r>
        <w:r w:rsidRPr="00C53717">
          <w:rPr>
            <w:i/>
            <w:iCs/>
            <w:color w:val="538135"/>
            <w:sz w:val="20"/>
          </w:rPr>
          <w:t>relatif à la dispensation supplémentaire exceptionnelle de médicaments et de dispositifs médicaux dans le cadre d'un traitement chronique</w:t>
        </w:r>
        <w:r w:rsidRPr="00C53717">
          <w:rPr>
            <w:color w:val="538135"/>
            <w:sz w:val="20"/>
          </w:rPr>
          <w:t>, lequel permet le renouvellement mensuel, par le pharmacien, d'un traitement chronique expiré, dans la limite de 3 mois</w:t>
        </w:r>
      </w:hyperlink>
      <w:r w:rsidRPr="00C53717">
        <w:rPr>
          <w:color w:val="538135"/>
          <w:sz w:val="20"/>
        </w:rPr>
        <w:t>.</w:t>
      </w:r>
    </w:p>
    <w:p w14:paraId="6D1E5E0E" w14:textId="0374BADE" w:rsidR="00C53717" w:rsidRPr="00C53717" w:rsidRDefault="00C53717" w:rsidP="00C53717">
      <w:pPr>
        <w:pStyle w:val="Default"/>
        <w:jc w:val="both"/>
        <w:rPr>
          <w:color w:val="538135"/>
          <w:sz w:val="20"/>
        </w:rPr>
      </w:pPr>
      <w:r>
        <w:rPr>
          <w:color w:val="538135"/>
          <w:sz w:val="20"/>
        </w:rPr>
        <w:t xml:space="preserve">- </w:t>
      </w:r>
      <w:hyperlink r:id="rId15" w:anchor="cannabis-therapeutique" w:history="1">
        <w:r w:rsidRPr="00C53717">
          <w:rPr>
            <w:color w:val="538135"/>
            <w:sz w:val="20"/>
          </w:rPr>
          <w:t>Cannabis à usage médical : l’ANSM publie la liste des premiers pharmaciens participant à l’expérimentation (ANSM, actualisation du 06/11/2024)</w:t>
        </w:r>
      </w:hyperlink>
      <w:r w:rsidRPr="00C53717">
        <w:rPr>
          <w:color w:val="538135"/>
          <w:sz w:val="20"/>
        </w:rPr>
        <w:t>.</w:t>
      </w:r>
    </w:p>
    <w:p w14:paraId="410B4043" w14:textId="751A1B7D" w:rsidR="00C53717" w:rsidRPr="00C53717" w:rsidRDefault="00C53717" w:rsidP="00C53717">
      <w:pPr>
        <w:pStyle w:val="Default"/>
        <w:jc w:val="both"/>
        <w:rPr>
          <w:color w:val="538135"/>
          <w:sz w:val="20"/>
        </w:rPr>
      </w:pPr>
      <w:r>
        <w:rPr>
          <w:color w:val="538135"/>
          <w:sz w:val="20"/>
        </w:rPr>
        <w:t xml:space="preserve">- </w:t>
      </w:r>
      <w:hyperlink r:id="rId16" w:anchor="biblio-international" w:history="1">
        <w:r w:rsidRPr="00C53717">
          <w:rPr>
            <w:color w:val="538135"/>
            <w:sz w:val="20"/>
          </w:rPr>
          <w:t>Fentanyl, cocaïne, « drogue du zombie » : les opioïdes associés aux stimulants continuent de semer la mort aux États-Unis (The Conversation, 12/11/2024)</w:t>
        </w:r>
      </w:hyperlink>
      <w:r w:rsidRPr="00C53717">
        <w:rPr>
          <w:color w:val="538135"/>
          <w:sz w:val="20"/>
        </w:rPr>
        <w:t>.</w:t>
      </w:r>
    </w:p>
    <w:p w14:paraId="67AD29DF" w14:textId="0471A21A" w:rsidR="00C53717" w:rsidRPr="00C53717" w:rsidRDefault="00C53717" w:rsidP="00C53717">
      <w:pPr>
        <w:pStyle w:val="Default"/>
        <w:jc w:val="both"/>
        <w:rPr>
          <w:color w:val="538135"/>
          <w:sz w:val="20"/>
        </w:rPr>
      </w:pPr>
      <w:r>
        <w:rPr>
          <w:color w:val="538135"/>
          <w:sz w:val="20"/>
        </w:rPr>
        <w:t xml:space="preserve">- </w:t>
      </w:r>
      <w:hyperlink r:id="rId17" w:anchor="biblio-france" w:history="1">
        <w:r w:rsidRPr="00C53717">
          <w:rPr>
            <w:color w:val="538135"/>
            <w:sz w:val="20"/>
          </w:rPr>
          <w:t xml:space="preserve">Drogues et sexe : ce que l’on sait du </w:t>
        </w:r>
        <w:proofErr w:type="spellStart"/>
        <w:r w:rsidRPr="00C53717">
          <w:rPr>
            <w:color w:val="538135"/>
            <w:sz w:val="20"/>
          </w:rPr>
          <w:t>chemsex</w:t>
        </w:r>
        <w:proofErr w:type="spellEnd"/>
        <w:r w:rsidRPr="00C53717">
          <w:rPr>
            <w:color w:val="538135"/>
            <w:sz w:val="20"/>
          </w:rPr>
          <w:t xml:space="preserve"> en France (article de Marc </w:t>
        </w:r>
        <w:proofErr w:type="spellStart"/>
        <w:r w:rsidRPr="00C53717">
          <w:rPr>
            <w:color w:val="538135"/>
            <w:sz w:val="20"/>
          </w:rPr>
          <w:t>Gozlan</w:t>
        </w:r>
        <w:proofErr w:type="spellEnd"/>
        <w:r w:rsidRPr="00C53717">
          <w:rPr>
            <w:color w:val="538135"/>
            <w:sz w:val="20"/>
          </w:rPr>
          <w:t xml:space="preserve"> sur le blog santé du Monde, 28/11/2024)</w:t>
        </w:r>
      </w:hyperlink>
      <w:r w:rsidRPr="00C53717">
        <w:rPr>
          <w:color w:val="538135"/>
          <w:sz w:val="20"/>
        </w:rPr>
        <w:t>.</w:t>
      </w:r>
    </w:p>
    <w:p w14:paraId="188CD47E" w14:textId="2599C4EB" w:rsidR="00C53717" w:rsidRDefault="00C53717" w:rsidP="00C53717">
      <w:pPr>
        <w:pStyle w:val="Default"/>
        <w:jc w:val="both"/>
        <w:rPr>
          <w:color w:val="538135"/>
          <w:sz w:val="20"/>
        </w:rPr>
      </w:pPr>
      <w:r>
        <w:rPr>
          <w:color w:val="538135"/>
          <w:sz w:val="20"/>
        </w:rPr>
        <w:t xml:space="preserve">- </w:t>
      </w:r>
      <w:hyperlink r:id="rId18" w:anchor="biblio-opioides" w:history="1">
        <w:r w:rsidRPr="00C53717">
          <w:rPr>
            <w:color w:val="538135"/>
            <w:sz w:val="20"/>
          </w:rPr>
          <w:t>Flash Sécurité Patient « Utilisation des morphiniques. Opiacé mal utilisé, surdosage assuré » (HAS, 19/11/2024)</w:t>
        </w:r>
      </w:hyperlink>
      <w:r w:rsidRPr="00C53717">
        <w:rPr>
          <w:color w:val="538135"/>
          <w:sz w:val="20"/>
        </w:rPr>
        <w:t>.</w:t>
      </w:r>
    </w:p>
    <w:p w14:paraId="0FCFB46B" w14:textId="77777777" w:rsidR="00C53717" w:rsidRDefault="00C53717" w:rsidP="00C53717">
      <w:pPr>
        <w:pStyle w:val="Default"/>
        <w:jc w:val="both"/>
        <w:rPr>
          <w:color w:val="538135"/>
          <w:sz w:val="20"/>
        </w:rPr>
      </w:pPr>
    </w:p>
    <w:p w14:paraId="649878F6" w14:textId="6DC092E1" w:rsidR="00263E21" w:rsidRDefault="004B1C7D" w:rsidP="00C53717">
      <w:pPr>
        <w:pStyle w:val="Default"/>
        <w:jc w:val="both"/>
        <w:rPr>
          <w:color w:val="538135"/>
          <w:sz w:val="20"/>
        </w:rPr>
      </w:pPr>
      <w:r w:rsidRPr="004B1C7D">
        <w:rPr>
          <w:color w:val="538135"/>
          <w:sz w:val="20"/>
        </w:rPr>
        <w:br/>
      </w:r>
    </w:p>
    <w:p w14:paraId="48656576" w14:textId="77777777" w:rsidR="00D82BEE" w:rsidRDefault="00D82BEE" w:rsidP="00263E21">
      <w:pPr>
        <w:pStyle w:val="Default"/>
        <w:jc w:val="both"/>
      </w:pPr>
    </w:p>
    <w:p w14:paraId="74F22F83" w14:textId="77777777" w:rsidR="00CC56E9" w:rsidRPr="00672CE5" w:rsidRDefault="00CC56E9" w:rsidP="00672CE5">
      <w:pPr>
        <w:pStyle w:val="PEPS"/>
      </w:pPr>
      <w:r w:rsidRPr="00672CE5">
        <w:t>Manuel des formalités administratives :</w:t>
      </w:r>
    </w:p>
    <w:p w14:paraId="0A15B805" w14:textId="77777777" w:rsidR="00523F15" w:rsidRPr="00126647" w:rsidRDefault="00C53717" w:rsidP="00672CE5">
      <w:pPr>
        <w:pStyle w:val="PEPS"/>
        <w:rPr>
          <w:rFonts w:ascii="Calibri" w:eastAsia="Calibri" w:hAnsi="Calibri" w:cs="Times New Roman"/>
          <w:b w:val="0"/>
          <w:color w:val="auto"/>
          <w:sz w:val="22"/>
          <w:szCs w:val="21"/>
          <w:lang w:eastAsia="en-US"/>
        </w:rPr>
      </w:pPr>
      <w:hyperlink r:id="rId19"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14:paraId="7E413C01" w14:textId="77777777" w:rsidR="00475175" w:rsidRPr="00475175" w:rsidRDefault="00475175" w:rsidP="00672CE5">
      <w:pPr>
        <w:pStyle w:val="Textebrut"/>
      </w:pPr>
      <w:r w:rsidRPr="00475175">
        <w:t xml:space="preserve">La fiche </w:t>
      </w:r>
      <w:r w:rsidRPr="00D506BE">
        <w:rPr>
          <w:strike/>
        </w:rPr>
        <w:t>« Officines - Autorisation de vente avant 5 ans » a été supprimée</w:t>
      </w:r>
      <w:r>
        <w:t xml:space="preserve"> du fai</w:t>
      </w:r>
      <w:r w:rsidR="00D72557">
        <w:t>t de sa caducité (ordonnance n° </w:t>
      </w:r>
      <w:r>
        <w:t>2018-3 du 3 janvier 2018, applicable depuis le 31/07/2018)</w:t>
      </w:r>
    </w:p>
    <w:p w14:paraId="27A7E84D" w14:textId="77777777" w:rsidR="005142E8" w:rsidRPr="00672CE5" w:rsidRDefault="005142E8" w:rsidP="00672CE5">
      <w:pPr>
        <w:pStyle w:val="Textebrut"/>
      </w:pPr>
    </w:p>
    <w:p w14:paraId="6F87A836" w14:textId="77777777" w:rsidR="00AD13E8" w:rsidRDefault="00AD13E8" w:rsidP="00672CE5">
      <w:pPr>
        <w:pStyle w:val="PEPS"/>
      </w:pPr>
      <w:r w:rsidRPr="00947196">
        <w:t>Textes en projet :</w:t>
      </w:r>
    </w:p>
    <w:p w14:paraId="424D2271" w14:textId="77777777" w:rsidR="00EA7ACB" w:rsidRDefault="00C53717" w:rsidP="00EA7ACB">
      <w:pPr>
        <w:pStyle w:val="PEPS"/>
        <w:rPr>
          <w:rFonts w:ascii="Calibri" w:eastAsia="Calibri" w:hAnsi="Calibri" w:cs="Times New Roman"/>
          <w:b w:val="0"/>
          <w:color w:val="auto"/>
          <w:sz w:val="22"/>
          <w:szCs w:val="21"/>
          <w:lang w:eastAsia="en-US"/>
        </w:rPr>
      </w:pPr>
      <w:hyperlink r:id="rId20" w:history="1">
        <w:r w:rsidR="00EA7ACB">
          <w:rPr>
            <w:rStyle w:val="Lienhypertexte"/>
            <w:rFonts w:ascii="Calibri" w:eastAsia="Calibri" w:hAnsi="Calibri" w:cs="Times New Roman"/>
            <w:b w:val="0"/>
            <w:sz w:val="22"/>
            <w:szCs w:val="21"/>
            <w:lang w:eastAsia="en-US"/>
          </w:rPr>
          <w:t>https://peps.sante.gouv.fr/textes_projets/projets.html</w:t>
        </w:r>
      </w:hyperlink>
    </w:p>
    <w:p w14:paraId="242F2896"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27076B33" w14:textId="49DDD7E9" w:rsidR="00776165" w:rsidRPr="00776165" w:rsidRDefault="00776165" w:rsidP="000F0C7B">
      <w:pPr>
        <w:pStyle w:val="PEPS"/>
        <w:rPr>
          <w:rFonts w:ascii="Calibri" w:eastAsia="Calibri" w:hAnsi="Calibri" w:cs="Times New Roman"/>
          <w:b w:val="0"/>
          <w:color w:val="auto"/>
          <w:sz w:val="22"/>
          <w:szCs w:val="21"/>
          <w:lang w:eastAsia="en-US"/>
        </w:rPr>
      </w:pPr>
      <w:r w:rsidRPr="00776165">
        <w:rPr>
          <w:rFonts w:ascii="Calibri" w:eastAsia="Calibri" w:hAnsi="Calibri" w:cs="Times New Roman"/>
          <w:b w:val="0"/>
          <w:color w:val="auto"/>
          <w:sz w:val="22"/>
          <w:szCs w:val="21"/>
          <w:lang w:eastAsia="en-US"/>
        </w:rPr>
        <w:t>Projet de loi portant diverses dispositions d’adaptation au droit de l’Union européenne en matière économique, financière, environnementale, énergétique, de transport, de santé et de circulation des personnes (</w:t>
      </w:r>
      <w:proofErr w:type="spellStart"/>
      <w:r w:rsidRPr="00776165">
        <w:rPr>
          <w:rFonts w:ascii="Calibri" w:eastAsia="Calibri" w:hAnsi="Calibri" w:cs="Times New Roman"/>
          <w:b w:val="0"/>
          <w:color w:val="auto"/>
          <w:sz w:val="22"/>
          <w:szCs w:val="21"/>
          <w:lang w:eastAsia="en-US"/>
        </w:rPr>
        <w:t>Legifrance</w:t>
      </w:r>
      <w:proofErr w:type="spellEnd"/>
      <w:r w:rsidRPr="00776165">
        <w:rPr>
          <w:rFonts w:ascii="Calibri" w:eastAsia="Calibri" w:hAnsi="Calibri" w:cs="Times New Roman"/>
          <w:b w:val="0"/>
          <w:color w:val="auto"/>
          <w:sz w:val="22"/>
          <w:szCs w:val="21"/>
          <w:lang w:eastAsia="en-US"/>
        </w:rPr>
        <w:t>, 31/10/2024)</w:t>
      </w:r>
      <w:r w:rsidR="000F0C7B">
        <w:rPr>
          <w:rFonts w:ascii="Calibri" w:eastAsia="Calibri" w:hAnsi="Calibri" w:cs="Times New Roman"/>
          <w:b w:val="0"/>
          <w:color w:val="auto"/>
          <w:sz w:val="22"/>
          <w:szCs w:val="21"/>
          <w:lang w:eastAsia="en-US"/>
        </w:rPr>
        <w:t xml:space="preserve">. </w:t>
      </w:r>
      <w:proofErr w:type="spellStart"/>
      <w:r w:rsidR="000F0C7B" w:rsidRPr="000F0C7B">
        <w:rPr>
          <w:rFonts w:ascii="Calibri" w:eastAsia="Calibri" w:hAnsi="Calibri" w:cs="Times New Roman"/>
          <w:b w:val="0"/>
          <w:color w:val="auto"/>
          <w:sz w:val="22"/>
          <w:szCs w:val="21"/>
          <w:lang w:eastAsia="en-US"/>
        </w:rPr>
        <w:t>NdlR</w:t>
      </w:r>
      <w:proofErr w:type="spellEnd"/>
      <w:r w:rsidR="000F0C7B" w:rsidRPr="000F0C7B">
        <w:rPr>
          <w:rFonts w:ascii="Calibri" w:eastAsia="Calibri" w:hAnsi="Calibri" w:cs="Times New Roman"/>
          <w:b w:val="0"/>
          <w:color w:val="auto"/>
          <w:sz w:val="22"/>
          <w:szCs w:val="21"/>
          <w:lang w:eastAsia="en-US"/>
        </w:rPr>
        <w:t xml:space="preserve"> : les dispositions d’adaptation au droit de l’union européenne en</w:t>
      </w:r>
      <w:r w:rsidR="000F0C7B">
        <w:rPr>
          <w:rFonts w:ascii="Calibri" w:eastAsia="Calibri" w:hAnsi="Calibri" w:cs="Times New Roman"/>
          <w:b w:val="0"/>
          <w:color w:val="auto"/>
          <w:sz w:val="22"/>
          <w:szCs w:val="21"/>
          <w:lang w:eastAsia="en-US"/>
        </w:rPr>
        <w:t xml:space="preserve"> </w:t>
      </w:r>
      <w:r w:rsidR="000F0C7B" w:rsidRPr="000F0C7B">
        <w:rPr>
          <w:rFonts w:ascii="Calibri" w:eastAsia="Calibri" w:hAnsi="Calibri" w:cs="Times New Roman"/>
          <w:b w:val="0"/>
          <w:color w:val="auto"/>
          <w:sz w:val="22"/>
          <w:szCs w:val="21"/>
          <w:lang w:eastAsia="en-US"/>
        </w:rPr>
        <w:t>matière de santé figurent au titre III du projet (articles 40 et suivants) et concernent essentiellement les ruptures d’approvisionnement en DM. L’article 19 concerne les actions de groupe contre les fournisseurs de produits de santé.</w:t>
      </w:r>
    </w:p>
    <w:p w14:paraId="6EBA29A8" w14:textId="58C8E68B" w:rsidR="00776165" w:rsidRDefault="00C53717" w:rsidP="00776165">
      <w:pPr>
        <w:pStyle w:val="PEPS"/>
        <w:rPr>
          <w:rFonts w:ascii="Calibri" w:eastAsia="Calibri" w:hAnsi="Calibri" w:cs="Times New Roman"/>
          <w:b w:val="0"/>
          <w:color w:val="auto"/>
          <w:sz w:val="22"/>
          <w:szCs w:val="21"/>
          <w:lang w:eastAsia="en-US"/>
        </w:rPr>
      </w:pPr>
      <w:hyperlink r:id="rId21" w:history="1">
        <w:r w:rsidR="00776165" w:rsidRPr="00B2418E">
          <w:rPr>
            <w:rStyle w:val="Lienhypertexte"/>
            <w:rFonts w:ascii="Calibri" w:eastAsia="Calibri" w:hAnsi="Calibri" w:cs="Times New Roman"/>
            <w:b w:val="0"/>
            <w:sz w:val="22"/>
            <w:szCs w:val="21"/>
            <w:lang w:eastAsia="en-US"/>
          </w:rPr>
          <w:t>https://www.legifrance.gouv.fr/dossierlegislatif/JORFDOLE000050427907/</w:t>
        </w:r>
      </w:hyperlink>
    </w:p>
    <w:p w14:paraId="6AE5A371" w14:textId="5452274A" w:rsidR="00776165" w:rsidRPr="00776165" w:rsidRDefault="00776165" w:rsidP="00776165">
      <w:pPr>
        <w:pStyle w:val="PEPS"/>
        <w:rPr>
          <w:rFonts w:ascii="Calibri" w:eastAsia="Calibri" w:hAnsi="Calibri" w:cs="Times New Roman"/>
          <w:b w:val="0"/>
          <w:color w:val="auto"/>
          <w:sz w:val="22"/>
          <w:szCs w:val="21"/>
          <w:lang w:eastAsia="en-US"/>
        </w:rPr>
      </w:pPr>
      <w:r w:rsidRPr="00776165">
        <w:rPr>
          <w:rFonts w:ascii="Calibri" w:eastAsia="Calibri" w:hAnsi="Calibri" w:cs="Times New Roman"/>
          <w:b w:val="0"/>
          <w:color w:val="auto"/>
          <w:sz w:val="22"/>
          <w:szCs w:val="21"/>
          <w:lang w:eastAsia="en-US"/>
        </w:rPr>
        <w:t>Avis du Conseil d’État sur un projet de loi portant diverses dispositions d’adaptation au droit de l’Union européenne en matière économique, financière, environnementale, énergétique, de transport, de santé et de circulation des personnes (Conseil d’État, 04/11/2024).</w:t>
      </w:r>
    </w:p>
    <w:p w14:paraId="4034CCAC" w14:textId="6E8F5D67" w:rsidR="00402BA6" w:rsidRDefault="00C53717" w:rsidP="00776165">
      <w:pPr>
        <w:pStyle w:val="PEPS"/>
        <w:rPr>
          <w:rFonts w:ascii="Calibri" w:eastAsia="Calibri" w:hAnsi="Calibri" w:cs="Times New Roman"/>
          <w:b w:val="0"/>
          <w:color w:val="auto"/>
          <w:sz w:val="22"/>
          <w:szCs w:val="21"/>
          <w:lang w:eastAsia="en-US"/>
        </w:rPr>
      </w:pPr>
      <w:hyperlink r:id="rId22" w:history="1">
        <w:r w:rsidR="00776165" w:rsidRPr="00B2418E">
          <w:rPr>
            <w:rStyle w:val="Lienhypertexte"/>
            <w:rFonts w:ascii="Calibri" w:eastAsia="Calibri" w:hAnsi="Calibri" w:cs="Times New Roman"/>
            <w:b w:val="0"/>
            <w:sz w:val="22"/>
            <w:szCs w:val="21"/>
            <w:lang w:eastAsia="en-US"/>
          </w:rPr>
          <w:t>https://www.conseil-etat.fr/avis-consultatifs/derniers-avis-rendus/au-gouvernement/avis-sur-un-projet-de-loi-portant-diverses-dispositions-d-adaptation-au-droit-de-l-union-europeenne-en-matiere-economique-financiere-environnemen</w:t>
        </w:r>
      </w:hyperlink>
    </w:p>
    <w:p w14:paraId="3FFDC3B9" w14:textId="77777777" w:rsidR="00776165" w:rsidRDefault="00776165" w:rsidP="00776165">
      <w:pPr>
        <w:pStyle w:val="PEPS"/>
        <w:rPr>
          <w:rFonts w:ascii="Calibri" w:eastAsia="Calibri" w:hAnsi="Calibri" w:cs="Times New Roman"/>
          <w:b w:val="0"/>
          <w:color w:val="auto"/>
          <w:sz w:val="22"/>
          <w:szCs w:val="21"/>
          <w:lang w:eastAsia="en-US"/>
        </w:rPr>
      </w:pPr>
    </w:p>
    <w:p w14:paraId="4F0BB506" w14:textId="77777777" w:rsidR="00776165" w:rsidRDefault="00776165" w:rsidP="00776165">
      <w:pPr>
        <w:pStyle w:val="PEPS"/>
        <w:rPr>
          <w:rFonts w:ascii="Calibri" w:eastAsia="Calibri" w:hAnsi="Calibri" w:cs="Times New Roman"/>
          <w:b w:val="0"/>
          <w:color w:val="auto"/>
          <w:sz w:val="22"/>
          <w:szCs w:val="21"/>
          <w:lang w:eastAsia="en-US"/>
        </w:rPr>
      </w:pPr>
    </w:p>
    <w:p w14:paraId="4AEED977"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481976E2" w14:textId="77777777" w:rsidR="00930CE0" w:rsidRDefault="00930CE0" w:rsidP="00672CE5">
      <w:pPr>
        <w:pStyle w:val="PEPS"/>
      </w:pPr>
      <w:r>
        <w:t>Actualité réglementaire</w:t>
      </w:r>
      <w:r w:rsidRPr="00947196">
        <w:t> :</w:t>
      </w:r>
    </w:p>
    <w:p w14:paraId="13F28EFA" w14:textId="77777777" w:rsidR="00AC503D" w:rsidRDefault="00C53717" w:rsidP="00AC503D">
      <w:pPr>
        <w:pStyle w:val="PEPS"/>
        <w:rPr>
          <w:rFonts w:ascii="Calibri" w:eastAsia="Calibri" w:hAnsi="Calibri" w:cs="Times New Roman"/>
          <w:b w:val="0"/>
          <w:color w:val="auto"/>
          <w:sz w:val="22"/>
          <w:szCs w:val="21"/>
          <w:lang w:eastAsia="en-US"/>
        </w:rPr>
      </w:pPr>
      <w:hyperlink r:id="rId23" w:history="1">
        <w:r w:rsidR="00AC503D" w:rsidRPr="00E146CA">
          <w:rPr>
            <w:rStyle w:val="Lienhypertexte"/>
            <w:rFonts w:ascii="Calibri" w:eastAsia="Calibri" w:hAnsi="Calibri" w:cs="Times New Roman"/>
            <w:b w:val="0"/>
            <w:sz w:val="22"/>
            <w:szCs w:val="21"/>
            <w:lang w:eastAsia="en-US"/>
          </w:rPr>
          <w:t>https://peps.sante.gouv.fr/outils/docu/texto.xlsm</w:t>
        </w:r>
      </w:hyperlink>
    </w:p>
    <w:p w14:paraId="5B63BC40"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751049F4" w14:textId="6979113A" w:rsidR="00265642" w:rsidRDefault="00265642" w:rsidP="00265642">
      <w:pPr>
        <w:pStyle w:val="Textebrut"/>
      </w:pPr>
      <w:r>
        <w:t>Arrêté du 31 octobre 2024 portant modification de l'arrêté du 12 avril 2022 modifié fixant la liste des groupes biologiques similaires substituables par le pharmacien d'officine et les conditions de substitution et d'information du prescripteur et du patient telles que prévues au 2° de l'article L. 5125-23-2 du code de la santé publique (modification des modalités d’information entre prescripteur</w:t>
      </w:r>
      <w:r w:rsidR="0050249C">
        <w:t>,</w:t>
      </w:r>
      <w:r>
        <w:t xml:space="preserve"> pharmacien</w:t>
      </w:r>
      <w:r w:rsidR="0050249C">
        <w:t xml:space="preserve"> et patient</w:t>
      </w:r>
      <w:r>
        <w:t>, annule et remplace l’annexe de la liste des biosimilaires substituables)</w:t>
      </w:r>
    </w:p>
    <w:p w14:paraId="48B572F8" w14:textId="2B88BA45" w:rsidR="00FA4972" w:rsidRDefault="00C53717" w:rsidP="00265642">
      <w:pPr>
        <w:pStyle w:val="Textebrut"/>
      </w:pPr>
      <w:hyperlink r:id="rId24" w:history="1">
        <w:r w:rsidR="00265642" w:rsidRPr="00B2418E">
          <w:rPr>
            <w:rStyle w:val="Lienhypertexte"/>
          </w:rPr>
          <w:t>https://www.legifrance.gouv.fr/jorf/id/JORFTEXT000050429728</w:t>
        </w:r>
      </w:hyperlink>
    </w:p>
    <w:p w14:paraId="563CDF2C" w14:textId="77777777" w:rsidR="00265642" w:rsidRDefault="00265642" w:rsidP="00265642">
      <w:pPr>
        <w:pStyle w:val="Textebrut"/>
      </w:pPr>
    </w:p>
    <w:p w14:paraId="5594D91F" w14:textId="77777777" w:rsidR="007F0A18" w:rsidRDefault="007F0A18" w:rsidP="007F0A18">
      <w:pPr>
        <w:pStyle w:val="Textebrut"/>
      </w:pPr>
      <w:r>
        <w:lastRenderedPageBreak/>
        <w:t>Note d’information interministérielle n° SGMCAS/Pôle Santé-ARS/DAJ/SD4B/ DGCS/SD4C/IGAS/MPIC/2024/149 du 25 octobre 2024 relative aux décisions attendues face aux constats les plus préoccupants observés pendant les inspections-contrôles des établissements d'hébergement pour personnes âgées dépendantes (EHPAD) conduites par les agences régionales de santé (ARS) dans le cadre de l’orientation nationale d'inspection-contrôle (ONIC) relative au plan d’inspection-contrôle des 7 500 EHPAD (2022-2024).</w:t>
      </w:r>
    </w:p>
    <w:p w14:paraId="4A5A59F2" w14:textId="77777777" w:rsidR="007F0A18" w:rsidRDefault="007F0A18" w:rsidP="007F0A18">
      <w:pPr>
        <w:pStyle w:val="Textebrut"/>
      </w:pPr>
      <w:r>
        <w:t>Résumé : La note présente les décisions attendues face aux constats les plus préoccupants observés pendant les inspections-contrôles des EHPAD conduits par les ARS dans le cadre de l’ONIC relative au Plan d’inspection-contrôle des 7 500 EHPAD (2022-2024). Elle précise de façon schématique, le type de décision attendu pour les constats les plus préoccupants.</w:t>
      </w:r>
    </w:p>
    <w:p w14:paraId="07397109" w14:textId="77777777" w:rsidR="007F0A18" w:rsidRDefault="007F0A18" w:rsidP="007F0A18">
      <w:pPr>
        <w:pStyle w:val="Textebrut"/>
      </w:pPr>
      <w:r>
        <w:t>L’objet du présent document est donc d’éclairer la décision du directeur général d’ARS (DGARS) dans la recherche de la conciliation de deux exigences :</w:t>
      </w:r>
    </w:p>
    <w:p w14:paraId="41B20AC3" w14:textId="77777777" w:rsidR="007F0A18" w:rsidRDefault="007F0A18" w:rsidP="007F0A18">
      <w:pPr>
        <w:pStyle w:val="Textebrut"/>
      </w:pPr>
      <w:r>
        <w:t>- Assurer la sécurité de la prise en charge des résidents d’EHPAD sur leur territoire ;</w:t>
      </w:r>
    </w:p>
    <w:p w14:paraId="66539FEC" w14:textId="77777777" w:rsidR="007F0A18" w:rsidRDefault="007F0A18" w:rsidP="007F0A18">
      <w:pPr>
        <w:pStyle w:val="Textebrut"/>
      </w:pPr>
      <w:r>
        <w:t>- Assurer la sécurité juridique des décisions prises.</w:t>
      </w:r>
    </w:p>
    <w:p w14:paraId="312B0CB5" w14:textId="77777777" w:rsidR="007F0A18" w:rsidRDefault="007F0A18" w:rsidP="007F0A18">
      <w:pPr>
        <w:pStyle w:val="Textebrut"/>
      </w:pPr>
      <w:r>
        <w:t>Elle a été établie sur la base des décisions prises dans le cadre du Plan national de contrôle des EHPAD, mais s’applique au champ des établissements ou services médico-sociaux (ESMS) de manière générale. Elle présente également un état de la jurisprudence sur les décisions prises par les autorités en charge du contrôle des ESMS à la suite de constats les plus préoccupants</w:t>
      </w:r>
    </w:p>
    <w:p w14:paraId="495F7057" w14:textId="52F2C75D" w:rsidR="00265642" w:rsidRDefault="00C53717" w:rsidP="007F0A18">
      <w:pPr>
        <w:pStyle w:val="Textebrut"/>
      </w:pPr>
      <w:hyperlink r:id="rId25" w:history="1">
        <w:r w:rsidR="007F0A18" w:rsidRPr="00A96170">
          <w:rPr>
            <w:rStyle w:val="Lienhypertexte"/>
          </w:rPr>
          <w:t>https://portail.tessadoc.social.gouv.fr/recherche/viewnotice/id/967630</w:t>
        </w:r>
      </w:hyperlink>
    </w:p>
    <w:p w14:paraId="6913C98A" w14:textId="77777777" w:rsidR="007F0A18" w:rsidRDefault="007F0A18" w:rsidP="007F0A18">
      <w:pPr>
        <w:pStyle w:val="Textebrut"/>
      </w:pPr>
    </w:p>
    <w:p w14:paraId="2A4ABB94" w14:textId="77777777" w:rsidR="00B56274" w:rsidRDefault="00B56274" w:rsidP="00B56274">
      <w:pPr>
        <w:pStyle w:val="Textebrut"/>
      </w:pPr>
      <w:r>
        <w:t>Arrêté du 7 novembre 2024 portant autorisation d'exercer en France la profession de pharmacien en application des dispositions de l'article L. 4221-7 du code de la santé publique</w:t>
      </w:r>
    </w:p>
    <w:p w14:paraId="76D52418" w14:textId="088AF1C6" w:rsidR="007F0A18" w:rsidRDefault="00C53717" w:rsidP="00B56274">
      <w:pPr>
        <w:pStyle w:val="Textebrut"/>
      </w:pPr>
      <w:hyperlink r:id="rId26" w:history="1">
        <w:r w:rsidR="00B56274" w:rsidRPr="00097206">
          <w:rPr>
            <w:rStyle w:val="Lienhypertexte"/>
          </w:rPr>
          <w:t>https://www.legifrance.gouv.fr/jorf/id/JORFTEXT000050489316</w:t>
        </w:r>
      </w:hyperlink>
    </w:p>
    <w:p w14:paraId="56D2A4FE" w14:textId="77777777" w:rsidR="00B56274" w:rsidRDefault="00B56274" w:rsidP="00B56274">
      <w:pPr>
        <w:pStyle w:val="Textebrut"/>
      </w:pPr>
    </w:p>
    <w:p w14:paraId="351964E6" w14:textId="77777777" w:rsidR="005071FE" w:rsidRDefault="005071FE" w:rsidP="005071FE">
      <w:pPr>
        <w:pStyle w:val="Textebrut"/>
      </w:pPr>
      <w:r>
        <w:t>Décret n° 2024-1038 du 6 novembre 2024 relatif aux dispositions réglementaires des livres Ier et II du code général de la fonction publique.</w:t>
      </w:r>
    </w:p>
    <w:p w14:paraId="2A408986" w14:textId="77777777" w:rsidR="005071FE" w:rsidRDefault="005071FE" w:rsidP="005071FE">
      <w:pPr>
        <w:pStyle w:val="Textebrut"/>
      </w:pPr>
      <w:r>
        <w:t>Objet :</w:t>
      </w:r>
    </w:p>
    <w:p w14:paraId="08E8957A" w14:textId="77777777" w:rsidR="005071FE" w:rsidRDefault="005071FE" w:rsidP="005071FE">
      <w:pPr>
        <w:pStyle w:val="Textebrut"/>
      </w:pPr>
      <w:r>
        <w:t>- création des livres Ier (Droits, obligations et protections) et II (Exercice du droit syndical et dialogue social) de la partie réglementaire (articles en D et R) du code général de la fonction publique (CGFP) ;</w:t>
      </w:r>
    </w:p>
    <w:p w14:paraId="5DBB1AD9" w14:textId="77777777" w:rsidR="005071FE" w:rsidRDefault="005071FE" w:rsidP="005071FE">
      <w:pPr>
        <w:pStyle w:val="Textebrut"/>
      </w:pPr>
      <w:r>
        <w:t>- modification des conditions et modalités d'organisation du vote électronique par internet pour les élections des représentants du personnel au sein d'instances de dialogue social des trois fonctions publiques.</w:t>
      </w:r>
    </w:p>
    <w:p w14:paraId="6E01D324" w14:textId="77777777" w:rsidR="005071FE" w:rsidRDefault="005071FE" w:rsidP="005071FE">
      <w:pPr>
        <w:pStyle w:val="Textebrut"/>
      </w:pPr>
      <w:r>
        <w:t>Article 1 : Les dispositions annexées au présent décret constituent les livres Ier et II de la partie réglementaire du code général de la fonction publique. […]</w:t>
      </w:r>
    </w:p>
    <w:p w14:paraId="5D00B38B" w14:textId="5C6086EC" w:rsidR="00B56274" w:rsidRDefault="00C53717" w:rsidP="005071FE">
      <w:pPr>
        <w:pStyle w:val="Textebrut"/>
      </w:pPr>
      <w:hyperlink r:id="rId27" w:history="1">
        <w:r w:rsidR="005071FE" w:rsidRPr="007D0F89">
          <w:rPr>
            <w:rStyle w:val="Lienhypertexte"/>
          </w:rPr>
          <w:t>https://www.legifrance.gouv.fr/jorf/id/JORFTEXT000050510977</w:t>
        </w:r>
      </w:hyperlink>
    </w:p>
    <w:p w14:paraId="61D9E585" w14:textId="77777777" w:rsidR="005071FE" w:rsidRDefault="005071FE" w:rsidP="005071FE">
      <w:pPr>
        <w:pStyle w:val="Textebrut"/>
      </w:pPr>
    </w:p>
    <w:p w14:paraId="7B564FE1" w14:textId="77777777" w:rsidR="002F382C" w:rsidRDefault="002F382C" w:rsidP="002F382C">
      <w:pPr>
        <w:pStyle w:val="Textebrut"/>
      </w:pPr>
      <w:r>
        <w:t>Décision n° 2024.0317/DC/SCES du 20 novembre 2024 du collège de la Haute Autorité de santé portant adoption de la procédure « Certification des établissements de santé »</w:t>
      </w:r>
    </w:p>
    <w:p w14:paraId="66BC2EE9" w14:textId="0230BD69" w:rsidR="005071FE" w:rsidRDefault="00C53717" w:rsidP="002F382C">
      <w:pPr>
        <w:pStyle w:val="Textebrut"/>
      </w:pPr>
      <w:hyperlink r:id="rId28" w:history="1">
        <w:r w:rsidR="002F382C" w:rsidRPr="00996A9D">
          <w:rPr>
            <w:rStyle w:val="Lienhypertexte"/>
          </w:rPr>
          <w:t>https://www.legifrance.gouv.fr/jorf/id/JORFTEXT000050655591</w:t>
        </w:r>
      </w:hyperlink>
    </w:p>
    <w:p w14:paraId="655E5741" w14:textId="77777777" w:rsidR="002F382C" w:rsidRDefault="002F382C" w:rsidP="002F382C">
      <w:pPr>
        <w:pStyle w:val="Textebrut"/>
      </w:pPr>
    </w:p>
    <w:p w14:paraId="465B1908" w14:textId="5E03D653" w:rsidR="00822627" w:rsidRDefault="00822627" w:rsidP="00822627">
      <w:pPr>
        <w:pStyle w:val="Textebrut"/>
      </w:pPr>
      <w:r>
        <w:t xml:space="preserve">Arrêté du 21 novembre 2024 modifiant la liste des spécialités pharmaceutiques remboursables aux assurés sociaux. </w:t>
      </w:r>
      <w:proofErr w:type="spellStart"/>
      <w:r>
        <w:t>NdlR</w:t>
      </w:r>
      <w:proofErr w:type="spellEnd"/>
      <w:r>
        <w:t xml:space="preserve"> : ENFIN ! </w:t>
      </w:r>
      <w:proofErr w:type="spellStart"/>
      <w:r>
        <w:t>Nimenrix</w:t>
      </w:r>
      <w:proofErr w:type="spellEnd"/>
      <w:r>
        <w:t xml:space="preserve"> et </w:t>
      </w:r>
      <w:proofErr w:type="spellStart"/>
      <w:r>
        <w:t>Menquadfi</w:t>
      </w:r>
      <w:proofErr w:type="spellEnd"/>
      <w:r>
        <w:t xml:space="preserve"> sont pris en charge dans « l’immunisation active des sujets à partir de l'âge </w:t>
      </w:r>
      <w:bookmarkStart w:id="0" w:name="_Hlk183506008"/>
      <w:r w:rsidR="00041412">
        <w:t>[</w:t>
      </w:r>
      <w:r>
        <w:t xml:space="preserve">de 12 mois </w:t>
      </w:r>
      <w:r w:rsidR="00041412">
        <w:t xml:space="preserve">pour </w:t>
      </w:r>
      <w:proofErr w:type="spellStart"/>
      <w:r w:rsidR="00041412">
        <w:t>Menquadfi</w:t>
      </w:r>
      <w:proofErr w:type="spellEnd"/>
      <w:r w:rsidR="00041412">
        <w:t xml:space="preserve"> ; de 6 semaines pour </w:t>
      </w:r>
      <w:proofErr w:type="spellStart"/>
      <w:r w:rsidR="00041412">
        <w:t>Nimenrix</w:t>
      </w:r>
      <w:proofErr w:type="spellEnd"/>
      <w:r w:rsidR="00041412">
        <w:t xml:space="preserve">] </w:t>
      </w:r>
      <w:bookmarkEnd w:id="0"/>
      <w:r>
        <w:t>contre les maladies méningococciques invasives dues aux Neisseria meningitidis des groupes A, C, W-135 et Y, selon les recommandations en vigueur de la HAS datant du 7 mars 2024 et du 27 juin 2024 ». Que de temps perdu pour y arriver !</w:t>
      </w:r>
    </w:p>
    <w:p w14:paraId="4F5EC823" w14:textId="5FADD44D" w:rsidR="002F382C" w:rsidRDefault="00C53717" w:rsidP="00822627">
      <w:pPr>
        <w:pStyle w:val="Textebrut"/>
      </w:pPr>
      <w:hyperlink r:id="rId29" w:history="1">
        <w:r w:rsidR="00822627" w:rsidRPr="00DC2563">
          <w:rPr>
            <w:rStyle w:val="Lienhypertexte"/>
          </w:rPr>
          <w:t>https://www.legifrance.gouv.fr/jorf/id/JORFTEXT000050659873</w:t>
        </w:r>
      </w:hyperlink>
    </w:p>
    <w:p w14:paraId="0FF17C31" w14:textId="77777777" w:rsidR="00822627" w:rsidRDefault="00822627" w:rsidP="00822627">
      <w:pPr>
        <w:pStyle w:val="Textebrut"/>
      </w:pPr>
    </w:p>
    <w:p w14:paraId="4C3D7A68" w14:textId="77777777" w:rsidR="00527381" w:rsidRDefault="00527381" w:rsidP="00527381">
      <w:pPr>
        <w:pStyle w:val="Textebrut"/>
      </w:pPr>
      <w:r>
        <w:t>Arrêté du 18 novembre 2024 fixant la liste des personnes autorisées à exercer en France les fonctions de biologiste médical dans un domaine de spécialisation en application des dispositions de l'article L. 6213-2-1 du code de la santé publique (Biologie et génétique moléculaires)</w:t>
      </w:r>
    </w:p>
    <w:p w14:paraId="77EEFC78" w14:textId="48FE66BE" w:rsidR="00822627" w:rsidRDefault="00C53717" w:rsidP="00527381">
      <w:pPr>
        <w:pStyle w:val="Textebrut"/>
      </w:pPr>
      <w:hyperlink r:id="rId30" w:history="1">
        <w:r w:rsidR="00527381" w:rsidRPr="00A868D1">
          <w:rPr>
            <w:rStyle w:val="Lienhypertexte"/>
          </w:rPr>
          <w:t>https://www.legifrance.gouv.fr/jorf/id/JORFTEXT000050663463</w:t>
        </w:r>
      </w:hyperlink>
    </w:p>
    <w:p w14:paraId="65811B1C" w14:textId="77777777" w:rsidR="00527381" w:rsidRDefault="00527381" w:rsidP="00527381">
      <w:pPr>
        <w:pStyle w:val="Textebrut"/>
      </w:pPr>
    </w:p>
    <w:p w14:paraId="62E7F829" w14:textId="77777777" w:rsidR="00C53717" w:rsidRDefault="00C53717" w:rsidP="00527381">
      <w:pPr>
        <w:pStyle w:val="Textebrut"/>
      </w:pPr>
    </w:p>
    <w:p w14:paraId="7332F9D2" w14:textId="77777777" w:rsidR="00423D32" w:rsidRDefault="00423D32" w:rsidP="00423D32">
      <w:pPr>
        <w:pStyle w:val="Textebrut"/>
      </w:pPr>
      <w:r w:rsidRPr="00423D32">
        <w:rPr>
          <w:b/>
          <w:bCs/>
        </w:rPr>
        <w:lastRenderedPageBreak/>
        <w:t>Décret n° 2024-1070 du 26 novembre 2024 relatif à la dispensation supplémentaire exceptionnelle de médicaments et de dispositifs médicaux dans le cadre d'un traitement chronique</w:t>
      </w:r>
      <w:r>
        <w:t>.</w:t>
      </w:r>
    </w:p>
    <w:p w14:paraId="05A6CF99" w14:textId="77777777" w:rsidR="00423D32" w:rsidRDefault="00423D32" w:rsidP="00423D32">
      <w:pPr>
        <w:pStyle w:val="Textebrut"/>
      </w:pPr>
      <w:r>
        <w:t>Notice : le décret prévoit qu'à titre exceptionnel et afin d'éviter toute interruption de traitement préjudiciable à la santé du patient, le pharmacien d'officine peut dispenser les médicaments et dispositifs médicaux nécessaires à la poursuite d'un traitement chronique dans la limite de trois mois par délivrance d'un mois, qu'il doit alors porter sur l'ordonnance le nom de chacun des produits concernés et qu'il doit informer le médecin prescripteur par des moyens de communication sécurisés. Le cas échéant, cette délivrance peut s'effectuer au-delà de la date de validité de l'entente préalable de l'organisme de prise en charge</w:t>
      </w:r>
    </w:p>
    <w:p w14:paraId="4BA661AF" w14:textId="045A7AFB" w:rsidR="00527381" w:rsidRDefault="00C53717" w:rsidP="00423D32">
      <w:pPr>
        <w:pStyle w:val="Textebrut"/>
      </w:pPr>
      <w:hyperlink r:id="rId31" w:history="1">
        <w:r w:rsidR="00423D32" w:rsidRPr="004539CD">
          <w:rPr>
            <w:rStyle w:val="Lienhypertexte"/>
          </w:rPr>
          <w:t>https://www.legifrance.gouv.fr/jorf/id/JORFTEXT000050668009</w:t>
        </w:r>
      </w:hyperlink>
    </w:p>
    <w:p w14:paraId="5EE34E4E" w14:textId="77777777" w:rsidR="00423D32" w:rsidRDefault="00423D32" w:rsidP="00423D32">
      <w:pPr>
        <w:pStyle w:val="Textebrut"/>
      </w:pPr>
    </w:p>
    <w:p w14:paraId="7C9B553F" w14:textId="77777777" w:rsidR="00423D32" w:rsidRDefault="00423D32" w:rsidP="00423D32">
      <w:pPr>
        <w:pStyle w:val="Textebrut"/>
      </w:pPr>
      <w:r>
        <w:t>Arrêté du 8 novembre 2024 relatif à l'extension aux régions Centre-Val de Loire, Corse et Occitanie de l'expérimentation « Orientation dans le système de soins (</w:t>
      </w:r>
      <w:proofErr w:type="spellStart"/>
      <w:r>
        <w:t>Osys</w:t>
      </w:r>
      <w:proofErr w:type="spellEnd"/>
      <w:r>
        <w:t>) » portant sur la restructuration du parcours de soins et la dispensation pharmaceutique encadrée</w:t>
      </w:r>
    </w:p>
    <w:p w14:paraId="6E225CBA" w14:textId="50C12463" w:rsidR="00423D32" w:rsidRDefault="00C53717" w:rsidP="00423D32">
      <w:pPr>
        <w:pStyle w:val="Textebrut"/>
      </w:pPr>
      <w:hyperlink r:id="rId32" w:history="1">
        <w:r w:rsidR="00423D32" w:rsidRPr="004539CD">
          <w:rPr>
            <w:rStyle w:val="Lienhypertexte"/>
          </w:rPr>
          <w:t>https://www.legifrance.gouv.fr/jorf/id/JORFTEXT000050668053</w:t>
        </w:r>
      </w:hyperlink>
    </w:p>
    <w:p w14:paraId="6FDE0C11" w14:textId="77777777" w:rsidR="00423D32" w:rsidRDefault="00423D32" w:rsidP="00423D32">
      <w:pPr>
        <w:pStyle w:val="Textebrut"/>
      </w:pPr>
    </w:p>
    <w:p w14:paraId="029C985B" w14:textId="77777777" w:rsidR="00423D32" w:rsidRDefault="00423D32" w:rsidP="00423D32">
      <w:pPr>
        <w:pStyle w:val="Textebrut"/>
      </w:pPr>
      <w:r>
        <w:t>Arrêté du 13 novembre 2024 modifiant l'arrêté du 1er décembre 2016 relatif à la formation des infirmiers et du personnel relevant de structures de soins ou de prévention habilités à réaliser les examens de détection antigénique du paludisme en des lieux éloignés de tout laboratoire de biologie médicale de la Guyane</w:t>
      </w:r>
    </w:p>
    <w:p w14:paraId="2F023FE8" w14:textId="16C4F648" w:rsidR="00423D32" w:rsidRDefault="00C53717" w:rsidP="00423D32">
      <w:pPr>
        <w:pStyle w:val="Textebrut"/>
      </w:pPr>
      <w:hyperlink r:id="rId33" w:history="1">
        <w:r w:rsidR="00423D32" w:rsidRPr="004539CD">
          <w:rPr>
            <w:rStyle w:val="Lienhypertexte"/>
          </w:rPr>
          <w:t>https://www.legifrance.gouv.fr/jorf/id/JORFTEXT000050668059</w:t>
        </w:r>
      </w:hyperlink>
    </w:p>
    <w:p w14:paraId="61CEE512" w14:textId="77777777" w:rsidR="00423D32" w:rsidRDefault="00423D32" w:rsidP="00423D32">
      <w:pPr>
        <w:pStyle w:val="Textebrut"/>
      </w:pPr>
    </w:p>
    <w:p w14:paraId="3518873D" w14:textId="77777777" w:rsidR="00423D32" w:rsidRDefault="00423D32" w:rsidP="00423D32">
      <w:pPr>
        <w:pStyle w:val="Textebrut"/>
      </w:pPr>
      <w:r>
        <w:t>Arrêté du 21 novembre 2024 fixant la liste mentionnée à l'article R. 1241-2-1 du code de la santé publique des tissus et des cellules pour lesquels le prélèvement sur une personne décédée présentant un arrêt cardiaque et respiratoire persistant est autorisé</w:t>
      </w:r>
    </w:p>
    <w:p w14:paraId="1B932499" w14:textId="5E8EE9D1" w:rsidR="00423D32" w:rsidRDefault="00C53717" w:rsidP="00423D32">
      <w:pPr>
        <w:pStyle w:val="Textebrut"/>
      </w:pPr>
      <w:hyperlink r:id="rId34" w:history="1">
        <w:r w:rsidR="00423D32">
          <w:rPr>
            <w:rStyle w:val="Lienhypertexte"/>
          </w:rPr>
          <w:t>https://www.legifrance.gouv.fr/jorf/id/JORFTEXT000050668079</w:t>
        </w:r>
      </w:hyperlink>
    </w:p>
    <w:p w14:paraId="190D7628" w14:textId="77777777" w:rsidR="00852D6F" w:rsidRDefault="00852D6F" w:rsidP="005071FE">
      <w:pPr>
        <w:pStyle w:val="Textebrut"/>
      </w:pPr>
    </w:p>
    <w:p w14:paraId="492499AA" w14:textId="02F54442" w:rsidR="00922C3B" w:rsidRDefault="00922C3B" w:rsidP="00922C3B">
      <w:pPr>
        <w:pStyle w:val="Textebrut"/>
      </w:pPr>
      <w:r>
        <w:t>Décision du 24/09/2024 portant inscription sur les listes I et II des substances vénéneuses définies à l’article L.5132-6 du code de la santé publique (</w:t>
      </w:r>
      <w:r w:rsidR="00FA678D" w:rsidRPr="00FA678D">
        <w:t>passage de la codéine sous forme sirop de la liste II à la liste I des substances vénéneuses reporté du 01/12/2024 au 01/03/2025</w:t>
      </w:r>
      <w:r>
        <w:t>)</w:t>
      </w:r>
    </w:p>
    <w:p w14:paraId="1FA982B0" w14:textId="3361239E" w:rsidR="00423D32" w:rsidRDefault="00922C3B" w:rsidP="00922C3B">
      <w:pPr>
        <w:pStyle w:val="Textebrut"/>
      </w:pPr>
      <w:hyperlink r:id="rId35" w:history="1">
        <w:r w:rsidRPr="00E13FD8">
          <w:rPr>
            <w:rStyle w:val="Lienhypertexte"/>
          </w:rPr>
          <w:t>https://ansm.sante.fr/actualites/decision-du-24-09-2024-portant-inscription-sur-les-listes-i-et-ii-des-substances-veneneuses-definies-a-larticle-l-5132-6-du-code-de-la-sante-publique</w:t>
        </w:r>
      </w:hyperlink>
    </w:p>
    <w:p w14:paraId="43FB6587" w14:textId="77777777" w:rsidR="00922C3B" w:rsidRDefault="00922C3B" w:rsidP="00922C3B">
      <w:pPr>
        <w:pStyle w:val="Textebrut"/>
      </w:pPr>
    </w:p>
    <w:p w14:paraId="6754A4C9" w14:textId="77777777" w:rsidR="00B06463" w:rsidRDefault="00B06463" w:rsidP="00B06463">
      <w:pPr>
        <w:pStyle w:val="Textebrut"/>
      </w:pPr>
      <w:r>
        <w:t xml:space="preserve">Décision du 27/11/2024 modifiant la décision du 24/09/2024 portant application d’une partie de la réglementation des stupéfiants aux médicaments contenant du </w:t>
      </w:r>
      <w:proofErr w:type="spellStart"/>
      <w:r>
        <w:t>tramadol</w:t>
      </w:r>
      <w:proofErr w:type="spellEnd"/>
      <w:r>
        <w:t xml:space="preserve"> et aux médicaments contenant de la codéine ou de la </w:t>
      </w:r>
      <w:proofErr w:type="spellStart"/>
      <w:r>
        <w:t>dihydrocodéine</w:t>
      </w:r>
      <w:proofErr w:type="spellEnd"/>
      <w:r>
        <w:t xml:space="preserve">. </w:t>
      </w:r>
      <w:proofErr w:type="spellStart"/>
      <w:r>
        <w:t>NdlR</w:t>
      </w:r>
      <w:proofErr w:type="spellEnd"/>
      <w:r>
        <w:t xml:space="preserve"> : report de la mesure d’obligation de prescription électronique ou sur ordonnance sécurisée en toutes lettres du 01/12/2024 au 01/03/2025 (comme déjà annoncé. On n’attend plus que la modification du décret d’obligation de prescription électronique qui doit également passer au 01/03/2025)</w:t>
      </w:r>
    </w:p>
    <w:p w14:paraId="0F245477" w14:textId="6C042B31" w:rsidR="00922C3B" w:rsidRDefault="00B06463" w:rsidP="00B06463">
      <w:pPr>
        <w:pStyle w:val="Textebrut"/>
      </w:pPr>
      <w:hyperlink r:id="rId36" w:history="1">
        <w:r w:rsidRPr="00E13FD8">
          <w:rPr>
            <w:rStyle w:val="Lienhypertexte"/>
          </w:rPr>
          <w:t>https://ansm.sante.fr/actualites/decision-du-27-11-2024-modifiant-la-decision-du-24-09-2024-portant-application-dune-partie-de-la-reglementation-des-stupefiants-aux-medicaments-contenant-du-tramadol-et-aux-medicaments-contenant-de-la-codeine-ou-de-la-dihydrocodeine</w:t>
        </w:r>
      </w:hyperlink>
    </w:p>
    <w:p w14:paraId="4280B5A2" w14:textId="77777777" w:rsidR="00B06463" w:rsidRDefault="00B06463" w:rsidP="00B06463">
      <w:pPr>
        <w:pStyle w:val="Textebrut"/>
      </w:pPr>
    </w:p>
    <w:p w14:paraId="71C97EB5" w14:textId="77777777" w:rsidR="00DE782F" w:rsidRDefault="00DE782F" w:rsidP="00DE782F">
      <w:pPr>
        <w:pStyle w:val="Textebrut"/>
      </w:pPr>
      <w:r>
        <w:t>Arrêté du 25 novembre 2024 relatif au modèle du dossier de demande d'inscription et à la liste des éléments justificatifs associés pour la demande de prise en charge des actes innovants de biologie ou d'anatomopathologie hors nomenclatures</w:t>
      </w:r>
    </w:p>
    <w:p w14:paraId="724BBEAC" w14:textId="0745B8B8" w:rsidR="00265642" w:rsidRDefault="00DE782F" w:rsidP="00DE782F">
      <w:pPr>
        <w:pStyle w:val="Textebrut"/>
      </w:pPr>
      <w:hyperlink r:id="rId37" w:history="1">
        <w:r w:rsidRPr="00E13FD8">
          <w:rPr>
            <w:rStyle w:val="Lienhypertexte"/>
          </w:rPr>
          <w:t>https://www.legifrance.gouv.fr/jorf/id/JORFTEXT000050674764</w:t>
        </w:r>
      </w:hyperlink>
    </w:p>
    <w:p w14:paraId="082397B2" w14:textId="77777777" w:rsidR="00DE782F" w:rsidRDefault="00DE782F" w:rsidP="00DE782F">
      <w:pPr>
        <w:pStyle w:val="Textebrut"/>
      </w:pPr>
    </w:p>
    <w:p w14:paraId="40A6B386" w14:textId="77777777" w:rsidR="00DE782F" w:rsidRDefault="00DE782F" w:rsidP="00DE782F">
      <w:pPr>
        <w:pStyle w:val="Textebrut"/>
      </w:pPr>
    </w:p>
    <w:p w14:paraId="74086E28" w14:textId="77777777" w:rsidR="00107ABA" w:rsidRDefault="00107ABA" w:rsidP="00F8571B">
      <w:pPr>
        <w:pStyle w:val="Textebrut"/>
      </w:pPr>
    </w:p>
    <w:p w14:paraId="399A66D1" w14:textId="77777777" w:rsidR="00C53717" w:rsidRDefault="00C53717" w:rsidP="00F8571B">
      <w:pPr>
        <w:pStyle w:val="Textebrut"/>
      </w:pPr>
    </w:p>
    <w:p w14:paraId="5934307A" w14:textId="77777777" w:rsidR="00C53717" w:rsidRDefault="00C53717" w:rsidP="00F8571B">
      <w:pPr>
        <w:pStyle w:val="Textebrut"/>
      </w:pPr>
    </w:p>
    <w:p w14:paraId="7A6CCBCC" w14:textId="77777777" w:rsidR="00C53717" w:rsidRDefault="00C53717" w:rsidP="00F8571B">
      <w:pPr>
        <w:pStyle w:val="Textebrut"/>
      </w:pPr>
    </w:p>
    <w:p w14:paraId="0276DB1D" w14:textId="77777777" w:rsidR="00C73E01" w:rsidRDefault="00C73E01" w:rsidP="00F8571B">
      <w:pPr>
        <w:pStyle w:val="Textebrut"/>
      </w:pPr>
    </w:p>
    <w:p w14:paraId="24C08E46" w14:textId="77777777" w:rsidR="00C73E01" w:rsidRPr="0089584B" w:rsidRDefault="00C53717" w:rsidP="00C73E01">
      <w:pPr>
        <w:pStyle w:val="PEPS"/>
      </w:pPr>
      <w:hyperlink r:id="rId38" w:history="1">
        <w:r w:rsidR="00C73E01" w:rsidRPr="0089584B">
          <w:t>Actualités</w:t>
        </w:r>
      </w:hyperlink>
      <w:r w:rsidR="00C73E01">
        <w:t xml:space="preserve"> Covid-19</w:t>
      </w:r>
      <w:r w:rsidR="00C73E01" w:rsidRPr="0089584B">
        <w:t> :</w:t>
      </w:r>
    </w:p>
    <w:p w14:paraId="0A1EE9C1" w14:textId="77777777" w:rsidR="00C73E01" w:rsidRDefault="00C73E01" w:rsidP="00C73E01">
      <w:pPr>
        <w:pStyle w:val="Textebrut"/>
      </w:pPr>
    </w:p>
    <w:p w14:paraId="5EFA3ED1" w14:textId="77777777" w:rsidR="00AC503D" w:rsidRDefault="00AC503D" w:rsidP="00AC503D">
      <w:pPr>
        <w:pStyle w:val="Textebrut"/>
      </w:pPr>
      <w:r>
        <w:t>Vous retrouverez tout sur ce sujet sur la page d’actualités du PEPPS dédiée :</w:t>
      </w:r>
    </w:p>
    <w:p w14:paraId="4148D07C" w14:textId="77777777" w:rsidR="00C73E01" w:rsidRDefault="00C53717" w:rsidP="00AC503D">
      <w:pPr>
        <w:pStyle w:val="Textebrut"/>
      </w:pPr>
      <w:hyperlink r:id="rId39" w:history="1">
        <w:r w:rsidR="00AC503D" w:rsidRPr="009D7C82">
          <w:rPr>
            <w:rStyle w:val="Lienhypertexte"/>
          </w:rPr>
          <w:t>https://peps.sante.gouv.fr/actu/ncov/actus_2019-ncov.html</w:t>
        </w:r>
      </w:hyperlink>
    </w:p>
    <w:p w14:paraId="217308DB" w14:textId="77777777" w:rsidR="00C73E01" w:rsidRDefault="00C73E01" w:rsidP="00F8571B">
      <w:pPr>
        <w:pStyle w:val="Textebrut"/>
      </w:pPr>
    </w:p>
    <w:p w14:paraId="34FA6BEC" w14:textId="77777777" w:rsidR="00F53077" w:rsidRDefault="00F53077" w:rsidP="00F53077">
      <w:pPr>
        <w:pStyle w:val="Textebrut"/>
      </w:pPr>
      <w:r>
        <w:t>Bulletin épidémiologique hebdomadaire, 5 novembre 2024, n°20-21 Les systèmes d’information au service de la surveillance épidémiologique : enjeux et défis liés à la pandémie de Covid-19 (</w:t>
      </w:r>
      <w:proofErr w:type="spellStart"/>
      <w:r>
        <w:t>SpF</w:t>
      </w:r>
      <w:proofErr w:type="spellEnd"/>
      <w:r>
        <w:t>, 05/11/2024)</w:t>
      </w:r>
    </w:p>
    <w:p w14:paraId="55276AEF" w14:textId="07060487" w:rsidR="00AC503D" w:rsidRDefault="00C53717" w:rsidP="00F53077">
      <w:pPr>
        <w:pStyle w:val="Textebrut"/>
      </w:pPr>
      <w:hyperlink r:id="rId40" w:history="1">
        <w:r w:rsidR="00F53077" w:rsidRPr="008F6B9A">
          <w:rPr>
            <w:rStyle w:val="Lienhypertexte"/>
          </w:rPr>
          <w:t>https://www.santepubliquefrance.fr/maladies-et-traumatismes/maladies-et-infections-respiratoires/covid-19/documents/magazines-revues/bulletin-epidemiologique-hebdomadaire-5-novembre-2024-n-20-21-les-systemes-d-information-au-service-de-la-surveillance-epidemiologique-enjeux-e</w:t>
        </w:r>
      </w:hyperlink>
    </w:p>
    <w:p w14:paraId="78F9E93A" w14:textId="77777777" w:rsidR="00F53077" w:rsidRDefault="00F53077" w:rsidP="00F53077">
      <w:pPr>
        <w:pStyle w:val="Textebrut"/>
      </w:pPr>
    </w:p>
    <w:p w14:paraId="1D8D6B75" w14:textId="77777777" w:rsidR="00FC6F03" w:rsidRDefault="00FC6F03" w:rsidP="00FC6F03">
      <w:pPr>
        <w:pStyle w:val="Textebrut"/>
      </w:pPr>
      <w:r>
        <w:t xml:space="preserve">Quelle est la durée de conservation du vaccin </w:t>
      </w:r>
      <w:proofErr w:type="spellStart"/>
      <w:r>
        <w:t>Comirnaty</w:t>
      </w:r>
      <w:proofErr w:type="spellEnd"/>
      <w:r>
        <w:t xml:space="preserve"> ? (Le Quotidien du pharmacien, 05/11/2024).</w:t>
      </w:r>
    </w:p>
    <w:p w14:paraId="55602325" w14:textId="77777777" w:rsidR="00FC6F03" w:rsidRDefault="00FC6F03" w:rsidP="00FC6F03">
      <w:pPr>
        <w:pStyle w:val="Textebrut"/>
      </w:pPr>
      <w:r>
        <w:t xml:space="preserve">Pour cette campagne de vaccination hivernale contre le Covid, un seul vaccin peut être utilisé, le vaccin </w:t>
      </w:r>
      <w:proofErr w:type="spellStart"/>
      <w:r>
        <w:t>Comirnaty</w:t>
      </w:r>
      <w:proofErr w:type="spellEnd"/>
      <w:r>
        <w:t xml:space="preserve"> JN.1 de Pfizer/</w:t>
      </w:r>
      <w:proofErr w:type="spellStart"/>
      <w:r>
        <w:t>BioNtech</w:t>
      </w:r>
      <w:proofErr w:type="spellEnd"/>
      <w:r>
        <w:t>. Trois dosages sont disponibles selon l’âge du patient. Mais quelles sont les règles de conservation de ce vaccin, notamment une fois que le flacon multidose est ouvert ? On fait le point</w:t>
      </w:r>
    </w:p>
    <w:p w14:paraId="4A9F73E9" w14:textId="3C4D0035" w:rsidR="00F53077" w:rsidRDefault="00C53717" w:rsidP="00FC6F03">
      <w:pPr>
        <w:pStyle w:val="Textebrut"/>
      </w:pPr>
      <w:hyperlink r:id="rId41" w:history="1">
        <w:r w:rsidR="00FC6F03" w:rsidRPr="00A96170">
          <w:rPr>
            <w:rStyle w:val="Lienhypertexte"/>
          </w:rPr>
          <w:t>https://www.lequotidiendupharmacien.fr/exercice-pro/quelle-est-la-duree-de-conservation-du-vaccin-comirnaty</w:t>
        </w:r>
      </w:hyperlink>
    </w:p>
    <w:p w14:paraId="7E81009A" w14:textId="77777777" w:rsidR="00FC6F03" w:rsidRDefault="00FC6F03" w:rsidP="00FC6F03">
      <w:pPr>
        <w:pStyle w:val="Textebrut"/>
      </w:pPr>
    </w:p>
    <w:p w14:paraId="205ECD5A" w14:textId="77777777" w:rsidR="00A43365" w:rsidRDefault="00A43365" w:rsidP="00A43365">
      <w:pPr>
        <w:pStyle w:val="Textebrut"/>
      </w:pPr>
      <w:r>
        <w:t>Le fragile témoignage de Connor Reed, le patient zéro qui aurait attrapé le Covid-19 avant tout le monde (Le Monde, 26/11/2024).</w:t>
      </w:r>
    </w:p>
    <w:p w14:paraId="6FF8C711" w14:textId="77777777" w:rsidR="00A43365" w:rsidRDefault="00A43365" w:rsidP="00A43365">
      <w:pPr>
        <w:pStyle w:val="Textebrut"/>
      </w:pPr>
      <w:r>
        <w:t xml:space="preserve">Cet enseignant gallois, mort en 2020, a laissé un carnet de maladie qui ferait de lui un témoin décisif de l’histoire de la pandémie. Il est très cité par le groupe </w:t>
      </w:r>
      <w:proofErr w:type="spellStart"/>
      <w:r>
        <w:t>Drastic</w:t>
      </w:r>
      <w:proofErr w:type="spellEnd"/>
      <w:r>
        <w:t>, qui ne croit pas à la thèse d’un saut zoonotique, mais son récit ne convainc pas les scientifiques</w:t>
      </w:r>
    </w:p>
    <w:p w14:paraId="3B3D71FC" w14:textId="55B8926A" w:rsidR="00FC6F03" w:rsidRDefault="00C53717" w:rsidP="00A43365">
      <w:pPr>
        <w:pStyle w:val="Textebrut"/>
      </w:pPr>
      <w:hyperlink r:id="rId42" w:history="1">
        <w:r w:rsidR="00A43365" w:rsidRPr="00DC2563">
          <w:rPr>
            <w:rStyle w:val="Lienhypertexte"/>
          </w:rPr>
          <w:t>https://www.lemonde.fr/les-decodeurs/article/2024/11/26/le-fragile-temoignage-de-connor-reed-l-homme-qui-aurait-attrape-le-covid-19-avant-tout-le-monde_6414733_4355770.html</w:t>
        </w:r>
      </w:hyperlink>
    </w:p>
    <w:p w14:paraId="6D6ACA3B" w14:textId="77777777" w:rsidR="00A43365" w:rsidRDefault="00A43365" w:rsidP="00A43365">
      <w:pPr>
        <w:pStyle w:val="Textebrut"/>
      </w:pPr>
    </w:p>
    <w:p w14:paraId="4F82B301" w14:textId="77777777" w:rsidR="00AD5CC7" w:rsidRDefault="00AD5CC7" w:rsidP="00AD5CC7">
      <w:pPr>
        <w:pStyle w:val="Textebrut"/>
      </w:pPr>
      <w:r>
        <w:t>Infections respiratoires aiguës (grippe, bronchiolite, COVID-19). Bulletin du 27 novembre 2024 (</w:t>
      </w:r>
      <w:proofErr w:type="spellStart"/>
      <w:r>
        <w:t>SpF</w:t>
      </w:r>
      <w:proofErr w:type="spellEnd"/>
      <w:r>
        <w:t>, 27/11/2024).</w:t>
      </w:r>
    </w:p>
    <w:p w14:paraId="641A0FBE" w14:textId="77777777" w:rsidR="00AD5CC7" w:rsidRDefault="00AD5CC7" w:rsidP="00AD5CC7">
      <w:pPr>
        <w:pStyle w:val="Textebrut"/>
      </w:pPr>
      <w:r>
        <w:t>Infections respiratoires aiguës : Activité en augmentation en ville et à l'hôpital, principalement chez les enfants.</w:t>
      </w:r>
    </w:p>
    <w:p w14:paraId="56DAD8D1" w14:textId="77777777" w:rsidR="00AD5CC7" w:rsidRDefault="00AD5CC7" w:rsidP="00AD5CC7">
      <w:pPr>
        <w:pStyle w:val="Textebrut"/>
      </w:pPr>
      <w:r>
        <w:t>Grippe : Augmentation des indicateurs en ville et à l'hôpital dans la plupart des classes d'âge. Trois régions hexagonales en pré épidémie.</w:t>
      </w:r>
    </w:p>
    <w:p w14:paraId="24BCC03D" w14:textId="77777777" w:rsidR="00AD5CC7" w:rsidRDefault="00AD5CC7" w:rsidP="00AD5CC7">
      <w:pPr>
        <w:pStyle w:val="Textebrut"/>
      </w:pPr>
      <w:r>
        <w:t>Bronchiolite : Augmentation de la grande majorité des indicateurs. Cinq régions en pré-épidémie et sept en épidémie dans l'Hexagone. Phase épidémique dans les Antilles et en Guyane.</w:t>
      </w:r>
    </w:p>
    <w:p w14:paraId="7827B6BA" w14:textId="77777777" w:rsidR="00AD5CC7" w:rsidRDefault="00AD5CC7" w:rsidP="00AD5CC7">
      <w:pPr>
        <w:pStyle w:val="Textebrut"/>
      </w:pPr>
      <w:r>
        <w:t>COVID-19 : Maintien de la stabilité des indicateurs syndromiques et diminution des indicateurs virologiques</w:t>
      </w:r>
    </w:p>
    <w:p w14:paraId="1150352C" w14:textId="724650F1" w:rsidR="00A121F2" w:rsidRDefault="00C53717" w:rsidP="00AD5CC7">
      <w:pPr>
        <w:pStyle w:val="Textebrut"/>
      </w:pPr>
      <w:hyperlink r:id="rId43" w:history="1">
        <w:r w:rsidR="00AD5CC7" w:rsidRPr="004539CD">
          <w:rPr>
            <w:rStyle w:val="Lienhypertexte"/>
          </w:rPr>
          <w:t>https://www.santepubliquefrance.fr/maladies-et-traumatismes/maladies-et-infections-respiratoires/grippe/documents/bulletin-national/infections-respiratoires-aigues-grippe-bronchiolite-covid-19-.-bulletin-du-27-novembre-2024</w:t>
        </w:r>
      </w:hyperlink>
    </w:p>
    <w:p w14:paraId="05E6438B" w14:textId="77777777" w:rsidR="00AD5CC7" w:rsidRDefault="00AD5CC7" w:rsidP="00AD5CC7">
      <w:pPr>
        <w:pStyle w:val="Textebrut"/>
      </w:pPr>
    </w:p>
    <w:p w14:paraId="2E50C9BB" w14:textId="77777777" w:rsidR="00F53077" w:rsidRDefault="00F53077" w:rsidP="00F53077">
      <w:pPr>
        <w:pStyle w:val="Textebrut"/>
      </w:pPr>
    </w:p>
    <w:p w14:paraId="643E4790" w14:textId="77777777" w:rsidR="00AC503D" w:rsidRDefault="00AC503D" w:rsidP="00F8571B">
      <w:pPr>
        <w:pStyle w:val="Textebrut"/>
      </w:pPr>
    </w:p>
    <w:p w14:paraId="549FFB81" w14:textId="77777777" w:rsidR="004A2652" w:rsidRDefault="004A2652" w:rsidP="00F8571B">
      <w:pPr>
        <w:pStyle w:val="Textebrut"/>
      </w:pPr>
    </w:p>
    <w:p w14:paraId="25D8C305" w14:textId="09012983" w:rsidR="004A2652" w:rsidRPr="0089584B" w:rsidRDefault="00C53717" w:rsidP="004A2652">
      <w:pPr>
        <w:pStyle w:val="PEPS"/>
      </w:pPr>
      <w:hyperlink r:id="rId44" w:history="1">
        <w:r w:rsidR="004A2652" w:rsidRPr="0089584B">
          <w:t>Actualités</w:t>
        </w:r>
      </w:hyperlink>
      <w:r w:rsidR="004A2652">
        <w:t xml:space="preserve"> </w:t>
      </w:r>
      <w:proofErr w:type="spellStart"/>
      <w:r w:rsidR="004A2652">
        <w:t>Mpox</w:t>
      </w:r>
      <w:proofErr w:type="spellEnd"/>
      <w:r w:rsidR="004A2652" w:rsidRPr="0089584B">
        <w:t> :</w:t>
      </w:r>
    </w:p>
    <w:p w14:paraId="07BE5CBA" w14:textId="77777777" w:rsidR="004A2652" w:rsidRDefault="004A2652" w:rsidP="004A2652">
      <w:pPr>
        <w:pStyle w:val="Textebrut"/>
      </w:pPr>
    </w:p>
    <w:p w14:paraId="2CF8111B" w14:textId="77777777" w:rsidR="004A2652" w:rsidRDefault="004A2652" w:rsidP="004A2652">
      <w:pPr>
        <w:pStyle w:val="Textebrut"/>
      </w:pPr>
      <w:r>
        <w:t>Vous retrouverez tout sur ce sujet sur la page d’actualités du PEPPS dédiée :</w:t>
      </w:r>
    </w:p>
    <w:p w14:paraId="121558F3" w14:textId="4D8C6A26" w:rsidR="004A2652" w:rsidRDefault="00C53717" w:rsidP="004A2652">
      <w:pPr>
        <w:pStyle w:val="Textebrut"/>
      </w:pPr>
      <w:hyperlink r:id="rId45" w:history="1">
        <w:r w:rsidR="004A2652" w:rsidRPr="00C2407D">
          <w:rPr>
            <w:rStyle w:val="Lienhypertexte"/>
          </w:rPr>
          <w:t>https://peps.sante.gouv.fr/actu/mpx/actus_mpx.html</w:t>
        </w:r>
      </w:hyperlink>
    </w:p>
    <w:p w14:paraId="1366AC3C" w14:textId="77777777" w:rsidR="004A2652" w:rsidRDefault="004A2652" w:rsidP="004A2652">
      <w:pPr>
        <w:pStyle w:val="Textebrut"/>
      </w:pPr>
    </w:p>
    <w:p w14:paraId="30CFA891" w14:textId="77777777" w:rsidR="004A2652" w:rsidRDefault="004A2652" w:rsidP="004A2652">
      <w:pPr>
        <w:pStyle w:val="Textebrut"/>
      </w:pPr>
      <w:r>
        <w:t>Actualisation de la FAQ du ministère (30/10/2024) :</w:t>
      </w:r>
    </w:p>
    <w:p w14:paraId="298281B1" w14:textId="77777777" w:rsidR="004A2652" w:rsidRDefault="004A2652" w:rsidP="004A2652">
      <w:pPr>
        <w:pStyle w:val="Textebrut"/>
      </w:pPr>
      <w:r>
        <w:t>Situation en France et à l’international</w:t>
      </w:r>
    </w:p>
    <w:p w14:paraId="0EB633ED" w14:textId="77777777" w:rsidR="004A2652" w:rsidRDefault="004A2652" w:rsidP="004A2652">
      <w:pPr>
        <w:pStyle w:val="Textebrut"/>
      </w:pPr>
      <w:r>
        <w:t xml:space="preserve">Un premier cas de </w:t>
      </w:r>
      <w:proofErr w:type="spellStart"/>
      <w:r>
        <w:t>mpox</w:t>
      </w:r>
      <w:proofErr w:type="spellEnd"/>
      <w:r>
        <w:t xml:space="preserve"> de Clade 1 a été détecté en Suède le 15 août 2024, puis en Allemagne le 22 octobre 2024 et au Royaume-Uni le 30 octobre 2024. Dans le reste du monde, un cas a été recensé en Thaïlande</w:t>
      </w:r>
    </w:p>
    <w:p w14:paraId="44154197" w14:textId="0A68AFF8" w:rsidR="004A2652" w:rsidRDefault="00C53717" w:rsidP="004A2652">
      <w:pPr>
        <w:pStyle w:val="Textebrut"/>
      </w:pPr>
      <w:hyperlink r:id="rId46" w:history="1">
        <w:r w:rsidR="004A2652" w:rsidRPr="00C2407D">
          <w:rPr>
            <w:rStyle w:val="Lienhypertexte"/>
          </w:rPr>
          <w:t>https://solidarites-sante.gouv.fr/soins-et-maladies/maladies/maladies-infectieuses/monkeypox/article/monkeypox-variole-du-singe-questions-reponses</w:t>
        </w:r>
      </w:hyperlink>
    </w:p>
    <w:p w14:paraId="7E820482" w14:textId="77777777" w:rsidR="004A2652" w:rsidRDefault="004A2652" w:rsidP="004A2652">
      <w:pPr>
        <w:pStyle w:val="Textebrut"/>
      </w:pPr>
      <w:r>
        <w:t xml:space="preserve">Actualisation de la page </w:t>
      </w:r>
      <w:proofErr w:type="spellStart"/>
      <w:r>
        <w:t>Mpox</w:t>
      </w:r>
      <w:proofErr w:type="spellEnd"/>
      <w:r>
        <w:t xml:space="preserve"> : le point sur le virus sur le site du Ministère (30/10/2024) :</w:t>
      </w:r>
    </w:p>
    <w:p w14:paraId="5CF3FA71" w14:textId="77777777" w:rsidR="004A2652" w:rsidRDefault="004A2652" w:rsidP="004A2652">
      <w:pPr>
        <w:pStyle w:val="Textebrut"/>
      </w:pPr>
      <w:r>
        <w:lastRenderedPageBreak/>
        <w:t>Situation en France et à l’international</w:t>
      </w:r>
    </w:p>
    <w:p w14:paraId="16DBADC6" w14:textId="77777777" w:rsidR="004A2652" w:rsidRDefault="004A2652" w:rsidP="004A2652">
      <w:pPr>
        <w:pStyle w:val="Textebrut"/>
      </w:pPr>
      <w:r>
        <w:t xml:space="preserve">Un premier cas de </w:t>
      </w:r>
      <w:proofErr w:type="spellStart"/>
      <w:r>
        <w:t>mpox</w:t>
      </w:r>
      <w:proofErr w:type="spellEnd"/>
      <w:r>
        <w:t xml:space="preserve"> de Clade 1 a été détecté en Suède le 15 août 2024, puis en Allemagne le 22 octobre 2024 et au Royaume-Uni le 30 octobre 2024</w:t>
      </w:r>
    </w:p>
    <w:p w14:paraId="540A0B3C" w14:textId="630CCFBF" w:rsidR="004A2652" w:rsidRDefault="00C53717" w:rsidP="004A2652">
      <w:pPr>
        <w:pStyle w:val="Textebrut"/>
      </w:pPr>
      <w:hyperlink r:id="rId47" w:history="1">
        <w:r w:rsidR="004A2652" w:rsidRPr="00C2407D">
          <w:rPr>
            <w:rStyle w:val="Lienhypertexte"/>
          </w:rPr>
          <w:t>https://solidarites-sante.gouv.fr/soins-et-maladies/maladies/maladies-infectieuses/monkeypox/cas-groupes-d-infection-par-le-virus-monkeypox</w:t>
        </w:r>
      </w:hyperlink>
    </w:p>
    <w:p w14:paraId="72845526" w14:textId="77777777" w:rsidR="004A2652" w:rsidRDefault="004A2652" w:rsidP="004A2652">
      <w:pPr>
        <w:pStyle w:val="Textebrut"/>
      </w:pPr>
    </w:p>
    <w:p w14:paraId="13B32B6E" w14:textId="77777777" w:rsidR="00864C8B" w:rsidRDefault="00864C8B" w:rsidP="00864C8B">
      <w:pPr>
        <w:pStyle w:val="Textebrut"/>
      </w:pPr>
      <w:proofErr w:type="spellStart"/>
      <w:r>
        <w:t>Mpox</w:t>
      </w:r>
      <w:proofErr w:type="spellEnd"/>
      <w:r>
        <w:t xml:space="preserve"> : quelles sont les nouvelles recommandations vaccinales ? (</w:t>
      </w:r>
      <w:proofErr w:type="gramStart"/>
      <w:r>
        <w:t>service-public.fr</w:t>
      </w:r>
      <w:proofErr w:type="gramEnd"/>
      <w:r>
        <w:t>, 30/10/2024).</w:t>
      </w:r>
    </w:p>
    <w:p w14:paraId="5B95D255" w14:textId="77777777" w:rsidR="00864C8B" w:rsidRDefault="00864C8B" w:rsidP="00864C8B">
      <w:pPr>
        <w:pStyle w:val="Textebrut"/>
      </w:pPr>
      <w:r>
        <w:t xml:space="preserve">Le virus </w:t>
      </w:r>
      <w:proofErr w:type="spellStart"/>
      <w:r>
        <w:t>Mpox</w:t>
      </w:r>
      <w:proofErr w:type="spellEnd"/>
      <w:r>
        <w:t xml:space="preserve"> (</w:t>
      </w:r>
      <w:proofErr w:type="spellStart"/>
      <w:r>
        <w:t>Monkeypox</w:t>
      </w:r>
      <w:proofErr w:type="spellEnd"/>
      <w:r>
        <w:t>, anciennement nommé « variole du singe ») est une maladie infectieuse qui se caractérise notamment par une éruption cutanée, parfois accompagnée de fièvre ou de ganglions. La transmission se produit notamment par un contact physique direct avec la peau lésée ou les fluides biologiques (sang, sperme…) d’une personne infectée. Un arrêté publié au Journal officiel le 26 octobre 2024 indique les nouvelles recommandations concernant la vaccination contre ce virus</w:t>
      </w:r>
    </w:p>
    <w:p w14:paraId="7D855BA2" w14:textId="22A33FA9" w:rsidR="004A2652" w:rsidRDefault="00C53717" w:rsidP="00864C8B">
      <w:pPr>
        <w:pStyle w:val="Textebrut"/>
      </w:pPr>
      <w:hyperlink r:id="rId48" w:history="1">
        <w:r w:rsidR="00864C8B" w:rsidRPr="00B2418E">
          <w:rPr>
            <w:rStyle w:val="Lienhypertexte"/>
          </w:rPr>
          <w:t>https://www.service-public.fr/particuliers/actualites/A17787</w:t>
        </w:r>
      </w:hyperlink>
    </w:p>
    <w:p w14:paraId="3B320E55" w14:textId="77777777" w:rsidR="00864C8B" w:rsidRDefault="00864C8B" w:rsidP="00864C8B">
      <w:pPr>
        <w:pStyle w:val="Textebrut"/>
      </w:pPr>
    </w:p>
    <w:p w14:paraId="62076454" w14:textId="77777777" w:rsidR="007659AF" w:rsidRDefault="007659AF" w:rsidP="007659AF">
      <w:pPr>
        <w:pStyle w:val="Textebrut"/>
      </w:pPr>
      <w:proofErr w:type="spellStart"/>
      <w:r>
        <w:t>Mpox</w:t>
      </w:r>
      <w:proofErr w:type="spellEnd"/>
      <w:r>
        <w:t xml:space="preserve"> : l’OMS approuve un second vaccin, fabriqué par une société pharmaceutique japonaise (Le Monde, 20/11/2024).</w:t>
      </w:r>
    </w:p>
    <w:p w14:paraId="50A0CBEC" w14:textId="77777777" w:rsidR="007659AF" w:rsidRDefault="007659AF" w:rsidP="007659AF">
      <w:pPr>
        <w:pStyle w:val="Textebrut"/>
      </w:pPr>
      <w:r>
        <w:t>Cette autorisation d’utilisation d’urgence permet à tous les pays d’approuver et d’importer rapidement le vaccin LC16m8 en vue de sa distribution</w:t>
      </w:r>
    </w:p>
    <w:p w14:paraId="5999D341" w14:textId="13EBC799" w:rsidR="00864C8B" w:rsidRDefault="00C53717" w:rsidP="007659AF">
      <w:pPr>
        <w:pStyle w:val="Textebrut"/>
      </w:pPr>
      <w:hyperlink r:id="rId49" w:history="1">
        <w:r w:rsidR="007659AF" w:rsidRPr="00AC3D9C">
          <w:rPr>
            <w:rStyle w:val="Lienhypertexte"/>
          </w:rPr>
          <w:t>https://www.lemonde.fr/sante/article/2024/11/20/virus-mpox-l-oms-approuve-un-second-vaccin-fabrique-par-une-societe-pharmaceutique-japonaise_6403895_1651302.html</w:t>
        </w:r>
      </w:hyperlink>
    </w:p>
    <w:p w14:paraId="6AD4CDDB" w14:textId="77777777" w:rsidR="007659AF" w:rsidRDefault="007659AF" w:rsidP="007659AF">
      <w:pPr>
        <w:pStyle w:val="Textebrut"/>
      </w:pPr>
    </w:p>
    <w:p w14:paraId="651A811D" w14:textId="77777777" w:rsidR="00AD5CC7" w:rsidRDefault="00AD5CC7" w:rsidP="00AD5CC7">
      <w:pPr>
        <w:pStyle w:val="Textebrut"/>
      </w:pPr>
      <w:r>
        <w:t xml:space="preserve">Cas de </w:t>
      </w:r>
      <w:proofErr w:type="spellStart"/>
      <w:r>
        <w:t>Mpox</w:t>
      </w:r>
      <w:proofErr w:type="spellEnd"/>
      <w:r>
        <w:t xml:space="preserve"> en France. 1er janvier - 26 novembre 2024 (</w:t>
      </w:r>
      <w:proofErr w:type="spellStart"/>
      <w:r>
        <w:t>SpF</w:t>
      </w:r>
      <w:proofErr w:type="spellEnd"/>
      <w:r>
        <w:t>, 27/11/2024).</w:t>
      </w:r>
    </w:p>
    <w:p w14:paraId="44D8203C" w14:textId="77777777" w:rsidR="00AD5CC7" w:rsidRDefault="00AD5CC7" w:rsidP="00AD5CC7">
      <w:pPr>
        <w:pStyle w:val="Textebrut"/>
      </w:pPr>
      <w:r>
        <w:t xml:space="preserve">Au total, 209 cas de </w:t>
      </w:r>
      <w:proofErr w:type="spellStart"/>
      <w:r>
        <w:t>mpox</w:t>
      </w:r>
      <w:proofErr w:type="spellEnd"/>
      <w:r>
        <w:t xml:space="preserve"> ont été déclarés à Santé publique France depuis le 1er janvier 2024, dont 6 sur les 14 derniers jours. Seuls des virus </w:t>
      </w:r>
      <w:proofErr w:type="spellStart"/>
      <w:r>
        <w:t>Monkeypox</w:t>
      </w:r>
      <w:proofErr w:type="spellEnd"/>
      <w:r>
        <w:t xml:space="preserve"> de clade II ont été détectés par le CNR des </w:t>
      </w:r>
      <w:proofErr w:type="spellStart"/>
      <w:r>
        <w:t>Orthopoxvirus</w:t>
      </w:r>
      <w:proofErr w:type="spellEnd"/>
      <w:r>
        <w:t>. Les cas déclarés concernent tous des adultes, 201 hommes et 8 femmes</w:t>
      </w:r>
    </w:p>
    <w:p w14:paraId="7004EC37" w14:textId="6F7818F8" w:rsidR="007659AF" w:rsidRDefault="00C53717" w:rsidP="00AD5CC7">
      <w:pPr>
        <w:pStyle w:val="Textebrut"/>
      </w:pPr>
      <w:hyperlink r:id="rId50" w:history="1">
        <w:r w:rsidR="00AD5CC7" w:rsidRPr="004539CD">
          <w:rPr>
            <w:rStyle w:val="Lienhypertexte"/>
          </w:rPr>
          <w:t>https://www.santepubliquefrance.fr/maladies-et-traumatismes/maladies-transmissibles-de-l-animal-a-l-homme/mpox/documents/bulletin-national/cas-de-mpox-en-france.-1er-janvier-26-novembre-2024</w:t>
        </w:r>
      </w:hyperlink>
    </w:p>
    <w:p w14:paraId="0C9B061A" w14:textId="77777777" w:rsidR="00AD5CC7" w:rsidRDefault="00AD5CC7" w:rsidP="00AD5CC7">
      <w:pPr>
        <w:pStyle w:val="Textebrut"/>
      </w:pPr>
    </w:p>
    <w:p w14:paraId="45698875" w14:textId="77777777" w:rsidR="00AD5CC7" w:rsidRDefault="00AD5CC7" w:rsidP="00AD5CC7">
      <w:pPr>
        <w:pStyle w:val="Textebrut"/>
      </w:pPr>
    </w:p>
    <w:p w14:paraId="580217B3" w14:textId="77777777" w:rsidR="004A2652" w:rsidRDefault="004A2652" w:rsidP="004A2652">
      <w:pPr>
        <w:pStyle w:val="Textebrut"/>
      </w:pPr>
    </w:p>
    <w:p w14:paraId="444C3900" w14:textId="77777777" w:rsidR="00126647" w:rsidRDefault="00126647" w:rsidP="00F8571B">
      <w:pPr>
        <w:pStyle w:val="Textebrut"/>
      </w:pPr>
    </w:p>
    <w:p w14:paraId="3B339F19" w14:textId="77777777" w:rsidR="00107ABA" w:rsidRPr="0089584B" w:rsidRDefault="00C53717" w:rsidP="0089584B">
      <w:pPr>
        <w:pStyle w:val="PEPS"/>
      </w:pPr>
      <w:hyperlink r:id="rId51" w:history="1">
        <w:r w:rsidR="00930CE0" w:rsidRPr="0089584B">
          <w:t>Autres actualités</w:t>
        </w:r>
      </w:hyperlink>
      <w:r w:rsidR="00930CE0" w:rsidRPr="0089584B">
        <w:t> :</w:t>
      </w:r>
    </w:p>
    <w:p w14:paraId="466B63B7" w14:textId="77777777" w:rsidR="00AC503D" w:rsidRDefault="00AC503D" w:rsidP="00AC503D">
      <w:pPr>
        <w:pStyle w:val="Textebrut"/>
      </w:pPr>
      <w:r>
        <w:t>En ligne sur la page d’actualités du PEPPS :</w:t>
      </w:r>
    </w:p>
    <w:p w14:paraId="20DD30F5" w14:textId="77777777" w:rsidR="00AC503D" w:rsidRDefault="00C53717" w:rsidP="00AC503D">
      <w:pPr>
        <w:pStyle w:val="Textebrut"/>
      </w:pPr>
      <w:hyperlink r:id="rId52" w:history="1">
        <w:r w:rsidR="00AC503D" w:rsidRPr="002859B7">
          <w:rPr>
            <w:rStyle w:val="Lienhypertexte"/>
          </w:rPr>
          <w:t>https://peps.sante.gouv.fr/actu/actualites.html</w:t>
        </w:r>
      </w:hyperlink>
    </w:p>
    <w:p w14:paraId="60ABF9CC" w14:textId="77777777" w:rsidR="00930CE0" w:rsidRDefault="00930CE0" w:rsidP="00F8571B">
      <w:pPr>
        <w:pStyle w:val="Textebrut"/>
      </w:pPr>
    </w:p>
    <w:p w14:paraId="45075C64" w14:textId="77777777" w:rsidR="00567067" w:rsidRDefault="00567067" w:rsidP="00567067">
      <w:pPr>
        <w:pStyle w:val="Textebrut"/>
      </w:pPr>
      <w:r>
        <w:t>Interdiction des prélèvements nasopharyngés, oropharyngés, salivaires ou nasaux par les techniciens de laboratoire : la DGOS répond au courrier du SDBIO (</w:t>
      </w:r>
      <w:proofErr w:type="spellStart"/>
      <w:r>
        <w:t>SdBio</w:t>
      </w:r>
      <w:proofErr w:type="spellEnd"/>
      <w:r>
        <w:t>, 29/10/2024)</w:t>
      </w:r>
    </w:p>
    <w:p w14:paraId="4AFC60C2" w14:textId="35EC531F" w:rsidR="00567067" w:rsidRDefault="00C53717" w:rsidP="00567067">
      <w:pPr>
        <w:pStyle w:val="Textebrut"/>
      </w:pPr>
      <w:hyperlink r:id="rId53" w:history="1">
        <w:r w:rsidR="00567067" w:rsidRPr="00B2418E">
          <w:rPr>
            <w:rStyle w:val="Lienhypertexte"/>
          </w:rPr>
          <w:t>https://www.sdbio.eu/actualites/fil-d-infos/interdiction-des-prelevements-par-les-techniciens-de-laboratoire-la-dgos-repond-au-courrier-du-sdbio</w:t>
        </w:r>
      </w:hyperlink>
    </w:p>
    <w:p w14:paraId="2C58C8FA" w14:textId="77777777" w:rsidR="00567067" w:rsidRDefault="00567067" w:rsidP="00567067">
      <w:pPr>
        <w:pStyle w:val="Textebrut"/>
      </w:pPr>
    </w:p>
    <w:p w14:paraId="1E10D467" w14:textId="592DBEC5" w:rsidR="009A212A" w:rsidRDefault="009A212A" w:rsidP="009A212A">
      <w:pPr>
        <w:pStyle w:val="Textebrut"/>
      </w:pPr>
      <w:r>
        <w:t>Alerte des biologistes médicaux pour la survie des laboratoires de proximité : explications (Les biologistes médicaux, 28/10/2024)</w:t>
      </w:r>
    </w:p>
    <w:p w14:paraId="0C439644" w14:textId="3C52DE71" w:rsidR="009A212A" w:rsidRDefault="00C53717" w:rsidP="009A212A">
      <w:pPr>
        <w:pStyle w:val="Textebrut"/>
      </w:pPr>
      <w:hyperlink r:id="rId54" w:history="1">
        <w:r w:rsidR="009A212A" w:rsidRPr="00C2407D">
          <w:rPr>
            <w:rStyle w:val="Lienhypertexte"/>
          </w:rPr>
          <w:t>https://lesbiologistesmedicaux.fr/communiques/communiques/alerte-des-biologistes-medicaux-pour-la-survie-des-laboratoires-de-proximite-explications</w:t>
        </w:r>
      </w:hyperlink>
    </w:p>
    <w:p w14:paraId="72A6127E" w14:textId="77777777" w:rsidR="009A212A" w:rsidRDefault="009A212A" w:rsidP="009A212A">
      <w:pPr>
        <w:pStyle w:val="Textebrut"/>
      </w:pPr>
    </w:p>
    <w:p w14:paraId="3B238F35" w14:textId="77777777" w:rsidR="00234A96" w:rsidRDefault="00234A96" w:rsidP="00234A96">
      <w:pPr>
        <w:pStyle w:val="Textebrut"/>
      </w:pPr>
      <w:r>
        <w:t>DOSSIER – Quelle réponse sanitaire et médicale à un accident nucléaire ou radiologique ? (IRSN)</w:t>
      </w:r>
    </w:p>
    <w:p w14:paraId="5E39B639" w14:textId="77777777" w:rsidR="00234A96" w:rsidRDefault="00234A96" w:rsidP="00234A96">
      <w:pPr>
        <w:pStyle w:val="Textebrut"/>
      </w:pPr>
      <w:r>
        <w:t>Même si la France n’a jamais connu d’accident nucléaire ou radiologique de grande ampleur, l’IRSN se prépare, le cas échéant, à y faire face. Notamment pour accompagner le tri et la prise en charge médicale des victimes. Il peut compter, pour cela, sur son centre technique de crise, sur ses outils de reconstruction des expositions radiologiques, sur ses moyens mobiles et fixes de mesures dosimétriques, mais aussi sur son expérience unique d’appui au traitement des victimes contaminées ou irradiées</w:t>
      </w:r>
    </w:p>
    <w:p w14:paraId="28A1D357" w14:textId="00CD3276" w:rsidR="009A212A" w:rsidRDefault="00C53717" w:rsidP="00234A96">
      <w:pPr>
        <w:pStyle w:val="Textebrut"/>
      </w:pPr>
      <w:hyperlink r:id="rId55" w:history="1">
        <w:r w:rsidR="00234A96" w:rsidRPr="00B2418E">
          <w:rPr>
            <w:rStyle w:val="Lienhypertexte"/>
          </w:rPr>
          <w:t>https://reperes.irsn.fr/dossier/dossier-quelle-reponse-sanitaire-et-medicale-un-accident-nucleaire-ou-radiologique</w:t>
        </w:r>
      </w:hyperlink>
    </w:p>
    <w:p w14:paraId="3D4BCCC7" w14:textId="77777777" w:rsidR="00234A96" w:rsidRDefault="00234A96" w:rsidP="00234A96">
      <w:pPr>
        <w:pStyle w:val="Textebrut"/>
      </w:pPr>
    </w:p>
    <w:p w14:paraId="7E5B29BB" w14:textId="77777777" w:rsidR="00234A96" w:rsidRDefault="00234A96" w:rsidP="00234A96">
      <w:pPr>
        <w:pStyle w:val="Textebrut"/>
      </w:pPr>
      <w:r>
        <w:t>Désinfection et décontamination : nouvelle réglementation pour les produits biocides (Ordre national des chirurgiens-dentistes, 01/11/2024).</w:t>
      </w:r>
    </w:p>
    <w:p w14:paraId="0A5CD629" w14:textId="77777777" w:rsidR="00234A96" w:rsidRDefault="00234A96" w:rsidP="00234A96">
      <w:pPr>
        <w:pStyle w:val="Textebrut"/>
      </w:pPr>
      <w:r>
        <w:t>Depuis le 1er janvier 2024, de nouvelles dispositions sont en vigueur concernant l’utilisation et la distribution de certains produits biocides en France. L’arrêté “</w:t>
      </w:r>
      <w:proofErr w:type="spellStart"/>
      <w:r>
        <w:t>certibiocide</w:t>
      </w:r>
      <w:proofErr w:type="spellEnd"/>
      <w:r>
        <w:t xml:space="preserve">” du 29/01/2023 inclut désormais les produits désinfectants et antisalissure. A partir du 1er janvier 2025, les chirurgiens-dentistes, comme de nombreux autres professionnels, devront suivre une formation spécifique pour obtenir les nouveaux « </w:t>
      </w:r>
      <w:proofErr w:type="spellStart"/>
      <w:r>
        <w:t>certibiocides</w:t>
      </w:r>
      <w:proofErr w:type="spellEnd"/>
      <w:r>
        <w:t xml:space="preserve"> », valables cinq ans ; certificats sans lesquels ils ne pourront plus se procurer ces produits</w:t>
      </w:r>
    </w:p>
    <w:p w14:paraId="658D73F1" w14:textId="581976EE" w:rsidR="00234A96" w:rsidRDefault="00C53717" w:rsidP="00234A96">
      <w:pPr>
        <w:pStyle w:val="Textebrut"/>
      </w:pPr>
      <w:hyperlink r:id="rId56" w:history="1">
        <w:r w:rsidR="00234A96" w:rsidRPr="00B2418E">
          <w:rPr>
            <w:rStyle w:val="Lienhypertexte"/>
          </w:rPr>
          <w:t>https://www.ordre-chirurgiens-dentistes.fr/actualites/desinfection-et-decontamination-nouvelle-reglementation-pour-les-produits-biocides/</w:t>
        </w:r>
      </w:hyperlink>
    </w:p>
    <w:p w14:paraId="03808C34" w14:textId="77777777" w:rsidR="00C9569F" w:rsidRDefault="00C9569F" w:rsidP="00C9569F">
      <w:pPr>
        <w:pStyle w:val="Textebrut"/>
      </w:pPr>
      <w:r>
        <w:t xml:space="preserve">Notice explicative de l’arrêté « </w:t>
      </w:r>
      <w:proofErr w:type="spellStart"/>
      <w:r>
        <w:t>Certibiocide</w:t>
      </w:r>
      <w:proofErr w:type="spellEnd"/>
      <w:r>
        <w:t xml:space="preserve"> » du 9 octobre 2013 modifié relatif aux conditions d’exercice de l’activité d’utilisateur professionnel et de distributeur de certains types de produits biocides (Ministère de l’écologie, octobre 2023)</w:t>
      </w:r>
    </w:p>
    <w:p w14:paraId="6658DC66" w14:textId="419D1556" w:rsidR="00234A96" w:rsidRDefault="00C53717" w:rsidP="00C9569F">
      <w:pPr>
        <w:pStyle w:val="Textebrut"/>
      </w:pPr>
      <w:hyperlink r:id="rId57" w:history="1">
        <w:r w:rsidR="00C9569F" w:rsidRPr="00B2418E">
          <w:rPr>
            <w:rStyle w:val="Lienhypertexte"/>
          </w:rPr>
          <w:t>https://certibiocide.din.developpement-durable.gouv.fr/assets/images/notice-explicative-certibiocide-janvier-2024.pdf</w:t>
        </w:r>
      </w:hyperlink>
    </w:p>
    <w:p w14:paraId="19524748" w14:textId="77777777" w:rsidR="00C9569F" w:rsidRDefault="00C9569F" w:rsidP="00C9569F">
      <w:pPr>
        <w:pStyle w:val="Textebrut"/>
      </w:pPr>
    </w:p>
    <w:p w14:paraId="02663E03" w14:textId="77777777" w:rsidR="00567067" w:rsidRDefault="00567067" w:rsidP="00567067">
      <w:pPr>
        <w:pStyle w:val="Textebrut"/>
      </w:pPr>
      <w:r>
        <w:t>Mobilisation générale - Appel à tous les biologistes de terrain (Les biologistes médicaux, 04/11/2024).</w:t>
      </w:r>
    </w:p>
    <w:p w14:paraId="2765AEE4" w14:textId="77777777" w:rsidR="00567067" w:rsidRDefault="00567067" w:rsidP="00567067">
      <w:pPr>
        <w:pStyle w:val="Textebrut"/>
      </w:pPr>
      <w:r>
        <w:t xml:space="preserve">Notre appel vous est adressé à vous, biologistes, </w:t>
      </w:r>
      <w:proofErr w:type="spellStart"/>
      <w:r>
        <w:t>consoeurs</w:t>
      </w:r>
      <w:proofErr w:type="spellEnd"/>
      <w:r>
        <w:t xml:space="preserve"> et confrères. La mobilisation que nous lançons n’a pas d’autre but que de préserver notre bien commun : notre métier, notre rôle, notre avenir</w:t>
      </w:r>
    </w:p>
    <w:p w14:paraId="6B9C10D4" w14:textId="667D53A3" w:rsidR="00C9569F" w:rsidRDefault="00C53717" w:rsidP="00567067">
      <w:pPr>
        <w:pStyle w:val="Textebrut"/>
      </w:pPr>
      <w:hyperlink r:id="rId58" w:history="1">
        <w:r w:rsidR="00567067" w:rsidRPr="00B2418E">
          <w:rPr>
            <w:rStyle w:val="Lienhypertexte"/>
          </w:rPr>
          <w:t>https://www.sdbio.eu/component/acym/archive/2218-mobilisation-generale-appel-a-tous-les-biologistes-de-terrain</w:t>
        </w:r>
      </w:hyperlink>
    </w:p>
    <w:p w14:paraId="7B2E1104" w14:textId="77777777" w:rsidR="00567067" w:rsidRDefault="00567067" w:rsidP="00567067">
      <w:pPr>
        <w:pStyle w:val="Textebrut"/>
      </w:pPr>
    </w:p>
    <w:p w14:paraId="18308A57" w14:textId="77777777" w:rsidR="00061ADB" w:rsidRDefault="00061ADB" w:rsidP="00061ADB">
      <w:pPr>
        <w:pStyle w:val="Textebrut"/>
      </w:pPr>
      <w:r>
        <w:t xml:space="preserve">Point de situation sur les traitements par </w:t>
      </w:r>
      <w:proofErr w:type="spellStart"/>
      <w:r>
        <w:t>fluoropyrimidines</w:t>
      </w:r>
      <w:proofErr w:type="spellEnd"/>
      <w:r>
        <w:t xml:space="preserve"> et la recherche obligatoire d’un déficit en DPD (ANSM, 05/11/2024).</w:t>
      </w:r>
    </w:p>
    <w:p w14:paraId="1937DBB6" w14:textId="77777777" w:rsidR="00061ADB" w:rsidRDefault="00061ADB" w:rsidP="00061ADB">
      <w:pPr>
        <w:pStyle w:val="Textebrut"/>
      </w:pPr>
      <w:r>
        <w:t xml:space="preserve">Les chimiothérapies contenant des </w:t>
      </w:r>
      <w:proofErr w:type="spellStart"/>
      <w:r>
        <w:t>fluoropyrimidines</w:t>
      </w:r>
      <w:proofErr w:type="spellEnd"/>
      <w:r>
        <w:t xml:space="preserve"> (5-fluorouracile (5-FU) et </w:t>
      </w:r>
      <w:proofErr w:type="spellStart"/>
      <w:r>
        <w:t>capécitabine</w:t>
      </w:r>
      <w:proofErr w:type="spellEnd"/>
      <w:r>
        <w:t xml:space="preserve">) font l’objet d’une surveillance renforcée en raison du risque accru de toxicité sévère potentiellement mortelle chez les patients présentant un déficit en </w:t>
      </w:r>
      <w:proofErr w:type="spellStart"/>
      <w:r>
        <w:t>dihydropyrimidine</w:t>
      </w:r>
      <w:proofErr w:type="spellEnd"/>
      <w:r>
        <w:t xml:space="preserve"> déshydrogénase (DPD), une enzyme permettant leur élimination. Les données de pharmacovigilance sont de nouveau rassurantes sur le rôle de la recherche systématique de ce déficit dans la prévention des effets indésirables toxiques liés aux </w:t>
      </w:r>
      <w:proofErr w:type="spellStart"/>
      <w:r>
        <w:t>fluoropyrimidines</w:t>
      </w:r>
      <w:proofErr w:type="spellEnd"/>
      <w:r>
        <w:t>.</w:t>
      </w:r>
    </w:p>
    <w:p w14:paraId="0EF4A020" w14:textId="77777777" w:rsidR="00061ADB" w:rsidRDefault="00061ADB" w:rsidP="00061ADB">
      <w:pPr>
        <w:pStyle w:val="Textebrut"/>
      </w:pPr>
      <w:r>
        <w:t>De nouvelles actions ont été engagées pour améliorer et suivre l’application par les professionnels de santé de l’obligation de ce dépistage avant toute initiation de traitement</w:t>
      </w:r>
    </w:p>
    <w:p w14:paraId="0E0363B8" w14:textId="3D443146" w:rsidR="00061ADB" w:rsidRDefault="00C53717" w:rsidP="00061ADB">
      <w:pPr>
        <w:pStyle w:val="Textebrut"/>
      </w:pPr>
      <w:hyperlink r:id="rId59" w:history="1">
        <w:r w:rsidR="00061ADB" w:rsidRPr="00A96170">
          <w:rPr>
            <w:rStyle w:val="Lienhypertexte"/>
          </w:rPr>
          <w:t>https://ansm.sante.fr/actualites/point-de-situation-sur-les-traitements-par-fluoropyrimidines-et-la-recherche-obligatoire-dun-deficit-en-dpd</w:t>
        </w:r>
      </w:hyperlink>
    </w:p>
    <w:p w14:paraId="4071E5E3" w14:textId="2A1BF7EF" w:rsidR="00061ADB" w:rsidRDefault="00061ADB" w:rsidP="00061ADB">
      <w:pPr>
        <w:pStyle w:val="Textebrut"/>
      </w:pPr>
      <w:r>
        <w:t xml:space="preserve">Médicaments à base de 5-fluorouracile (IV) : en cas d’insuffisance rénale modérée ou sévère, le test de dépistage du déficit en </w:t>
      </w:r>
      <w:proofErr w:type="spellStart"/>
      <w:r>
        <w:t>dihydropyrimidine</w:t>
      </w:r>
      <w:proofErr w:type="spellEnd"/>
      <w:r>
        <w:t xml:space="preserve"> déshydrogénase (DPD) par mesure des taux sanguins d'uracile doit être interprété avec prudence (ANSM, 05/11/2024).</w:t>
      </w:r>
    </w:p>
    <w:p w14:paraId="6C8D063C" w14:textId="77777777" w:rsidR="00061ADB" w:rsidRDefault="00061ADB" w:rsidP="00061ADB">
      <w:pPr>
        <w:pStyle w:val="Textebrut"/>
      </w:pPr>
      <w:r>
        <w:t>Information destinée aux oncologues, hématologues, gastro-entérologues, gynécologues, médecins ORL, radiothérapeutes, sénologues, pharmaciens hospitaliers et laboratoires d’analyse de biologie médicale (à l’hôpital et en ville)</w:t>
      </w:r>
    </w:p>
    <w:p w14:paraId="6F3D9950" w14:textId="5FAB24F5" w:rsidR="00567067" w:rsidRDefault="00C53717" w:rsidP="00061ADB">
      <w:pPr>
        <w:pStyle w:val="Textebrut"/>
      </w:pPr>
      <w:hyperlink r:id="rId60" w:history="1">
        <w:r w:rsidR="00061ADB" w:rsidRPr="00A96170">
          <w:rPr>
            <w:rStyle w:val="Lienhypertexte"/>
          </w:rPr>
          <w:t>https://ansm.sante.fr/informations-de-securite/medicaments-a-base-de-5-fluorouracile-iv-en-cas-dinsuffisance-renale-moderee-ou-severe-le-test-de-depistage-du-deficit-en-dihydropyrimidine-deshydrogenase-dpd-par-mesure-des-taux-sanguins-duracile-doit-etre-interprete-avec-prudence</w:t>
        </w:r>
      </w:hyperlink>
    </w:p>
    <w:p w14:paraId="5F1E6F88" w14:textId="77777777" w:rsidR="00061ADB" w:rsidRDefault="00061ADB" w:rsidP="00061ADB">
      <w:pPr>
        <w:pStyle w:val="Textebrut"/>
      </w:pPr>
    </w:p>
    <w:p w14:paraId="6A94D128" w14:textId="77777777" w:rsidR="00FC6F03" w:rsidRDefault="00FC6F03" w:rsidP="00FC6F03">
      <w:pPr>
        <w:pStyle w:val="Textebrut"/>
      </w:pPr>
      <w:r>
        <w:t>Infectiologie : quels relais pour les médecins ? (Gazette de l'infectiologie, SPILF, 06/11/2024)</w:t>
      </w:r>
    </w:p>
    <w:p w14:paraId="66C02935" w14:textId="7AB157E5" w:rsidR="00061ADB" w:rsidRDefault="00C53717" w:rsidP="00FC6F03">
      <w:pPr>
        <w:pStyle w:val="Textebrut"/>
      </w:pPr>
      <w:hyperlink r:id="rId61" w:history="1">
        <w:r w:rsidR="00FC6F03" w:rsidRPr="00A96170">
          <w:rPr>
            <w:rStyle w:val="Lienhypertexte"/>
          </w:rPr>
          <w:t>https://www.infectiologie.com/UserFiles/File/grand-public/reportage-25-infectiologie-quels-relais-pour-les-medecins.pdf</w:t>
        </w:r>
      </w:hyperlink>
    </w:p>
    <w:p w14:paraId="38FD9280" w14:textId="77777777" w:rsidR="00FC6F03" w:rsidRDefault="00FC6F03" w:rsidP="00FC6F03">
      <w:pPr>
        <w:pStyle w:val="Textebrut"/>
      </w:pPr>
    </w:p>
    <w:p w14:paraId="29619A68" w14:textId="77777777" w:rsidR="00FC6F03" w:rsidRDefault="00FC6F03" w:rsidP="00FC6F03">
      <w:pPr>
        <w:pStyle w:val="Textebrut"/>
      </w:pPr>
      <w:r>
        <w:t>Substitution médicaments hybrides : conditions et champ d’application (ameli.fr, 06/11/2024)</w:t>
      </w:r>
    </w:p>
    <w:p w14:paraId="107BFBB7" w14:textId="34612CDD" w:rsidR="00FC6F03" w:rsidRDefault="00C53717" w:rsidP="00FC6F03">
      <w:pPr>
        <w:pStyle w:val="Textebrut"/>
      </w:pPr>
      <w:hyperlink r:id="rId62" w:history="1">
        <w:r w:rsidR="00FC6F03" w:rsidRPr="00A96170">
          <w:rPr>
            <w:rStyle w:val="Lienhypertexte"/>
          </w:rPr>
          <w:t>https://www.ameli.fr/pharmacien/actualites/substitution-medicaments-hybrides-conditions-et-champ-d-application</w:t>
        </w:r>
      </w:hyperlink>
    </w:p>
    <w:p w14:paraId="5966489A" w14:textId="77777777" w:rsidR="0078631D" w:rsidRDefault="0078631D" w:rsidP="0078631D">
      <w:pPr>
        <w:pStyle w:val="Textebrut"/>
      </w:pPr>
      <w:r>
        <w:lastRenderedPageBreak/>
        <w:t>Qu’est-ce qu’un médicament hybride ? (</w:t>
      </w:r>
      <w:proofErr w:type="gramStart"/>
      <w:r>
        <w:t>ameli.fr</w:t>
      </w:r>
      <w:proofErr w:type="gramEnd"/>
      <w:r>
        <w:t>, 06/11/2024)</w:t>
      </w:r>
    </w:p>
    <w:p w14:paraId="3D30D253" w14:textId="0CD2A671" w:rsidR="00FC6F03" w:rsidRDefault="00C53717" w:rsidP="0078631D">
      <w:pPr>
        <w:pStyle w:val="Textebrut"/>
      </w:pPr>
      <w:hyperlink r:id="rId63" w:history="1">
        <w:r w:rsidR="0078631D" w:rsidRPr="00097206">
          <w:rPr>
            <w:rStyle w:val="Lienhypertexte"/>
          </w:rPr>
          <w:t>https://www.ameli.fr/assure/actualites/qu-est-ce-qu-un-medicament-hybride</w:t>
        </w:r>
      </w:hyperlink>
    </w:p>
    <w:p w14:paraId="1783A7D8" w14:textId="77777777" w:rsidR="0078631D" w:rsidRDefault="0078631D" w:rsidP="0078631D">
      <w:pPr>
        <w:pStyle w:val="Textebrut"/>
      </w:pPr>
    </w:p>
    <w:p w14:paraId="1D3CB8ED" w14:textId="77777777" w:rsidR="007F446F" w:rsidRDefault="007F446F" w:rsidP="007F446F">
      <w:pPr>
        <w:pStyle w:val="Textebrut"/>
      </w:pPr>
      <w:r>
        <w:t>Dépistage néonatal : s'informer pour décider (HAS, documents usagers, actualisation du 25/10/2024)</w:t>
      </w:r>
    </w:p>
    <w:p w14:paraId="7BB60B53" w14:textId="7D7834CE" w:rsidR="00FC6F03" w:rsidRDefault="00C53717" w:rsidP="007F446F">
      <w:pPr>
        <w:pStyle w:val="Textebrut"/>
      </w:pPr>
      <w:hyperlink r:id="rId64" w:history="1">
        <w:r w:rsidR="007F446F" w:rsidRPr="00A96170">
          <w:rPr>
            <w:rStyle w:val="Lienhypertexte"/>
          </w:rPr>
          <w:t>https://www.has-sante.fr/jcms/p_3285576/fr/depistage-neonatal-s-informer-pour-decider</w:t>
        </w:r>
      </w:hyperlink>
    </w:p>
    <w:p w14:paraId="606B3A71" w14:textId="77777777" w:rsidR="007F446F" w:rsidRDefault="007F446F" w:rsidP="007F446F">
      <w:pPr>
        <w:pStyle w:val="Textebrut"/>
      </w:pPr>
    </w:p>
    <w:p w14:paraId="3FF0BDD1" w14:textId="77777777" w:rsidR="003E4D20" w:rsidRDefault="003E4D20" w:rsidP="003E4D20">
      <w:pPr>
        <w:pStyle w:val="Textebrut"/>
      </w:pPr>
      <w:r>
        <w:t>Acétate de chlormadinone et méningiomes intracrâniens (EPI-PHARE, 06/11/2024).</w:t>
      </w:r>
    </w:p>
    <w:p w14:paraId="11AEC15D" w14:textId="77777777" w:rsidR="003E4D20" w:rsidRDefault="003E4D20" w:rsidP="003E4D20">
      <w:pPr>
        <w:pStyle w:val="Textebrut"/>
      </w:pPr>
      <w:r>
        <w:t>Une forte relation dose-effet a été observée entre l’utilisation prolongée de l’acétate de chlormadinone [</w:t>
      </w:r>
      <w:proofErr w:type="spellStart"/>
      <w:r>
        <w:t>NdlR</w:t>
      </w:r>
      <w:proofErr w:type="spellEnd"/>
      <w:r>
        <w:t xml:space="preserve"> : </w:t>
      </w:r>
      <w:proofErr w:type="spellStart"/>
      <w:r>
        <w:t>Lutéran</w:t>
      </w:r>
      <w:proofErr w:type="spellEnd"/>
      <w:r>
        <w:t>® ou autres] et le risque de méningiome opéré intracrânien. Comme avec d’autres progestatifs, les méningiomes associés à l’acétate de chlormadinone sont plus susceptibles de se trouver à la base du crâne</w:t>
      </w:r>
    </w:p>
    <w:p w14:paraId="08B660A4" w14:textId="187A8296" w:rsidR="007F446F" w:rsidRDefault="00C53717" w:rsidP="003E4D20">
      <w:pPr>
        <w:pStyle w:val="Textebrut"/>
      </w:pPr>
      <w:hyperlink r:id="rId65" w:history="1">
        <w:r w:rsidR="003E4D20" w:rsidRPr="00761EC5">
          <w:rPr>
            <w:rStyle w:val="Lienhypertexte"/>
          </w:rPr>
          <w:t>https://www.epi-phare.fr/rapports-detudes-et-publications/chlormadinone-meningiome/</w:t>
        </w:r>
      </w:hyperlink>
    </w:p>
    <w:p w14:paraId="7C275F0F" w14:textId="77777777" w:rsidR="003E4D20" w:rsidRDefault="003E4D20" w:rsidP="003E4D20">
      <w:pPr>
        <w:pStyle w:val="Textebrut"/>
      </w:pPr>
    </w:p>
    <w:p w14:paraId="43C3BE8B" w14:textId="77777777" w:rsidR="00261F16" w:rsidRDefault="00261F16" w:rsidP="00261F16">
      <w:pPr>
        <w:pStyle w:val="Textebrut"/>
      </w:pPr>
      <w:r>
        <w:t>Consommation d’antibiotiques en secteur de ville en France : tendance à la baisse en 2023 (</w:t>
      </w:r>
      <w:proofErr w:type="spellStart"/>
      <w:r>
        <w:t>SpF</w:t>
      </w:r>
      <w:proofErr w:type="spellEnd"/>
      <w:r>
        <w:t>, 06/11/2024).</w:t>
      </w:r>
    </w:p>
    <w:p w14:paraId="4771C006" w14:textId="77777777" w:rsidR="00261F16" w:rsidRDefault="00261F16" w:rsidP="00261F16">
      <w:pPr>
        <w:pStyle w:val="Textebrut"/>
      </w:pPr>
      <w:r>
        <w:t>En amont de la Semaine mondiale de sensibilisation à la résistance aux antimicrobiens (18 au 24 novembre) et de la Journée Européenne d'Information sur les Antibiotiques (18 novembre), Santé publique France fait le point sur la consommation d’antibiotiques en France</w:t>
      </w:r>
    </w:p>
    <w:p w14:paraId="57D72681" w14:textId="0D1A8103" w:rsidR="003E4D20" w:rsidRDefault="00C53717" w:rsidP="00261F16">
      <w:pPr>
        <w:pStyle w:val="Textebrut"/>
      </w:pPr>
      <w:hyperlink r:id="rId66" w:history="1">
        <w:r w:rsidR="00261F16" w:rsidRPr="00761EC5">
          <w:rPr>
            <w:rStyle w:val="Lienhypertexte"/>
          </w:rPr>
          <w:t>https://www.santepubliquefrance.fr/presse/2024/consommation-d-antibiotiques-en-secteur-de-ville-en-france-tendance-a-la-baisse-en-2023</w:t>
        </w:r>
      </w:hyperlink>
    </w:p>
    <w:p w14:paraId="6E9B2CD8" w14:textId="77777777" w:rsidR="003757C6" w:rsidRDefault="003757C6" w:rsidP="003757C6">
      <w:pPr>
        <w:pStyle w:val="Textebrut"/>
      </w:pPr>
      <w:r>
        <w:t>Consommation d’antibiotiques : du mieux, mais… (Le Moniteur des pharmacies, 06/11/2024).</w:t>
      </w:r>
    </w:p>
    <w:p w14:paraId="52145D84" w14:textId="77777777" w:rsidR="003757C6" w:rsidRDefault="003757C6" w:rsidP="003757C6">
      <w:pPr>
        <w:pStyle w:val="Textebrut"/>
      </w:pPr>
      <w:r>
        <w:t>Santé publique France publie ce jour les données de surveillance de la consommation d’antibiotiques en ville pour l’année 2023</w:t>
      </w:r>
    </w:p>
    <w:p w14:paraId="3DABD0FD" w14:textId="1407C7A9" w:rsidR="00261F16" w:rsidRDefault="00C53717" w:rsidP="003757C6">
      <w:pPr>
        <w:pStyle w:val="Textebrut"/>
      </w:pPr>
      <w:hyperlink r:id="rId67" w:history="1">
        <w:r w:rsidR="003757C6" w:rsidRPr="00761EC5">
          <w:rPr>
            <w:rStyle w:val="Lienhypertexte"/>
          </w:rPr>
          <w:t>https://www.lemoniteurdespharmacies.fr/actu/actualites/actus-medicaments/consommation-d-antibiotiques-du-mieux-mais.html</w:t>
        </w:r>
      </w:hyperlink>
    </w:p>
    <w:p w14:paraId="0EC7B28F" w14:textId="77777777" w:rsidR="003757C6" w:rsidRDefault="003757C6" w:rsidP="003757C6">
      <w:pPr>
        <w:pStyle w:val="Textebrut"/>
      </w:pPr>
    </w:p>
    <w:p w14:paraId="560EDF46" w14:textId="77777777" w:rsidR="00E5449E" w:rsidRDefault="00E5449E" w:rsidP="00E5449E">
      <w:pPr>
        <w:pStyle w:val="Textebrut"/>
      </w:pPr>
      <w:r>
        <w:t xml:space="preserve">Réponse du mouvement intersyndical à l’Assurance Maladie </w:t>
      </w:r>
      <w:proofErr w:type="gramStart"/>
      <w:r>
        <w:t>:  «</w:t>
      </w:r>
      <w:proofErr w:type="gramEnd"/>
      <w:r>
        <w:t xml:space="preserve"> Le temps de la </w:t>
      </w:r>
      <w:proofErr w:type="spellStart"/>
      <w:r>
        <w:t>vérite</w:t>
      </w:r>
      <w:proofErr w:type="spellEnd"/>
      <w:r>
        <w:t>́ ! » (Les Biologistes médicaux, 07/11/2024).</w:t>
      </w:r>
    </w:p>
    <w:p w14:paraId="13985733" w14:textId="77777777" w:rsidR="00E5449E" w:rsidRDefault="00E5449E" w:rsidP="00E5449E">
      <w:pPr>
        <w:pStyle w:val="Textebrut"/>
      </w:pPr>
      <w:r>
        <w:t xml:space="preserve">À la suite du communiqué de presse de l’Assurance Maladie diffusé le 29 octobre 2024, le mouvement de l’intersyndicale des biologistes </w:t>
      </w:r>
      <w:proofErr w:type="spellStart"/>
      <w:r>
        <w:t>médicaux</w:t>
      </w:r>
      <w:proofErr w:type="spellEnd"/>
      <w:r>
        <w:t xml:space="preserve"> souhaite </w:t>
      </w:r>
      <w:proofErr w:type="spellStart"/>
      <w:r>
        <w:t>réagir</w:t>
      </w:r>
      <w:proofErr w:type="spellEnd"/>
      <w:r>
        <w:t xml:space="preserve"> et </w:t>
      </w:r>
      <w:proofErr w:type="spellStart"/>
      <w:r>
        <w:t>préciser</w:t>
      </w:r>
      <w:proofErr w:type="spellEnd"/>
      <w:r>
        <w:t xml:space="preserve"> </w:t>
      </w:r>
      <w:proofErr w:type="spellStart"/>
      <w:r>
        <w:t>différents</w:t>
      </w:r>
      <w:proofErr w:type="spellEnd"/>
      <w:r>
        <w:t xml:space="preserve"> </w:t>
      </w:r>
      <w:proofErr w:type="spellStart"/>
      <w:r>
        <w:t>éléments</w:t>
      </w:r>
      <w:proofErr w:type="spellEnd"/>
      <w:r>
        <w:t xml:space="preserve"> dont la </w:t>
      </w:r>
      <w:proofErr w:type="spellStart"/>
      <w:r>
        <w:t>présentation</w:t>
      </w:r>
      <w:proofErr w:type="spellEnd"/>
      <w:r>
        <w:t xml:space="preserve"> lui </w:t>
      </w:r>
      <w:proofErr w:type="spellStart"/>
      <w:r>
        <w:t>apparaît</w:t>
      </w:r>
      <w:proofErr w:type="spellEnd"/>
      <w:r>
        <w:t xml:space="preserve"> </w:t>
      </w:r>
      <w:proofErr w:type="spellStart"/>
      <w:r>
        <w:t>tronquée</w:t>
      </w:r>
      <w:proofErr w:type="spellEnd"/>
    </w:p>
    <w:p w14:paraId="11414326" w14:textId="71A9459C" w:rsidR="003757C6" w:rsidRDefault="00C53717" w:rsidP="00E5449E">
      <w:pPr>
        <w:pStyle w:val="Textebrut"/>
      </w:pPr>
      <w:hyperlink r:id="rId68" w:history="1">
        <w:r w:rsidR="00E5449E" w:rsidRPr="00761EC5">
          <w:rPr>
            <w:rStyle w:val="Lienhypertexte"/>
          </w:rPr>
          <w:t>https://657gg.r.a.d.sendibm1.com/mk/mr/sh/SMJz09SDriOHWPUdu9ZxkroEZuAV/h3EoiPImYnXI</w:t>
        </w:r>
      </w:hyperlink>
    </w:p>
    <w:p w14:paraId="5A530EA2" w14:textId="77777777" w:rsidR="00E5449E" w:rsidRDefault="00E5449E" w:rsidP="00E5449E">
      <w:pPr>
        <w:pStyle w:val="Textebrut"/>
      </w:pPr>
    </w:p>
    <w:p w14:paraId="20F332CD" w14:textId="77777777" w:rsidR="00F67102" w:rsidRDefault="00F67102" w:rsidP="00F67102">
      <w:pPr>
        <w:pStyle w:val="Textebrut"/>
      </w:pPr>
      <w:r>
        <w:t>La situation financière de la sécurité sociale (Cour des comptes, 06/11/2024).</w:t>
      </w:r>
    </w:p>
    <w:p w14:paraId="2CF0B738" w14:textId="77777777" w:rsidR="00F67102" w:rsidRDefault="00F67102" w:rsidP="00F67102">
      <w:pPr>
        <w:pStyle w:val="Textebrut"/>
      </w:pPr>
      <w:r>
        <w:t>En mai dernier, la Cour des comptes a publié son rapport annuel sur l’application des lois de financement de la sécurité sociale (</w:t>
      </w:r>
      <w:proofErr w:type="spellStart"/>
      <w:r>
        <w:t>Ralfss</w:t>
      </w:r>
      <w:proofErr w:type="spellEnd"/>
      <w:r>
        <w:t>). Elle critiquait la trajectoire financière de la sécurité sociale qui comportait des déficits croissants d’ici à 2027. À l’occasion de l’examen parlementaire du projet de loi de financement de la sécurité sociale (PLFSS) pour 2025, la Cour a actualisé son analyse sur les enjeux financiers liés à la sécurité sociale. Les commissions des affaires sociales de l’Assemblée nationale et du Sénat ont souhaité obtenir communication de ces travaux1. Dans sa communication aux Assemblées, la Cour constate que 2024 est une année de rupture dans la résorption du déficit de la sécurité sociale depuis le pic atteint en 2020 lors de la crise sanitaire. Le PLFSS pour 2025 comprend un ensemble de mesures en recettes et en dépenses de nature à endiguer ponctuellement l’aggravation du déficit. Pour autant, d’ici à 2028, la trajectoire financière de la sécurité sociale continuerait de se dégrader, le déficit annuel atteindrait 19,9 Md€. L’accumulation de tels déficits, sans solution de financement, conduit à la reconstitution d’une nouvelle dette sociale qui atteindrait, d’ici à 2028, près de 100 Md€</w:t>
      </w:r>
    </w:p>
    <w:p w14:paraId="7F9BB0A9" w14:textId="46A03716" w:rsidR="00E5449E" w:rsidRDefault="00C53717" w:rsidP="00F67102">
      <w:pPr>
        <w:pStyle w:val="Textebrut"/>
      </w:pPr>
      <w:hyperlink r:id="rId69" w:history="1">
        <w:r w:rsidR="00F67102" w:rsidRPr="00761EC5">
          <w:rPr>
            <w:rStyle w:val="Lienhypertexte"/>
          </w:rPr>
          <w:t>https://www.ccomptes.fr/fr/publications/la-situation-financiere-de-la-securite-sociale</w:t>
        </w:r>
      </w:hyperlink>
    </w:p>
    <w:p w14:paraId="5FAA1B5F" w14:textId="77777777" w:rsidR="00F67102" w:rsidRDefault="00F67102" w:rsidP="00F67102">
      <w:pPr>
        <w:pStyle w:val="Textebrut"/>
      </w:pPr>
    </w:p>
    <w:p w14:paraId="282C3214" w14:textId="77777777" w:rsidR="002B7D45" w:rsidRDefault="002B7D45" w:rsidP="002B7D45">
      <w:pPr>
        <w:pStyle w:val="Textebrut"/>
      </w:pPr>
      <w:r>
        <w:t>Programme national de dépistage néonatal : détecter et prendre en charge précocement 13 maladies graves de l’enfant (CNOP, 07/11/2024).</w:t>
      </w:r>
    </w:p>
    <w:p w14:paraId="4289DF97" w14:textId="77777777" w:rsidR="002B7D45" w:rsidRDefault="002B7D45" w:rsidP="002B7D45">
      <w:pPr>
        <w:pStyle w:val="Textebrut"/>
      </w:pPr>
      <w:r>
        <w:t>Le ministère de la Santé et de l’Accès aux soins présente le programme national de dépistage néonatal. Il concerne tous les nouveau-nés qui naissent en France et vise à détecter des maladies rares, sévères et le plus souvent génétiques ainsi que la surdité</w:t>
      </w:r>
    </w:p>
    <w:p w14:paraId="0505F282" w14:textId="4C3C5E7A" w:rsidR="002B7D45" w:rsidRDefault="00C53717" w:rsidP="002B7D45">
      <w:pPr>
        <w:pStyle w:val="Textebrut"/>
      </w:pPr>
      <w:hyperlink r:id="rId70" w:history="1">
        <w:r w:rsidR="002B7D45" w:rsidRPr="00820589">
          <w:rPr>
            <w:rStyle w:val="Lienhypertexte"/>
          </w:rPr>
          <w:t>https://www.ordre.pharmacien.fr/les-communications/focus-sur/les-actualites/programme-national-de-depistage-neonatal-detecter-et-prendre-en-charge-precocement-13-maladies-graves-de-l-enfant</w:t>
        </w:r>
      </w:hyperlink>
    </w:p>
    <w:p w14:paraId="2D40E305" w14:textId="77777777" w:rsidR="002B7D45" w:rsidRDefault="002B7D45" w:rsidP="002B7D45">
      <w:pPr>
        <w:pStyle w:val="Textebrut"/>
      </w:pPr>
    </w:p>
    <w:p w14:paraId="49F35F0E" w14:textId="77777777" w:rsidR="00DC40A1" w:rsidRDefault="00DC40A1" w:rsidP="00DC40A1">
      <w:pPr>
        <w:pStyle w:val="Textebrut"/>
      </w:pPr>
      <w:r>
        <w:t>Dérives sectaires : les clés pour observer, prévenir et aider les patients (CNOP, 07/11/2024).</w:t>
      </w:r>
    </w:p>
    <w:p w14:paraId="1B5F526F" w14:textId="428B847F" w:rsidR="00DC40A1" w:rsidRDefault="00C53717" w:rsidP="00DC40A1">
      <w:pPr>
        <w:pStyle w:val="Textebrut"/>
      </w:pPr>
      <w:hyperlink r:id="rId71" w:history="1">
        <w:r w:rsidR="00DC40A1" w:rsidRPr="00820589">
          <w:rPr>
            <w:rStyle w:val="Lienhypertexte"/>
          </w:rPr>
          <w:t>https://www.ordre.pharmacien.fr/les-communications/focus-sur/les-actualites/derives-sectaires-les-cles-pour-observer-prevenir-et-aider-les-patients</w:t>
        </w:r>
      </w:hyperlink>
    </w:p>
    <w:p w14:paraId="7E0A1FF7" w14:textId="4812FC21" w:rsidR="00480869" w:rsidRDefault="00480869" w:rsidP="00DC40A1">
      <w:pPr>
        <w:pStyle w:val="Textebrut"/>
      </w:pPr>
      <w:r>
        <w:t xml:space="preserve">Donner les clés aux pharmaciens pour observer, prévenir et aider les patients - Convention de partenariat entre l'Ordre national des pharmaciens et la </w:t>
      </w:r>
      <w:proofErr w:type="spellStart"/>
      <w:r>
        <w:t>Miviludes</w:t>
      </w:r>
      <w:proofErr w:type="spellEnd"/>
      <w:r>
        <w:t xml:space="preserve"> (CNOP, 07/11/2024).</w:t>
      </w:r>
    </w:p>
    <w:p w14:paraId="65794CDA" w14:textId="77777777" w:rsidR="00480869" w:rsidRDefault="00480869" w:rsidP="00480869">
      <w:pPr>
        <w:pStyle w:val="Textebrut"/>
      </w:pPr>
      <w:r>
        <w:t xml:space="preserve">Ce jeudi 7 novembre 2024, Etienne </w:t>
      </w:r>
      <w:proofErr w:type="spellStart"/>
      <w:r>
        <w:t>Apaire</w:t>
      </w:r>
      <w:proofErr w:type="spellEnd"/>
      <w:r>
        <w:t>, Président de la Mission interministérielle de vigilance et de lutte contre les dérives sectaires, Secrétaire Général du Comité Interministériel de Prévention de la Délinquance et de la Radicalisation (SG CIPDR) et Carine Wolf-Thal, Présidente du Conseil national de l’Ordre des pharmaciens ont signé une convention renforçant leur coopération en matière de prévention, d’information des pharmaciens et de sensibilisation des patients aux situations à risque de dérives sectaires en santé</w:t>
      </w:r>
    </w:p>
    <w:p w14:paraId="0C8C4F51" w14:textId="1912A4AE" w:rsidR="00F67102" w:rsidRDefault="00C53717" w:rsidP="00480869">
      <w:pPr>
        <w:pStyle w:val="Textebrut"/>
      </w:pPr>
      <w:hyperlink r:id="rId72" w:history="1">
        <w:r w:rsidR="00480869" w:rsidRPr="00820589">
          <w:rPr>
            <w:rStyle w:val="Lienhypertexte"/>
          </w:rPr>
          <w:t>https://www.ordre.pharmacien.fr/mediatheque/fichiers/communiques-de-presse/cp-donner-les-cles-aux-pharmaciens-pour-observer-prevenir-et-aider-les-patients-convention-de-partenariat-entre-l-ordre-national-des-pharmacie</w:t>
        </w:r>
      </w:hyperlink>
    </w:p>
    <w:p w14:paraId="1D0CEA38" w14:textId="77777777" w:rsidR="00480869" w:rsidRDefault="00480869" w:rsidP="00480869">
      <w:pPr>
        <w:pStyle w:val="Textebrut"/>
      </w:pPr>
    </w:p>
    <w:p w14:paraId="7C700F89" w14:textId="77777777" w:rsidR="00DC40A1" w:rsidRDefault="00DC40A1" w:rsidP="00DC40A1">
      <w:pPr>
        <w:pStyle w:val="Textebrut"/>
      </w:pPr>
      <w:r>
        <w:t xml:space="preserve">Troisième groupe biologique similaire substituable par le pharmacien d'officine : </w:t>
      </w:r>
      <w:proofErr w:type="spellStart"/>
      <w:r>
        <w:t>Ranibizumab</w:t>
      </w:r>
      <w:proofErr w:type="spellEnd"/>
      <w:r>
        <w:t xml:space="preserve"> (LUCENTIS® et ses biosimilaires) (CNOP, 07/11/2024).</w:t>
      </w:r>
    </w:p>
    <w:p w14:paraId="7210E4A4" w14:textId="77777777" w:rsidR="00DC40A1" w:rsidRDefault="00DC40A1" w:rsidP="00DC40A1">
      <w:pPr>
        <w:pStyle w:val="Textebrut"/>
      </w:pPr>
      <w:r>
        <w:t xml:space="preserve">L'arrêté du 31 octobre 2024 paru au JO du 3 novembre 2024 permet dorénavant la substitution par le pharmacien d'officine au sein du groupe biologique similaire du </w:t>
      </w:r>
      <w:proofErr w:type="spellStart"/>
      <w:r>
        <w:t>Ranibizumab</w:t>
      </w:r>
      <w:proofErr w:type="spellEnd"/>
      <w:r>
        <w:t xml:space="preserve"> (LUCENTIS® et ses biosimilaires). Cette disposition s'ajoute à celles déjà en vigueur pour les groupes du </w:t>
      </w:r>
      <w:proofErr w:type="spellStart"/>
      <w:r>
        <w:t>Filgrastrim</w:t>
      </w:r>
      <w:proofErr w:type="spellEnd"/>
      <w:r>
        <w:t xml:space="preserve"> et </w:t>
      </w:r>
      <w:proofErr w:type="spellStart"/>
      <w:r>
        <w:t>Pegfilgrastim</w:t>
      </w:r>
      <w:proofErr w:type="spellEnd"/>
      <w:r>
        <w:t xml:space="preserve"> depuis avril 2022</w:t>
      </w:r>
    </w:p>
    <w:p w14:paraId="0A8B4A44" w14:textId="75F09CFF" w:rsidR="00480869" w:rsidRDefault="00C53717" w:rsidP="00DC40A1">
      <w:pPr>
        <w:pStyle w:val="Textebrut"/>
      </w:pPr>
      <w:hyperlink r:id="rId73" w:history="1">
        <w:r w:rsidR="00DC40A1" w:rsidRPr="00820589">
          <w:rPr>
            <w:rStyle w:val="Lienhypertexte"/>
          </w:rPr>
          <w:t>https://www.ordre.pharmacien.fr/les-communications/focus-sur/les-actualites/troisieme-groupe-biologique-similaire-substituable-par-le-pharmacien-d-officine-ranibizumab-lucentis-R-et-ses-biosimilaires</w:t>
        </w:r>
      </w:hyperlink>
    </w:p>
    <w:p w14:paraId="734397CC" w14:textId="77777777" w:rsidR="00DC40A1" w:rsidRDefault="00DC40A1" w:rsidP="00DC40A1">
      <w:pPr>
        <w:pStyle w:val="Textebrut"/>
      </w:pPr>
    </w:p>
    <w:p w14:paraId="0EEB5299" w14:textId="77777777" w:rsidR="002B7D45" w:rsidRDefault="002B7D45" w:rsidP="002B7D45">
      <w:pPr>
        <w:pStyle w:val="Textebrut"/>
      </w:pPr>
      <w:r>
        <w:t>Tatouage et maquillage permanent : les précautions à prendre avant de se lancer (service-public.fr, 07/11/2024).</w:t>
      </w:r>
    </w:p>
    <w:p w14:paraId="74CC6390" w14:textId="77777777" w:rsidR="002B7D45" w:rsidRDefault="002B7D45" w:rsidP="002B7D45">
      <w:pPr>
        <w:pStyle w:val="Textebrut"/>
      </w:pPr>
      <w:r>
        <w:t>Vous envisagez de vous faire tatouer ou de réaliser un maquillage permanent ? Attention, ce n’est pas un acte anodin. Un arrêté paru le 11 octobre 2024 étend le dispositif de formation obligatoire des personnes pratiquant le tatouage par effraction cutanée et le perçage corporel, au maquillage permanent. Service-Public.fr vous délivre quelques conseils pour choisir le professionnel approprié et sur les gestes d’hygiène essentiels</w:t>
      </w:r>
    </w:p>
    <w:p w14:paraId="34BD4811" w14:textId="29139641" w:rsidR="00DC40A1" w:rsidRDefault="00C53717" w:rsidP="002B7D45">
      <w:pPr>
        <w:pStyle w:val="Textebrut"/>
      </w:pPr>
      <w:hyperlink r:id="rId74" w:history="1">
        <w:r w:rsidR="002B7D45" w:rsidRPr="00820589">
          <w:rPr>
            <w:rStyle w:val="Lienhypertexte"/>
          </w:rPr>
          <w:t>https://www.service-public.fr/particuliers/actualites/A16705</w:t>
        </w:r>
      </w:hyperlink>
    </w:p>
    <w:p w14:paraId="7962765B" w14:textId="77777777" w:rsidR="002B7D45" w:rsidRDefault="002B7D45" w:rsidP="002B7D45">
      <w:pPr>
        <w:pStyle w:val="Textebrut"/>
      </w:pPr>
    </w:p>
    <w:p w14:paraId="58131B7C" w14:textId="2570751C" w:rsidR="00B50430" w:rsidRDefault="00B50430" w:rsidP="00B50430">
      <w:pPr>
        <w:pStyle w:val="Textebrut"/>
      </w:pPr>
      <w:r>
        <w:t xml:space="preserve">L’observatoire n° 70 (publication bimestrielle de l’Académie nationale de pharmacie, septembre-octobre 2024). </w:t>
      </w:r>
      <w:proofErr w:type="spellStart"/>
      <w:r>
        <w:t>NdlR</w:t>
      </w:r>
      <w:proofErr w:type="spellEnd"/>
      <w:r>
        <w:t xml:space="preserve"> : plusieurs articles sur les PFAS, molécules per- et </w:t>
      </w:r>
      <w:proofErr w:type="spellStart"/>
      <w:r>
        <w:t>polyfluoroakylés</w:t>
      </w:r>
      <w:proofErr w:type="spellEnd"/>
      <w:r>
        <w:t>, l’antibiorésistance, les ARN interférents et oligonucléotides antisens et autres sujets d’intérêt.</w:t>
      </w:r>
    </w:p>
    <w:p w14:paraId="6CDEB4AE" w14:textId="6FB0C77C" w:rsidR="002B7D45" w:rsidRDefault="00C53717" w:rsidP="00B50430">
      <w:pPr>
        <w:pStyle w:val="Textebrut"/>
      </w:pPr>
      <w:hyperlink r:id="rId75" w:history="1">
        <w:r w:rsidR="00B50430" w:rsidRPr="00820589">
          <w:rPr>
            <w:rStyle w:val="Lienhypertexte"/>
          </w:rPr>
          <w:t>https://www.acadpharm.org/dos_public/OB70.PDF</w:t>
        </w:r>
      </w:hyperlink>
    </w:p>
    <w:p w14:paraId="29DF7560" w14:textId="77777777" w:rsidR="00B50430" w:rsidRDefault="00B50430" w:rsidP="00B50430">
      <w:pPr>
        <w:pStyle w:val="Textebrut"/>
      </w:pPr>
    </w:p>
    <w:p w14:paraId="06F58EC7" w14:textId="77777777" w:rsidR="00743F6E" w:rsidRDefault="00743F6E" w:rsidP="00743F6E">
      <w:pPr>
        <w:pStyle w:val="Textebrut"/>
      </w:pPr>
      <w:r>
        <w:t>Médicaments - Un gaspillage qui coûte cher (Que Choisir, 03/11/2024).</w:t>
      </w:r>
    </w:p>
    <w:p w14:paraId="15732BA8" w14:textId="77777777" w:rsidR="00743F6E" w:rsidRDefault="00743F6E" w:rsidP="00743F6E">
      <w:pPr>
        <w:pStyle w:val="Textebrut"/>
      </w:pPr>
      <w:r>
        <w:t>Prescrits et délivrés en dépit du bon sens, médicaments et dispositifs médicaux inutilisés alourdissent absurdement le fardeau de la Sécurité sociale</w:t>
      </w:r>
    </w:p>
    <w:p w14:paraId="51230311" w14:textId="6EB2C575" w:rsidR="00B50430" w:rsidRDefault="00C53717" w:rsidP="00743F6E">
      <w:pPr>
        <w:pStyle w:val="Textebrut"/>
      </w:pPr>
      <w:hyperlink r:id="rId76" w:history="1">
        <w:r w:rsidR="00743F6E" w:rsidRPr="00820589">
          <w:rPr>
            <w:rStyle w:val="Lienhypertexte"/>
          </w:rPr>
          <w:t>https://www.quechoisir.org/actualite-medicaments-un-gaspillage-qui-coute-cher-n132254/</w:t>
        </w:r>
      </w:hyperlink>
    </w:p>
    <w:p w14:paraId="09B01983" w14:textId="77777777" w:rsidR="00743F6E" w:rsidRDefault="00743F6E" w:rsidP="00743F6E">
      <w:pPr>
        <w:pStyle w:val="Textebrut"/>
      </w:pPr>
    </w:p>
    <w:p w14:paraId="54C7188D" w14:textId="77777777" w:rsidR="008E0E8B" w:rsidRDefault="008E0E8B" w:rsidP="008E0E8B">
      <w:pPr>
        <w:pStyle w:val="Textebrut"/>
      </w:pPr>
      <w:proofErr w:type="spellStart"/>
      <w:r>
        <w:t>Qalsody</w:t>
      </w:r>
      <w:proofErr w:type="spellEnd"/>
      <w:r>
        <w:t xml:space="preserve"> : mise au point de la HAS (08/11/2024).</w:t>
      </w:r>
    </w:p>
    <w:p w14:paraId="7505B05D" w14:textId="77777777" w:rsidR="008E0E8B" w:rsidRDefault="008E0E8B" w:rsidP="008E0E8B">
      <w:pPr>
        <w:pStyle w:val="Textebrut"/>
      </w:pPr>
      <w:r>
        <w:t xml:space="preserve">Le 10 octobre dernier, la Haute Autorité de santé (HAS) rendait une décision négative à la demande d’autorisation d’accès précoce formulée par le laboratoire </w:t>
      </w:r>
      <w:proofErr w:type="spellStart"/>
      <w:r>
        <w:t>Biogen</w:t>
      </w:r>
      <w:proofErr w:type="spellEnd"/>
      <w:r>
        <w:t xml:space="preserve">, concernant le médicament </w:t>
      </w:r>
      <w:proofErr w:type="spellStart"/>
      <w:r>
        <w:t>Qalsody</w:t>
      </w:r>
      <w:proofErr w:type="spellEnd"/>
      <w:r>
        <w:t xml:space="preserve"> (</w:t>
      </w:r>
      <w:proofErr w:type="spellStart"/>
      <w:r>
        <w:t>tofersen</w:t>
      </w:r>
      <w:proofErr w:type="spellEnd"/>
      <w:r>
        <w:t>), qui vise à ralentir la progression d’une forme génétique de la maladie de Charcot. Si elle a bien conscience de la gravité de cette pathologie et partage l’espoir que peut susciter l’arrivée d’un traitement pour tous les patients concernés, la HAS rappelle que toutes ses décisions et avis s’appuient sur des critères scientifiques précis et réglementés</w:t>
      </w:r>
    </w:p>
    <w:p w14:paraId="5C0F5F97" w14:textId="3FDD8562" w:rsidR="00743F6E" w:rsidRDefault="00C53717" w:rsidP="008E0E8B">
      <w:pPr>
        <w:pStyle w:val="Textebrut"/>
      </w:pPr>
      <w:hyperlink r:id="rId77" w:history="1">
        <w:r w:rsidR="008E0E8B" w:rsidRPr="00820589">
          <w:rPr>
            <w:rStyle w:val="Lienhypertexte"/>
          </w:rPr>
          <w:t>https://www.has-sante.fr/jcms/p_3555639/fr/qalsody-mise-au-point-de-la-has</w:t>
        </w:r>
      </w:hyperlink>
    </w:p>
    <w:p w14:paraId="72A8B36D" w14:textId="77777777" w:rsidR="008E0E8B" w:rsidRDefault="008E0E8B" w:rsidP="008E0E8B">
      <w:pPr>
        <w:pStyle w:val="Textebrut"/>
      </w:pPr>
    </w:p>
    <w:p w14:paraId="6336BD80" w14:textId="77777777" w:rsidR="007C06F6" w:rsidRDefault="007C06F6" w:rsidP="007C06F6">
      <w:pPr>
        <w:pStyle w:val="Textebrut"/>
      </w:pPr>
      <w:r>
        <w:t xml:space="preserve">« Le bon traitement, </w:t>
      </w:r>
      <w:proofErr w:type="gramStart"/>
      <w:r>
        <w:t>c’est pas</w:t>
      </w:r>
      <w:proofErr w:type="gramEnd"/>
      <w:r>
        <w:t xml:space="preserve"> forcément un médicament », ameli.fr (11/11/2024)</w:t>
      </w:r>
    </w:p>
    <w:p w14:paraId="4610B636" w14:textId="77777777" w:rsidR="007C06F6" w:rsidRDefault="007C06F6" w:rsidP="007C06F6">
      <w:pPr>
        <w:pStyle w:val="Textebrut"/>
      </w:pPr>
      <w:r>
        <w:t xml:space="preserve">En France, près de 8 consultations médicales sur 10 se concluent par une prescription de médicaments, ce qui place le pays parmi les plus gros consommateurs en Europe. Cette surconsommation comporte des risques importants, notamment d'interactions médicamenteuses, responsables de plus de 10 000 décès par an. C’est </w:t>
      </w:r>
      <w:r>
        <w:lastRenderedPageBreak/>
        <w:t xml:space="preserve">pourquoi il est important d’encourager un usage raisonné des médicaments et de rappeler que l’enjeu de sobriété médicamenteuse est l’affaire de tous. C’est dans ce contexte que l’Assurance Maladie lance une grande campagne de sensibilisation diffusée sur tous les écrans à partir du 10 novembre, avec comme slogan « Le bon traitement, </w:t>
      </w:r>
      <w:proofErr w:type="gramStart"/>
      <w:r>
        <w:t>c’est pas</w:t>
      </w:r>
      <w:proofErr w:type="gramEnd"/>
      <w:r>
        <w:t xml:space="preserve"> forcément un médicament ». </w:t>
      </w:r>
    </w:p>
    <w:p w14:paraId="75BB30E9" w14:textId="5ABA28D9" w:rsidR="008E0E8B" w:rsidRDefault="00C53717" w:rsidP="007C06F6">
      <w:pPr>
        <w:pStyle w:val="Textebrut"/>
      </w:pPr>
      <w:hyperlink r:id="rId78" w:history="1">
        <w:r w:rsidR="007C06F6" w:rsidRPr="00097206">
          <w:rPr>
            <w:rStyle w:val="Lienhypertexte"/>
          </w:rPr>
          <w:t>https://www.ameli.fr/bouches-du-rhone/assure/actualites/le-bon-traitement-c-est-pas-forcement-un-medicament</w:t>
        </w:r>
      </w:hyperlink>
    </w:p>
    <w:p w14:paraId="129303EA" w14:textId="77777777" w:rsidR="007C06F6" w:rsidRDefault="007C06F6" w:rsidP="007C06F6">
      <w:pPr>
        <w:pStyle w:val="Textebrut"/>
      </w:pPr>
    </w:p>
    <w:p w14:paraId="17A4C4E8" w14:textId="0639EF95" w:rsidR="007C06F6" w:rsidRDefault="007C06F6" w:rsidP="007C06F6">
      <w:pPr>
        <w:pStyle w:val="Textebrut"/>
      </w:pPr>
      <w:r>
        <w:t>L’ANSM publie son rapport d’hémovigilance de l’année 2023, (ANSM, 12/11/2024).</w:t>
      </w:r>
    </w:p>
    <w:p w14:paraId="2722BB58" w14:textId="77777777" w:rsidR="007C06F6" w:rsidRDefault="007C06F6" w:rsidP="007C06F6">
      <w:pPr>
        <w:pStyle w:val="Textebrut"/>
      </w:pPr>
      <w:r>
        <w:t>Chaque année, nous publions le bilan des données nationales d’hémovigilance relatives à la surveillance de l’ensemble de la chaîne transfusionnelle (de la collecte de sang au suivi des receveurs). Leur analyse montre que la majorité des effets indésirables, chez les receveurs comme chez les donneurs, sont non sévères et comparables aux années précédentes. Aucun signal n’a été identifié en 2023.</w:t>
      </w:r>
    </w:p>
    <w:p w14:paraId="76A706CF" w14:textId="1BBAD194" w:rsidR="007C06F6" w:rsidRDefault="00C53717" w:rsidP="007C06F6">
      <w:pPr>
        <w:pStyle w:val="Textebrut"/>
      </w:pPr>
      <w:hyperlink r:id="rId79" w:history="1">
        <w:r w:rsidR="007C06F6" w:rsidRPr="00097206">
          <w:rPr>
            <w:rStyle w:val="Lienhypertexte"/>
          </w:rPr>
          <w:t>https://ansm.sante.fr/actualites/lansm-publie-son-rapport-dhemovigilance-de-lannee-2023</w:t>
        </w:r>
      </w:hyperlink>
    </w:p>
    <w:p w14:paraId="06F150A5" w14:textId="77777777" w:rsidR="007C06F6" w:rsidRDefault="007C06F6" w:rsidP="007C06F6">
      <w:pPr>
        <w:pStyle w:val="Textebrut"/>
      </w:pPr>
    </w:p>
    <w:p w14:paraId="48928A9F" w14:textId="55827964" w:rsidR="007C06F6" w:rsidRDefault="00C57527" w:rsidP="007C06F6">
      <w:pPr>
        <w:pStyle w:val="Textebrut"/>
      </w:pPr>
      <w:r>
        <w:t xml:space="preserve">Avis et note du HCSP du 03/10/2024 </w:t>
      </w:r>
      <w:r w:rsidRPr="00C57527">
        <w:t>relatif</w:t>
      </w:r>
      <w:r>
        <w:t>s</w:t>
      </w:r>
      <w:r w:rsidRPr="00C57527">
        <w:t xml:space="preserve"> à la révision du guide national sur l'élimination des déchets d'activités de soins à risques infectieux et assimilés (DASRIA)</w:t>
      </w:r>
    </w:p>
    <w:p w14:paraId="540A7EAC" w14:textId="341D854F" w:rsidR="00C57527" w:rsidRDefault="00C53717" w:rsidP="007C06F6">
      <w:pPr>
        <w:pStyle w:val="Textebrut"/>
      </w:pPr>
      <w:hyperlink r:id="rId80" w:history="1">
        <w:r w:rsidR="00C57527" w:rsidRPr="00097206">
          <w:rPr>
            <w:rStyle w:val="Lienhypertexte"/>
          </w:rPr>
          <w:t>https://www.hcsp.fr/Explore.cgi/avisrapportsdomaine?clefr=1401</w:t>
        </w:r>
      </w:hyperlink>
    </w:p>
    <w:p w14:paraId="3537B3A4" w14:textId="77777777" w:rsidR="00C57527" w:rsidRDefault="00C57527" w:rsidP="007C06F6">
      <w:pPr>
        <w:pStyle w:val="Textebrut"/>
      </w:pPr>
    </w:p>
    <w:p w14:paraId="07FB0043" w14:textId="26D3A96A" w:rsidR="00C57527" w:rsidRDefault="00C57527" w:rsidP="00C57527">
      <w:pPr>
        <w:pStyle w:val="Textebrut"/>
      </w:pPr>
      <w:r>
        <w:t>Analogues du GLP-1 et obésité : nous prenons des mesures pour sécuriser leur utilisation en France (ANSM, actualisation du 13/11/2024).</w:t>
      </w:r>
    </w:p>
    <w:p w14:paraId="65844D1D" w14:textId="77777777" w:rsidR="00C57527" w:rsidRDefault="00C57527" w:rsidP="00C57527">
      <w:pPr>
        <w:pStyle w:val="Textebrut"/>
      </w:pPr>
      <w:r>
        <w:t xml:space="preserve">Le médicament </w:t>
      </w:r>
      <w:proofErr w:type="spellStart"/>
      <w:r>
        <w:t>Mounjaro</w:t>
      </w:r>
      <w:proofErr w:type="spellEnd"/>
      <w:r>
        <w:t xml:space="preserve"> (</w:t>
      </w:r>
      <w:proofErr w:type="spellStart"/>
      <w:r>
        <w:t>tirzépatide</w:t>
      </w:r>
      <w:proofErr w:type="spellEnd"/>
      <w:r>
        <w:t xml:space="preserve">) est commercialisé depuis novembre 2024 en France à un prix fixé librement par le laboratoire. C’est un agoniste du GLP-1 (glucagon-like peptide 1) et du GIP (polypeptide </w:t>
      </w:r>
      <w:proofErr w:type="spellStart"/>
      <w:r>
        <w:t>insulinotrope</w:t>
      </w:r>
      <w:proofErr w:type="spellEnd"/>
      <w:r>
        <w:t xml:space="preserve"> dépendant du glucose) et il est indiqué dans le traitement de l’obésité et du diabète de type 2. Quelle que soit l’indication, ce médicament est soumis aux mêmes conditions de prescription et de délivrance que les aGLP-1 indiqués dans le traitement de l’obésité, que nous précisons :</w:t>
      </w:r>
    </w:p>
    <w:p w14:paraId="1F8F3B69" w14:textId="77777777" w:rsidR="00C57527" w:rsidRDefault="00C57527" w:rsidP="00C57527">
      <w:pPr>
        <w:pStyle w:val="Textebrut"/>
      </w:pPr>
      <w:r>
        <w:t>- La prescription initiale de ces médicaments doit être réalisée par un médecin spécialiste en endocrinologie-diabétologie-nutrition ou compétent en nutrition (à savoir titulaire d’un DESC, d’une FST ou d’une VAE de nutrition) ;</w:t>
      </w:r>
    </w:p>
    <w:p w14:paraId="54E6F7DF" w14:textId="77777777" w:rsidR="00C57527" w:rsidRDefault="00C57527" w:rsidP="00C57527">
      <w:pPr>
        <w:pStyle w:val="Textebrut"/>
      </w:pPr>
      <w:r>
        <w:t>- Les renouvellements peuvent être réalisés par tout médecin.</w:t>
      </w:r>
    </w:p>
    <w:p w14:paraId="3BBFFFDA" w14:textId="211721F3" w:rsidR="00C57527" w:rsidRDefault="00C57527" w:rsidP="00C57527">
      <w:pPr>
        <w:pStyle w:val="Textebrut"/>
      </w:pPr>
      <w:r>
        <w:t>Pour l’ensemble des aGLP-1 ayant une indication dans le traitement de l’obésité, nous recommandons aux médecins de se conformer au parcours de soin de la HAS. Ces médicaments doivent être utilisés uniquement en deuxième intention, en cas d’échec de la prise en charge nutritionnelle et en association à un régime hypocalorique et à une activité physique</w:t>
      </w:r>
    </w:p>
    <w:p w14:paraId="783F2BC8" w14:textId="6C60D752" w:rsidR="00C57527" w:rsidRDefault="00C53717" w:rsidP="00C57527">
      <w:pPr>
        <w:pStyle w:val="Textebrut"/>
      </w:pPr>
      <w:hyperlink r:id="rId81" w:history="1">
        <w:r w:rsidR="00C57527" w:rsidRPr="00097206">
          <w:rPr>
            <w:rStyle w:val="Lienhypertexte"/>
          </w:rPr>
          <w:t>https://ansm.sante.fr/actualites/analogues-du-glp-1-et-obesite-nous-prenons-des-mesures-pour-securiser-leur-utilisation-en-france</w:t>
        </w:r>
      </w:hyperlink>
    </w:p>
    <w:p w14:paraId="197D8ADC" w14:textId="77777777" w:rsidR="00C57527" w:rsidRDefault="00C57527" w:rsidP="00C57527">
      <w:pPr>
        <w:pStyle w:val="Textebrut"/>
      </w:pPr>
    </w:p>
    <w:p w14:paraId="53D4FA63" w14:textId="0AC3B5DB" w:rsidR="00816E98" w:rsidRDefault="00816E98" w:rsidP="00816E98">
      <w:pPr>
        <w:pStyle w:val="Textebrut"/>
      </w:pPr>
      <w:r>
        <w:t>Accès précoce des médicaments : un bilan positif après deux ans de mise en place du dispositif (HAS, mise à jour le 12/11/2024).</w:t>
      </w:r>
    </w:p>
    <w:p w14:paraId="2C968FF8" w14:textId="77777777" w:rsidR="00816E98" w:rsidRDefault="00816E98" w:rsidP="00816E98">
      <w:pPr>
        <w:pStyle w:val="Textebrut"/>
      </w:pPr>
      <w:r>
        <w:t xml:space="preserve">Depuis le 1er juillet 2021, l'accès précoce aux médicaments présumés innovants est accordé par la Haute Autorité de santé (HAS). Pour les médicaments qui ne sont pas encore disponibles dans le cadre d’une autorisation de mise sur le marché (AMM), l’autorisation d’accès précoce (AAP) est délivrée après avis de l’Agence nationale de sécurité du médicament et des produits de santé (ANSM) relatif à leur présomption d’efficacité et de sécurité. </w:t>
      </w:r>
    </w:p>
    <w:p w14:paraId="271DD511" w14:textId="77777777" w:rsidR="00816E98" w:rsidRDefault="00816E98" w:rsidP="00816E98">
      <w:pPr>
        <w:pStyle w:val="Textebrut"/>
      </w:pPr>
      <w:r>
        <w:t>Mise à jour des chiffres à 3 ans. Rapport et Bilans.</w:t>
      </w:r>
    </w:p>
    <w:p w14:paraId="3335DF05" w14:textId="6B13D3AF" w:rsidR="00C57527" w:rsidRDefault="00C53717" w:rsidP="00816E98">
      <w:pPr>
        <w:pStyle w:val="Textebrut"/>
      </w:pPr>
      <w:hyperlink r:id="rId82" w:history="1">
        <w:r w:rsidR="00816E98" w:rsidRPr="00097206">
          <w:rPr>
            <w:rStyle w:val="Lienhypertexte"/>
          </w:rPr>
          <w:t>https://www.has-sante.fr/jcms/p_3470178/fr/acces-precoce-des-medicaments-un-bilan-positif-apres-deux-ans-de-mise-en-place-du-dispositif</w:t>
        </w:r>
      </w:hyperlink>
    </w:p>
    <w:p w14:paraId="6AED2A9E" w14:textId="77777777" w:rsidR="00816E98" w:rsidRDefault="00816E98" w:rsidP="00816E98">
      <w:pPr>
        <w:pStyle w:val="Textebrut"/>
      </w:pPr>
    </w:p>
    <w:p w14:paraId="69A02D6C" w14:textId="0569E138" w:rsidR="00816E98" w:rsidRDefault="0078631D" w:rsidP="00816E98">
      <w:pPr>
        <w:pStyle w:val="Textebrut"/>
      </w:pPr>
      <w:r w:rsidRPr="0078631D">
        <w:t>Gazette de l'infectiologie</w:t>
      </w:r>
      <w:r>
        <w:t> :</w:t>
      </w:r>
      <w:r w:rsidRPr="0078631D">
        <w:t xml:space="preserve"> Semaine mondiale pour un bon usage des antibiotiques (SPILF, 13/11/2024)</w:t>
      </w:r>
      <w:r>
        <w:t>.</w:t>
      </w:r>
    </w:p>
    <w:p w14:paraId="3CCF45EE" w14:textId="6EFE7CA4" w:rsidR="0078631D" w:rsidRDefault="0078631D" w:rsidP="00816E98">
      <w:pPr>
        <w:pStyle w:val="Textebrut"/>
      </w:pPr>
      <w:r w:rsidRPr="0078631D">
        <w:t>Depuis cet été, les pharmaciens peuvent délivrer certains antibiotiques sans ordonnance. Retour sur cette nouveauté et ses implications, à l'occasion de la semaine mondiale pour un bon usage des antibiotiques</w:t>
      </w:r>
    </w:p>
    <w:p w14:paraId="7E5CEF0A" w14:textId="7FFFF51A" w:rsidR="00261F16" w:rsidRDefault="00C53717" w:rsidP="00261F16">
      <w:pPr>
        <w:pStyle w:val="Textebrut"/>
      </w:pPr>
      <w:hyperlink r:id="rId83" w:history="1">
        <w:r w:rsidR="0078631D" w:rsidRPr="00097206">
          <w:rPr>
            <w:rStyle w:val="Lienhypertexte"/>
          </w:rPr>
          <w:t>https://www.infectiologie.com/UserFiles/File/grand-public/semaine-bua-2024.pdf</w:t>
        </w:r>
      </w:hyperlink>
    </w:p>
    <w:p w14:paraId="0A220D47" w14:textId="77777777" w:rsidR="0078631D" w:rsidRDefault="0078631D" w:rsidP="00261F16">
      <w:pPr>
        <w:pStyle w:val="Textebrut"/>
      </w:pPr>
    </w:p>
    <w:p w14:paraId="58CEF134" w14:textId="77777777" w:rsidR="00C53717" w:rsidRDefault="00C53717" w:rsidP="00261F16">
      <w:pPr>
        <w:pStyle w:val="Textebrut"/>
      </w:pPr>
    </w:p>
    <w:p w14:paraId="407D3B7C" w14:textId="77777777" w:rsidR="00612C90" w:rsidRDefault="00612C90" w:rsidP="00612C90">
      <w:pPr>
        <w:pStyle w:val="Textebrut"/>
      </w:pPr>
      <w:r>
        <w:lastRenderedPageBreak/>
        <w:t>Vaccination contre la coqueluche pour les femmes enceintes (EPI-PHARE, 14/11/2024).</w:t>
      </w:r>
    </w:p>
    <w:p w14:paraId="1F5FD45F" w14:textId="77777777" w:rsidR="00612C90" w:rsidRDefault="00612C90" w:rsidP="00612C90">
      <w:pPr>
        <w:pStyle w:val="Textebrut"/>
      </w:pPr>
      <w:r>
        <w:t>Vaccination contre la coqueluche pour les femmes enceintes dont la grossesse a commencé entre août 2023 et mars 2024, dans le contexte épidémique de 2024 en France</w:t>
      </w:r>
    </w:p>
    <w:p w14:paraId="375B4664" w14:textId="229036F3" w:rsidR="0078631D" w:rsidRDefault="00C53717" w:rsidP="00612C90">
      <w:pPr>
        <w:pStyle w:val="Textebrut"/>
      </w:pPr>
      <w:hyperlink r:id="rId84" w:history="1">
        <w:r w:rsidR="00612C90" w:rsidRPr="00097206">
          <w:rPr>
            <w:rStyle w:val="Lienhypertexte"/>
          </w:rPr>
          <w:t>https://www.epi-phare.fr/rapports-detudes-et-publications/vaccination-coqueluche-femmes-enceintes/</w:t>
        </w:r>
      </w:hyperlink>
    </w:p>
    <w:p w14:paraId="3BA31F48" w14:textId="77777777" w:rsidR="00612C90" w:rsidRDefault="00612C90" w:rsidP="00612C90">
      <w:pPr>
        <w:pStyle w:val="Textebrut"/>
      </w:pPr>
    </w:p>
    <w:p w14:paraId="1C2A6B90" w14:textId="77777777" w:rsidR="00612C90" w:rsidRDefault="00612C90" w:rsidP="00612C90">
      <w:pPr>
        <w:pStyle w:val="Textebrut"/>
      </w:pPr>
      <w:r>
        <w:t>Tout savoir sur l'état des menaces cyber en santé (ANS, 07/11/2024).</w:t>
      </w:r>
    </w:p>
    <w:p w14:paraId="226D2AE9" w14:textId="77777777" w:rsidR="00612C90" w:rsidRDefault="00612C90" w:rsidP="00612C90">
      <w:pPr>
        <w:pStyle w:val="Textebrut"/>
      </w:pPr>
      <w:r>
        <w:t>Publication du rapport 2024 de l'ANSSI sur l'état de la menace du secteur de la santé</w:t>
      </w:r>
    </w:p>
    <w:p w14:paraId="3213B48E" w14:textId="6EE49F39" w:rsidR="00612C90" w:rsidRDefault="00C53717" w:rsidP="00612C90">
      <w:pPr>
        <w:pStyle w:val="Textebrut"/>
      </w:pPr>
      <w:hyperlink r:id="rId85" w:history="1">
        <w:r w:rsidR="00612C90" w:rsidRPr="00097206">
          <w:rPr>
            <w:rStyle w:val="Lienhypertexte"/>
          </w:rPr>
          <w:t>https://esante.gouv.fr/actualites/tout-savoir-sur-letat-des-menaces-cyber-en-sante</w:t>
        </w:r>
      </w:hyperlink>
    </w:p>
    <w:p w14:paraId="0701E377" w14:textId="503C3D97" w:rsidR="00612C90" w:rsidRDefault="00612C90" w:rsidP="00612C90">
      <w:pPr>
        <w:pStyle w:val="Textebrut"/>
      </w:pPr>
      <w:r>
        <w:t>Etat de la menace informatique du secteur de la santé par l'ANSSI (ANS, 12/11/2024)</w:t>
      </w:r>
    </w:p>
    <w:p w14:paraId="17EF6DAB" w14:textId="15F87FF8" w:rsidR="00612C90" w:rsidRDefault="00C53717" w:rsidP="00612C90">
      <w:pPr>
        <w:pStyle w:val="Textebrut"/>
      </w:pPr>
      <w:hyperlink r:id="rId86" w:history="1">
        <w:r w:rsidR="00612C90" w:rsidRPr="00097206">
          <w:rPr>
            <w:rStyle w:val="Lienhypertexte"/>
          </w:rPr>
          <w:t>https://esante.gouv.fr/etat-de-la-menace-informatique-du-secteur-de-la-sante-par-lanssi</w:t>
        </w:r>
      </w:hyperlink>
    </w:p>
    <w:p w14:paraId="40DA84E8" w14:textId="7C099D96" w:rsidR="00612C90" w:rsidRDefault="00612C90" w:rsidP="00612C90">
      <w:pPr>
        <w:pStyle w:val="Textebrut"/>
      </w:pPr>
      <w:r>
        <w:t>Le rapport de l’ANSSI :</w:t>
      </w:r>
    </w:p>
    <w:p w14:paraId="72815DBB" w14:textId="725AD11D" w:rsidR="00612C90" w:rsidRDefault="00C53717" w:rsidP="00612C90">
      <w:pPr>
        <w:pStyle w:val="Textebrut"/>
      </w:pPr>
      <w:hyperlink r:id="rId87" w:history="1">
        <w:r w:rsidR="00612C90" w:rsidRPr="00097206">
          <w:rPr>
            <w:rStyle w:val="Lienhypertexte"/>
          </w:rPr>
          <w:t>https://cert.ssi.gouv.fr/uploads/CERTFR-2024-CTI-010.pdf</w:t>
        </w:r>
      </w:hyperlink>
    </w:p>
    <w:p w14:paraId="17C7AC88" w14:textId="77777777" w:rsidR="00612C90" w:rsidRDefault="00612C90" w:rsidP="00612C90">
      <w:pPr>
        <w:pStyle w:val="Textebrut"/>
      </w:pPr>
    </w:p>
    <w:p w14:paraId="37407EAF" w14:textId="6FDD61C7" w:rsidR="00EE3AAA" w:rsidRDefault="00EE3AAA" w:rsidP="00EE3AAA">
      <w:pPr>
        <w:pStyle w:val="Textebrut"/>
      </w:pPr>
      <w:proofErr w:type="spellStart"/>
      <w:r>
        <w:t>Leqembi</w:t>
      </w:r>
      <w:proofErr w:type="spellEnd"/>
      <w:r>
        <w:t xml:space="preserve"> (</w:t>
      </w:r>
      <w:proofErr w:type="spellStart"/>
      <w:r>
        <w:t>lecanemab</w:t>
      </w:r>
      <w:proofErr w:type="spellEnd"/>
      <w:r>
        <w:t>) recommandé pour le traitement de la maladie d’Alzheimer précoce (EMA, 14/11/2024, en anglais).</w:t>
      </w:r>
    </w:p>
    <w:p w14:paraId="4048D059" w14:textId="77777777" w:rsidR="00EE3AAA" w:rsidRDefault="00EE3AAA" w:rsidP="00EE3AAA">
      <w:pPr>
        <w:pStyle w:val="Textebrut"/>
      </w:pPr>
      <w:r>
        <w:t>Le réexamen conclut que les avantages l'emportent sur les risques dans une population de patients restreinte</w:t>
      </w:r>
    </w:p>
    <w:p w14:paraId="34C1AF3C" w14:textId="79F0CCAD" w:rsidR="00234A96" w:rsidRDefault="00C53717" w:rsidP="00EE3AAA">
      <w:pPr>
        <w:pStyle w:val="Textebrut"/>
      </w:pPr>
      <w:hyperlink r:id="rId88" w:history="1">
        <w:r w:rsidR="00EE3AAA" w:rsidRPr="0081582C">
          <w:rPr>
            <w:rStyle w:val="Lienhypertexte"/>
          </w:rPr>
          <w:t>https://www.ema.europa.eu/en/news/leqembi-recommended-treatment-early-alzheimers-disease</w:t>
        </w:r>
      </w:hyperlink>
    </w:p>
    <w:p w14:paraId="1CC06223" w14:textId="77777777" w:rsidR="00EE3AAA" w:rsidRDefault="00EE3AAA" w:rsidP="00EE3AAA">
      <w:pPr>
        <w:pStyle w:val="Textebrut"/>
      </w:pPr>
    </w:p>
    <w:p w14:paraId="688640C9" w14:textId="77777777" w:rsidR="008C346D" w:rsidRDefault="008C346D" w:rsidP="008C346D">
      <w:pPr>
        <w:pStyle w:val="Textebrut"/>
      </w:pPr>
      <w:r>
        <w:t>Renforcement de la pertinence des prescriptions médicales : publication du décret (CNOP, 14/11/2024).</w:t>
      </w:r>
    </w:p>
    <w:p w14:paraId="01705D81" w14:textId="77777777" w:rsidR="008C346D" w:rsidRDefault="008C346D" w:rsidP="008C346D">
      <w:pPr>
        <w:pStyle w:val="Textebrut"/>
      </w:pPr>
      <w:r>
        <w:t>En application de l’article L.162-19-1 du code de la sécurité sociale (CSS), modifié par l'article 73 de la loi de financement de la sécurité sociale (LFSS) pour 2024, le Décret n° 2024-968 du 30 octobre 2024 relatif au document destiné à renforcer la pertinence des prescriptions médicales a été publié. L’Ordre national des pharmaciens avait été consulté sur ce texte durant l’été 2024</w:t>
      </w:r>
    </w:p>
    <w:p w14:paraId="2D8FE225" w14:textId="09AB6ECE" w:rsidR="008C346D" w:rsidRDefault="00C53717" w:rsidP="008C346D">
      <w:pPr>
        <w:pStyle w:val="Textebrut"/>
      </w:pPr>
      <w:hyperlink r:id="rId89" w:history="1">
        <w:r w:rsidR="008C346D" w:rsidRPr="0081582C">
          <w:rPr>
            <w:rStyle w:val="Lienhypertexte"/>
          </w:rPr>
          <w:t>https://www.ordre.pharmacien.fr/les-communications/focus-sur/les-actualites/renforcement-de-la-pertinence-des-prescriptions-medicales-publication-du-decret</w:t>
        </w:r>
      </w:hyperlink>
    </w:p>
    <w:p w14:paraId="47AB75F2" w14:textId="77777777" w:rsidR="008C346D" w:rsidRDefault="008C346D" w:rsidP="008C346D">
      <w:pPr>
        <w:pStyle w:val="Textebrut"/>
      </w:pPr>
    </w:p>
    <w:p w14:paraId="03E37685" w14:textId="77777777" w:rsidR="008C346D" w:rsidRDefault="008C346D" w:rsidP="008C346D">
      <w:pPr>
        <w:pStyle w:val="Textebrut"/>
      </w:pPr>
      <w:r>
        <w:t xml:space="preserve">Le bon traitement, </w:t>
      </w:r>
      <w:proofErr w:type="gramStart"/>
      <w:r>
        <w:t>c’est pas</w:t>
      </w:r>
      <w:proofErr w:type="gramEnd"/>
      <w:r>
        <w:t xml:space="preserve"> forcément un médicament (ameli.fr, 14/11/2024).</w:t>
      </w:r>
    </w:p>
    <w:p w14:paraId="48466DF6" w14:textId="77777777" w:rsidR="008C346D" w:rsidRDefault="008C346D" w:rsidP="008C346D">
      <w:pPr>
        <w:pStyle w:val="Textebrut"/>
      </w:pPr>
      <w:r>
        <w:t>En 2023, les dépenses remboursées nettes de médicaments par l’Assurance Maladie s’élèvent à 25,5 Mds€, un montant en croissance. En lien avec le vieillissement de la population et le coût des traitements innovants, cette croissance est portée principalement par l’innovation thérapeutique et les médicaments récents et onéreux. Le niveau de prise en charge moyen des médicaments par l’Assurance Maladie est en progression constante, et atteint en 2023 un taux de près de 91%.</w:t>
      </w:r>
    </w:p>
    <w:p w14:paraId="50F53F32" w14:textId="77777777" w:rsidR="008C346D" w:rsidRDefault="008C346D" w:rsidP="008C346D">
      <w:pPr>
        <w:pStyle w:val="Textebrut"/>
      </w:pPr>
      <w:r>
        <w:t>Les Français restent d’importants consommateurs de médicaments : 41 boîtes de médicaments par an et par assuré, pour un remboursement moyen de 410€. Cette moyenne cache d’importantes disparités en fonction de l’âge et du sexe.</w:t>
      </w:r>
    </w:p>
    <w:p w14:paraId="6B865048" w14:textId="77777777" w:rsidR="008C346D" w:rsidRDefault="008C346D" w:rsidP="008C346D">
      <w:pPr>
        <w:pStyle w:val="Textebrut"/>
      </w:pPr>
      <w:r>
        <w:t>L’enquête réalisée par BVA pour l’Assurance Maladie, témoigne d’une attente forte des Français pour bénéficier d’une prescription de médicaments lors d’une consultation. Une large majorité de médecins déclarent, quant à eux, ressentir une pression de la part de leurs patients dans ce domaine</w:t>
      </w:r>
    </w:p>
    <w:p w14:paraId="6092131C" w14:textId="1A4584E7" w:rsidR="008C346D" w:rsidRDefault="00C53717" w:rsidP="008C346D">
      <w:pPr>
        <w:pStyle w:val="Textebrut"/>
      </w:pPr>
      <w:hyperlink r:id="rId90" w:history="1">
        <w:r w:rsidR="008C346D" w:rsidRPr="0081582C">
          <w:rPr>
            <w:rStyle w:val="Lienhypertexte"/>
          </w:rPr>
          <w:t>https://www.assurance-maladie.ameli.fr/presse/2024-11-14-dp-medicaments</w:t>
        </w:r>
      </w:hyperlink>
    </w:p>
    <w:p w14:paraId="3CA516C2" w14:textId="5858C533" w:rsidR="008C346D" w:rsidRDefault="008C346D" w:rsidP="008C346D">
      <w:pPr>
        <w:pStyle w:val="Textebrut"/>
      </w:pPr>
      <w:r>
        <w:t>Cf. également le dossier de presse à la fin du communiqué :</w:t>
      </w:r>
    </w:p>
    <w:p w14:paraId="3174FB67" w14:textId="2CC4CF56" w:rsidR="00EE3AAA" w:rsidRDefault="00C53717" w:rsidP="008C346D">
      <w:pPr>
        <w:pStyle w:val="Textebrut"/>
      </w:pPr>
      <w:hyperlink r:id="rId91" w:history="1">
        <w:r w:rsidR="008C346D" w:rsidRPr="0081582C">
          <w:rPr>
            <w:rStyle w:val="Lienhypertexte"/>
          </w:rPr>
          <w:t>https://www.assurance-maladie.ameli.fr/sites/default/files/2024-11-14-DP-medicaments.pdf</w:t>
        </w:r>
      </w:hyperlink>
    </w:p>
    <w:p w14:paraId="66AF788B" w14:textId="77777777" w:rsidR="008C346D" w:rsidRDefault="008C346D" w:rsidP="008C346D">
      <w:pPr>
        <w:pStyle w:val="Textebrut"/>
      </w:pPr>
    </w:p>
    <w:p w14:paraId="6E20C21C" w14:textId="77777777" w:rsidR="0052432E" w:rsidRDefault="0052432E" w:rsidP="0052432E">
      <w:pPr>
        <w:pStyle w:val="Textebrut"/>
      </w:pPr>
      <w:r>
        <w:t>Des enceintes ventilées pour différents usages (Fiche INRS, octobre 2024).</w:t>
      </w:r>
    </w:p>
    <w:p w14:paraId="79C39358" w14:textId="77777777" w:rsidR="0052432E" w:rsidRDefault="0052432E" w:rsidP="0052432E">
      <w:pPr>
        <w:pStyle w:val="Textebrut"/>
      </w:pPr>
      <w:r>
        <w:t>Certaines situations professionnelles exposent l'opérateur, l'environnement et le produit à des agents chimiques ou biologiques dangereux, qu'il est possible de confiner dans une enceinte ventilée (PSM, PSC). Cette fiche pratique explique comment choisir l'enceinte ventilée adaptée à chaque situation de travail</w:t>
      </w:r>
    </w:p>
    <w:p w14:paraId="2A4FA19D" w14:textId="716613BB" w:rsidR="008C346D" w:rsidRDefault="00C53717" w:rsidP="0052432E">
      <w:pPr>
        <w:pStyle w:val="Textebrut"/>
      </w:pPr>
      <w:hyperlink r:id="rId92" w:history="1">
        <w:r w:rsidR="0052432E" w:rsidRPr="0081582C">
          <w:rPr>
            <w:rStyle w:val="Lienhypertexte"/>
          </w:rPr>
          <w:t>https://www.inrs.fr/media.html?refINRS=ED%20157</w:t>
        </w:r>
      </w:hyperlink>
    </w:p>
    <w:p w14:paraId="49833F83" w14:textId="77777777" w:rsidR="0052432E" w:rsidRDefault="0052432E" w:rsidP="0052432E">
      <w:pPr>
        <w:pStyle w:val="Textebrut"/>
      </w:pPr>
    </w:p>
    <w:p w14:paraId="18EE0E08" w14:textId="77777777" w:rsidR="00A0314D" w:rsidRDefault="00A0314D" w:rsidP="00A0314D">
      <w:pPr>
        <w:pStyle w:val="Textebrut"/>
      </w:pPr>
      <w:r>
        <w:t>Les droits des usagers des services publics face aux algorithmes et aux systèmes d’IA : points de vigilance et recommandations de la Défenseure des droits (13/11/2024).</w:t>
      </w:r>
    </w:p>
    <w:p w14:paraId="7F9D1AE0" w14:textId="77777777" w:rsidR="00A0314D" w:rsidRDefault="00A0314D" w:rsidP="00A0314D">
      <w:pPr>
        <w:pStyle w:val="Textebrut"/>
      </w:pPr>
      <w:r>
        <w:t xml:space="preserve">Face au nombre croissant de décisions administratives individuelles prises sur la base de résultats livrés par des algorithmes ou systèmes d’IA, la Défenseure des droits s’inquiète des risques qu’induit cette </w:t>
      </w:r>
      <w:proofErr w:type="spellStart"/>
      <w:r>
        <w:t>algorithmisation</w:t>
      </w:r>
      <w:proofErr w:type="spellEnd"/>
      <w:r>
        <w:t xml:space="preserve"> des </w:t>
      </w:r>
      <w:r>
        <w:lastRenderedPageBreak/>
        <w:t>services publics pour les droits des usagers. Elle présente plusieurs recommandations afin que les garanties prévues par la loi soient pleinement concrétisées</w:t>
      </w:r>
    </w:p>
    <w:p w14:paraId="1E5A53E2" w14:textId="66781A74" w:rsidR="0052432E" w:rsidRDefault="00C53717" w:rsidP="00A0314D">
      <w:pPr>
        <w:pStyle w:val="Textebrut"/>
      </w:pPr>
      <w:hyperlink r:id="rId93" w:history="1">
        <w:r w:rsidR="00A0314D" w:rsidRPr="0081582C">
          <w:rPr>
            <w:rStyle w:val="Lienhypertexte"/>
          </w:rPr>
          <w:t>https://www.defenseurdesdroits.fr/les-droits-des-usagers-des-services-publics-face-aux-algorithmes-et-aux-systemes-dia-749</w:t>
        </w:r>
      </w:hyperlink>
    </w:p>
    <w:p w14:paraId="54871BE9" w14:textId="77777777" w:rsidR="00A0314D" w:rsidRDefault="00A0314D" w:rsidP="00A0314D">
      <w:pPr>
        <w:pStyle w:val="Textebrut"/>
      </w:pPr>
    </w:p>
    <w:p w14:paraId="14489E41" w14:textId="77777777" w:rsidR="00F6176B" w:rsidRDefault="00F6176B" w:rsidP="00F6176B">
      <w:pPr>
        <w:pStyle w:val="Textebrut"/>
      </w:pPr>
      <w:r>
        <w:t>Règlement européen relatif aux essais cliniques de médicaments : fin de la période de transition (ANSM, 15/11/2024).</w:t>
      </w:r>
    </w:p>
    <w:p w14:paraId="40EBCDB9" w14:textId="77777777" w:rsidR="00F6176B" w:rsidRDefault="00F6176B" w:rsidP="00F6176B">
      <w:pPr>
        <w:pStyle w:val="Textebrut"/>
      </w:pPr>
      <w:r>
        <w:t>Le règlement européen n°536/2014 relatif aux essais cliniques de médicaments (REC) est entré en vigueur depuis le 31 janvier 2022, abrogeant la directive 2001/20/CE (directive EC).</w:t>
      </w:r>
    </w:p>
    <w:p w14:paraId="31400F32" w14:textId="77777777" w:rsidR="00F6176B" w:rsidRDefault="00F6176B" w:rsidP="00F6176B">
      <w:pPr>
        <w:pStyle w:val="Textebrut"/>
      </w:pPr>
      <w:r>
        <w:t>Pendant trois ans, du 31 janvier 2022 au 30 janvier 2025, les autorisations d'essais cliniques délivrées conformément à la directive EC ont conservé leur validité. Après cette période, à compter du 31 janvier 2025, tout essai clinique qui n’aura pas transitionné vers le cadre juridique du REC perdra son autorisation</w:t>
      </w:r>
    </w:p>
    <w:p w14:paraId="77317980" w14:textId="69DD2CFD" w:rsidR="00A0314D" w:rsidRDefault="00C53717" w:rsidP="00F6176B">
      <w:pPr>
        <w:pStyle w:val="Textebrut"/>
      </w:pPr>
      <w:hyperlink r:id="rId94" w:history="1">
        <w:r w:rsidR="00F6176B" w:rsidRPr="0081582C">
          <w:rPr>
            <w:rStyle w:val="Lienhypertexte"/>
          </w:rPr>
          <w:t>https://ansm.sante.fr/actualites/reglement-europeen-relatif-aux-essais-cliniques-de-medicaments-fin-de-la-periode-de-transition</w:t>
        </w:r>
      </w:hyperlink>
    </w:p>
    <w:p w14:paraId="5E40005A" w14:textId="77777777" w:rsidR="00F6176B" w:rsidRDefault="00F6176B" w:rsidP="00F6176B">
      <w:pPr>
        <w:pStyle w:val="Textebrut"/>
      </w:pPr>
    </w:p>
    <w:p w14:paraId="07B593DF" w14:textId="77777777" w:rsidR="006E5A44" w:rsidRDefault="006E5A44" w:rsidP="006E5A44">
      <w:pPr>
        <w:pStyle w:val="Textebrut"/>
      </w:pPr>
      <w:r>
        <w:t>Offre de soins en cancérologie adulte (Académie nationale de médecine, 15/11/2024)</w:t>
      </w:r>
    </w:p>
    <w:p w14:paraId="5BF683B0" w14:textId="3C9C25E7" w:rsidR="006E5A44" w:rsidRDefault="00C53717" w:rsidP="006E5A44">
      <w:pPr>
        <w:pStyle w:val="Textebrut"/>
      </w:pPr>
      <w:hyperlink r:id="rId95" w:history="1">
        <w:r w:rsidR="006E5A44" w:rsidRPr="0081582C">
          <w:rPr>
            <w:rStyle w:val="Lienhypertexte"/>
          </w:rPr>
          <w:t>https://www.academie-medecine.fr/wp-content/uploads/2024/11/Rapport-Offre-de-soins-en-cancerologie-apres-vote-pleniere.pdf</w:t>
        </w:r>
      </w:hyperlink>
    </w:p>
    <w:p w14:paraId="3D99B7A5" w14:textId="77777777" w:rsidR="006E5A44" w:rsidRDefault="006E5A44" w:rsidP="006E5A44">
      <w:pPr>
        <w:pStyle w:val="Textebrut"/>
      </w:pPr>
    </w:p>
    <w:p w14:paraId="52E9CC54" w14:textId="77777777" w:rsidR="00FB2B33" w:rsidRDefault="00FB2B33" w:rsidP="00FB2B33">
      <w:pPr>
        <w:pStyle w:val="Textebrut"/>
      </w:pPr>
      <w:r>
        <w:t>Antibiorésistance en santé animale et vente des antibiotiques à usage vétérinaire : le bilan pour 2023 (ANSES, 18/11/2024).</w:t>
      </w:r>
    </w:p>
    <w:p w14:paraId="6E508BAE" w14:textId="77777777" w:rsidR="00FB2B33" w:rsidRDefault="00FB2B33" w:rsidP="00FB2B33">
      <w:pPr>
        <w:pStyle w:val="Textebrut"/>
      </w:pPr>
      <w:r>
        <w:t>À l’occasion de la journée européenne d’information sur les antibiotiques, nous publions les résultats pour 2023 du suivi des ventes de médicaments vétérinaires et de la résistance aux antibiotiques des bactéries pathogènes chez les animaux</w:t>
      </w:r>
    </w:p>
    <w:p w14:paraId="31B00DCA" w14:textId="3213EF72" w:rsidR="006E5A44" w:rsidRDefault="00C53717" w:rsidP="00FB2B33">
      <w:pPr>
        <w:pStyle w:val="Textebrut"/>
      </w:pPr>
      <w:hyperlink r:id="rId96" w:history="1">
        <w:r w:rsidR="00FB2B33" w:rsidRPr="000E1D8E">
          <w:rPr>
            <w:rStyle w:val="Lienhypertexte"/>
          </w:rPr>
          <w:t>https://www.anses.fr/fr/content/antibioresistance-sante-animale-vente-antibiotiques-veterinaire-bilan-2023</w:t>
        </w:r>
      </w:hyperlink>
    </w:p>
    <w:p w14:paraId="40BC1F6C" w14:textId="77777777" w:rsidR="00FB2B33" w:rsidRDefault="00FB2B33" w:rsidP="00FB2B33">
      <w:pPr>
        <w:pStyle w:val="Textebrut"/>
      </w:pPr>
    </w:p>
    <w:p w14:paraId="12ED8F19" w14:textId="501F7B2B" w:rsidR="001B3D9E" w:rsidRDefault="001B3D9E" w:rsidP="001B3D9E">
      <w:pPr>
        <w:pStyle w:val="Textebrut"/>
      </w:pPr>
      <w:r>
        <w:t>Panorama des principales publications de la HAS sur l'Antibiorésistance (HAS, juillet 2024)</w:t>
      </w:r>
    </w:p>
    <w:p w14:paraId="3FB552DB" w14:textId="266E826E" w:rsidR="00FB2B33" w:rsidRDefault="00C53717" w:rsidP="001B3D9E">
      <w:pPr>
        <w:pStyle w:val="Textebrut"/>
      </w:pPr>
      <w:hyperlink r:id="rId97" w:history="1">
        <w:r w:rsidR="001B3D9E" w:rsidRPr="000E1D8E">
          <w:rPr>
            <w:rStyle w:val="Lienhypertexte"/>
          </w:rPr>
          <w:t>https://www.has-sante.fr/jcms/p_3285341/fr/antibioresistance</w:t>
        </w:r>
      </w:hyperlink>
    </w:p>
    <w:p w14:paraId="08B0BDC3" w14:textId="77777777" w:rsidR="001B3D9E" w:rsidRDefault="001B3D9E" w:rsidP="001B3D9E">
      <w:pPr>
        <w:pStyle w:val="Textebrut"/>
      </w:pPr>
    </w:p>
    <w:p w14:paraId="4D5FBEF7" w14:textId="77777777" w:rsidR="00570DBC" w:rsidRDefault="00570DBC" w:rsidP="00570DBC">
      <w:pPr>
        <w:pStyle w:val="Textebrut"/>
      </w:pPr>
      <w:r>
        <w:t>Semaine mondiale de sensibilisation à la résistance aux antimicrobiens (ANSM, 18/11/2024).</w:t>
      </w:r>
    </w:p>
    <w:p w14:paraId="701B9E39" w14:textId="0E238CCF" w:rsidR="00570DBC" w:rsidRDefault="00C53717" w:rsidP="00570DBC">
      <w:pPr>
        <w:pStyle w:val="Textebrut"/>
      </w:pPr>
      <w:hyperlink r:id="rId98" w:history="1">
        <w:r w:rsidR="00570DBC" w:rsidRPr="000E1D8E">
          <w:rPr>
            <w:rStyle w:val="Lienhypertexte"/>
          </w:rPr>
          <w:t>https://ansm.sante.fr/actualites/semaine-mondiale-de-sensibilisation-a-la-resistance-aux-antimicrobiens</w:t>
        </w:r>
      </w:hyperlink>
    </w:p>
    <w:p w14:paraId="54AE7F9B" w14:textId="15FB98A5" w:rsidR="00D72556" w:rsidRDefault="00D72556" w:rsidP="00570DBC">
      <w:pPr>
        <w:pStyle w:val="Textebrut"/>
      </w:pPr>
      <w:r>
        <w:t>Prévention de la résistance aux antibiotiques : une démarche « une seule santé ». Novembre 2024 (</w:t>
      </w:r>
      <w:proofErr w:type="spellStart"/>
      <w:r>
        <w:t>SpF</w:t>
      </w:r>
      <w:proofErr w:type="spellEnd"/>
      <w:r>
        <w:t>, 18/11/2024)</w:t>
      </w:r>
    </w:p>
    <w:p w14:paraId="58E2D4F7" w14:textId="7B656A9F" w:rsidR="001B3D9E" w:rsidRDefault="00C53717" w:rsidP="00D72556">
      <w:pPr>
        <w:pStyle w:val="Textebrut"/>
      </w:pPr>
      <w:hyperlink r:id="rId99" w:history="1">
        <w:r w:rsidR="00D72556" w:rsidRPr="000E1D8E">
          <w:rPr>
            <w:rStyle w:val="Lienhypertexte"/>
          </w:rPr>
          <w:t>https://www.santepubliquefrance.fr/maladies-et-traumatismes/infections-associees-aux-soins-et-resistance-aux-antibiotiques/resistance-aux-antibiotiques/documents/rapport-synthese/prevention-de-la-resistance-aux-antibiotiques-une-demarche-une-seule-sante-.-novembre-2024</w:t>
        </w:r>
      </w:hyperlink>
    </w:p>
    <w:p w14:paraId="5040D253" w14:textId="77777777" w:rsidR="00570DBC" w:rsidRDefault="00570DBC" w:rsidP="00570DBC">
      <w:pPr>
        <w:pStyle w:val="Textebrut"/>
      </w:pPr>
    </w:p>
    <w:p w14:paraId="0CD36B37" w14:textId="044E708F" w:rsidR="00570DBC" w:rsidRDefault="00570DBC" w:rsidP="00570DBC">
      <w:pPr>
        <w:pStyle w:val="Textebrut"/>
      </w:pPr>
      <w:r>
        <w:t>Antibiotiques et antibiorésistance : une situation qui varie selon l’endroit où l’on est (The Conversation, 17/11/2024).</w:t>
      </w:r>
    </w:p>
    <w:p w14:paraId="25C4C1EC" w14:textId="77777777" w:rsidR="00570DBC" w:rsidRDefault="00570DBC" w:rsidP="00570DBC">
      <w:pPr>
        <w:pStyle w:val="Textebrut"/>
      </w:pPr>
      <w:r>
        <w:t>Chaque année, du 18 au 24 novembre l’Organisation mondiale de la Santé organise la Semaine mondiale pour un bon usage des antimicrobiens, afin de mieux faire connaître et comprendre la résistance aux antibiotiques. Un enjeu d’importance, car l’antibiorésistance est l’une des 10 principales menaces pour la santé publique. Un risque qui varie fortement non seulement d’un pays à l’autre, mais aussi d’une région à l’autre au sein d’un même pays</w:t>
      </w:r>
    </w:p>
    <w:p w14:paraId="39DFD234" w14:textId="553E9998" w:rsidR="00D72556" w:rsidRDefault="00C53717" w:rsidP="00570DBC">
      <w:pPr>
        <w:pStyle w:val="Textebrut"/>
      </w:pPr>
      <w:hyperlink r:id="rId100" w:history="1">
        <w:r w:rsidR="00570DBC" w:rsidRPr="000E1D8E">
          <w:rPr>
            <w:rStyle w:val="Lienhypertexte"/>
          </w:rPr>
          <w:t>https://theconversation.com/antibiotiques-et-antibioresistance-une-situation-qui-varie-selon-lendroit-ou-lon-est-225911</w:t>
        </w:r>
      </w:hyperlink>
    </w:p>
    <w:p w14:paraId="227AEE8D" w14:textId="77777777" w:rsidR="00570DBC" w:rsidRDefault="00570DBC" w:rsidP="00570DBC">
      <w:pPr>
        <w:pStyle w:val="Textebrut"/>
      </w:pPr>
    </w:p>
    <w:p w14:paraId="1AC3751A" w14:textId="77777777" w:rsidR="004C45F2" w:rsidRDefault="004C45F2" w:rsidP="004C45F2">
      <w:pPr>
        <w:pStyle w:val="Textebrut"/>
      </w:pPr>
      <w:r>
        <w:t>Lutte contre l’antibiorésistance : mise à jour d’un outil de datavisualisation permettant de suivre les pratiques de prescriptions d’antibiotiques des médecins généralistes (DREES, 18/11/2024).</w:t>
      </w:r>
    </w:p>
    <w:p w14:paraId="577039B1" w14:textId="77777777" w:rsidR="004C45F2" w:rsidRDefault="004C45F2" w:rsidP="004C45F2">
      <w:pPr>
        <w:pStyle w:val="Textebrut"/>
      </w:pPr>
      <w:r>
        <w:t>Dans le cadre de la Mission ministérielle de prévention des infections et de l’antibiorésistance en santé humaine (MMPIA) et en cette semaine mondiale de sensibilisation à la résistance aux antimicrobiens 2024, la Direction de la recherche, des études, de l’évaluation et des statistiques (DREES) met à jour un outil de datavisualisation permettant d’appréhender la pertinence des prescriptions d’antibiotiques des médecins généralistes. 11 proxy-</w:t>
      </w:r>
      <w:r>
        <w:lastRenderedPageBreak/>
        <w:t>indicateurs, couplés à des cibles à atteindre, ont été mis en place à partir du Système national des données de santé (SNDS). Cet outil, publié pour la première fois l’an dernier, est actualisé avec les données relatives aux années 2022 et 2023</w:t>
      </w:r>
    </w:p>
    <w:p w14:paraId="3FF66B25" w14:textId="72A4434F" w:rsidR="00570DBC" w:rsidRDefault="00C53717" w:rsidP="004C45F2">
      <w:pPr>
        <w:pStyle w:val="Textebrut"/>
      </w:pPr>
      <w:hyperlink r:id="rId101" w:history="1">
        <w:r w:rsidR="004C45F2" w:rsidRPr="000E1D8E">
          <w:rPr>
            <w:rStyle w:val="Lienhypertexte"/>
          </w:rPr>
          <w:t>https://drees.solidarites-sante.gouv.fr/communique-de-presse-datavisualisation/241128_Dataviz_Antibioresistance</w:t>
        </w:r>
      </w:hyperlink>
    </w:p>
    <w:p w14:paraId="0386F330" w14:textId="77777777" w:rsidR="004C45F2" w:rsidRDefault="004C45F2" w:rsidP="004C45F2">
      <w:pPr>
        <w:pStyle w:val="Textebrut"/>
      </w:pPr>
    </w:p>
    <w:p w14:paraId="64555789" w14:textId="13FB86AB" w:rsidR="004C45F2" w:rsidRDefault="00FC2116" w:rsidP="004C45F2">
      <w:pPr>
        <w:pStyle w:val="Textebrut"/>
      </w:pPr>
      <w:r w:rsidRPr="00FC2116">
        <w:t>Message ANSM-Urgent n° 2024_02 du 13/11/2024 : Prise en charge des patients recevant certaines chimiothérapies nécessitant une supplémentation en vitamine B12</w:t>
      </w:r>
    </w:p>
    <w:p w14:paraId="061C6D20" w14:textId="33D6513F" w:rsidR="00FC2116" w:rsidRDefault="00C53717" w:rsidP="004C45F2">
      <w:pPr>
        <w:pStyle w:val="Textebrut"/>
      </w:pPr>
      <w:hyperlink r:id="rId102" w:history="1">
        <w:r w:rsidR="00FC2116" w:rsidRPr="000E1D8E">
          <w:rPr>
            <w:rStyle w:val="Lienhypertexte"/>
          </w:rPr>
          <w:t>https://peps.sante.gouv.fr/actu/2024/24_ansm-urgent_2024-02_vit-b12.pdf</w:t>
        </w:r>
      </w:hyperlink>
    </w:p>
    <w:p w14:paraId="4B2E895D" w14:textId="77777777" w:rsidR="00FC2116" w:rsidRDefault="00FC2116" w:rsidP="004C45F2">
      <w:pPr>
        <w:pStyle w:val="Textebrut"/>
      </w:pPr>
    </w:p>
    <w:p w14:paraId="2E7793ED" w14:textId="77777777" w:rsidR="007C4708" w:rsidRDefault="007C4708" w:rsidP="007C4708">
      <w:pPr>
        <w:pStyle w:val="Textebrut"/>
      </w:pPr>
      <w:r>
        <w:t>Les mesures de saturation en carboxyhémoglobine (</w:t>
      </w:r>
      <w:proofErr w:type="spellStart"/>
      <w:r>
        <w:t>SpCO</w:t>
      </w:r>
      <w:proofErr w:type="spellEnd"/>
      <w:r>
        <w:t>) des moniteurs multiparamétriques doivent être interprétées avec prudence (ANSM, 19/11/2024).</w:t>
      </w:r>
    </w:p>
    <w:p w14:paraId="3C72A910" w14:textId="77777777" w:rsidR="007C4708" w:rsidRDefault="007C4708" w:rsidP="007C4708">
      <w:pPr>
        <w:pStyle w:val="Textebrut"/>
      </w:pPr>
      <w:r>
        <w:t>L’ANSM et les centres antipoison, rappellent que les mesures de saturation en carboxyhémoglobine (</w:t>
      </w:r>
      <w:proofErr w:type="spellStart"/>
      <w:r>
        <w:t>SpCO</w:t>
      </w:r>
      <w:proofErr w:type="spellEnd"/>
      <w:r>
        <w:t>) des moniteurs multiparamétriques doivent être interprétées avec prudence.</w:t>
      </w:r>
    </w:p>
    <w:p w14:paraId="15CCACF9" w14:textId="77777777" w:rsidR="007C4708" w:rsidRDefault="007C4708" w:rsidP="007C4708">
      <w:pPr>
        <w:pStyle w:val="Textebrut"/>
      </w:pPr>
      <w:r>
        <w:t xml:space="preserve">Nous avons reçu plusieurs signalements d’incidents relatifs à l’utilisation d’oxymètres de pouls </w:t>
      </w:r>
      <w:proofErr w:type="spellStart"/>
      <w:r>
        <w:t>Masimo</w:t>
      </w:r>
      <w:proofErr w:type="spellEnd"/>
      <w:r>
        <w:t xml:space="preserve"> RAD-57 et RAD-67, qui mesurent le niveau de monoxyde de carbone dans le sang. Dans ce contexte, nous rappelons que la mesure de la carboxyhémoglobine (</w:t>
      </w:r>
      <w:proofErr w:type="spellStart"/>
      <w:r>
        <w:t>SpCO</w:t>
      </w:r>
      <w:proofErr w:type="spellEnd"/>
      <w:r>
        <w:t>) par ces appareils ne doit pas être le seul critère diagnostique d’une intoxication par monoxyde de carbone (CO). Les valeurs fournies doivent toujours être interprétées selon le contexte, l’examen clinique et complétées d’examens biologiques</w:t>
      </w:r>
    </w:p>
    <w:p w14:paraId="196AB91F" w14:textId="0BAB47FA" w:rsidR="00FC2116" w:rsidRDefault="00C53717" w:rsidP="007C4708">
      <w:pPr>
        <w:pStyle w:val="Textebrut"/>
      </w:pPr>
      <w:hyperlink r:id="rId103" w:history="1">
        <w:r w:rsidR="007C4708" w:rsidRPr="007D0F89">
          <w:rPr>
            <w:rStyle w:val="Lienhypertexte"/>
          </w:rPr>
          <w:t>https://ansm.sante.fr/actualites/les-mesures-de-saturation-en-carboxyhemoglobine-spco-des-moniteurs-multiparametriques-doivent-etre-interpretees-avec-prudence</w:t>
        </w:r>
      </w:hyperlink>
    </w:p>
    <w:p w14:paraId="1B8AB15F" w14:textId="77777777" w:rsidR="007C4708" w:rsidRDefault="007C4708" w:rsidP="007C4708">
      <w:pPr>
        <w:pStyle w:val="Textebrut"/>
      </w:pPr>
    </w:p>
    <w:p w14:paraId="5134F759" w14:textId="77777777" w:rsidR="000F0857" w:rsidRDefault="000F0857" w:rsidP="000F0857">
      <w:pPr>
        <w:pStyle w:val="Textebrut"/>
      </w:pPr>
      <w:r>
        <w:t>AMP - Modèle de recueil des données des activités cliniques et biologiques (ABM, 28/10/2024).</w:t>
      </w:r>
    </w:p>
    <w:p w14:paraId="7801F5F5" w14:textId="77777777" w:rsidR="000F0857" w:rsidRDefault="000F0857" w:rsidP="000F0857">
      <w:pPr>
        <w:pStyle w:val="Textebrut"/>
      </w:pPr>
      <w:r>
        <w:t>L’Agence de la biomédecine a pour mission réglementaire (cf. arrêté du 8 août 2008) de recueillir au 31 décembre de chaque année les données des activités cliniques et biologiques d’assistance médicale à la procréation, établis par la personne responsable mentionnée à l’article L. 2142-3-1 du code de la santé publique</w:t>
      </w:r>
    </w:p>
    <w:p w14:paraId="05BDC76A" w14:textId="55F63062" w:rsidR="007C4708" w:rsidRDefault="00C53717" w:rsidP="000F0857">
      <w:pPr>
        <w:pStyle w:val="Textebrut"/>
      </w:pPr>
      <w:hyperlink r:id="rId104" w:history="1">
        <w:r w:rsidR="000F0857" w:rsidRPr="007D0F89">
          <w:rPr>
            <w:rStyle w:val="Lienhypertexte"/>
          </w:rPr>
          <w:t>https://www.agence-biomedecine.fr/Modele-de-recueil-des-donnees-des-activites-cliniques-et-biologiques</w:t>
        </w:r>
      </w:hyperlink>
    </w:p>
    <w:p w14:paraId="6E281079" w14:textId="77777777" w:rsidR="000F0857" w:rsidRDefault="000F0857" w:rsidP="000F0857">
      <w:pPr>
        <w:pStyle w:val="Textebrut"/>
      </w:pPr>
    </w:p>
    <w:p w14:paraId="66533D60" w14:textId="77777777" w:rsidR="00C634FB" w:rsidRDefault="00C634FB" w:rsidP="00C634FB">
      <w:pPr>
        <w:pStyle w:val="Textebrut"/>
      </w:pPr>
      <w:r>
        <w:t>L’ASN publie le premier avis du CANPRI (comité d’analyse des nouvelles techniques et pratiques médicales utilisant des rayonnements ionisants) et prend position sur l’installation et l’utilisation de la plateforme ZAP-X® de radiothérapie et radiochirurgie intracrânienne en conditions stéréotaxiques (ASN, 24/10/2024).</w:t>
      </w:r>
    </w:p>
    <w:p w14:paraId="3F040798" w14:textId="23FEF341" w:rsidR="00C634FB" w:rsidRDefault="00C53717" w:rsidP="00C634FB">
      <w:pPr>
        <w:pStyle w:val="Textebrut"/>
      </w:pPr>
      <w:hyperlink r:id="rId105" w:history="1">
        <w:r w:rsidR="00C634FB" w:rsidRPr="00AC3D9C">
          <w:rPr>
            <w:rStyle w:val="Lienhypertexte"/>
          </w:rPr>
          <w:t>https://www.asn.fr/l-asn-informe/actualites/premier-avis-du-canpri-et-position-sur-l-installation-et-l-utilisation-de-la-plateforme-zap-x-R</w:t>
        </w:r>
      </w:hyperlink>
    </w:p>
    <w:p w14:paraId="4E55E3C5" w14:textId="7FA383CB" w:rsidR="00C634FB" w:rsidRDefault="00C634FB" w:rsidP="00C634FB">
      <w:pPr>
        <w:pStyle w:val="Textebrut"/>
      </w:pPr>
      <w:r>
        <w:t>Radiothérapie : recommandations de radioprotection pour le dispositif ZAP-X® (IRSN, 08/11/2024).</w:t>
      </w:r>
    </w:p>
    <w:p w14:paraId="500FEAEF" w14:textId="77777777" w:rsidR="00C634FB" w:rsidRDefault="00C634FB" w:rsidP="00C634FB">
      <w:pPr>
        <w:pStyle w:val="Textebrut"/>
      </w:pPr>
      <w:r>
        <w:t xml:space="preserve">Les accélérateurs de particules utilisés en radiothérapie et en radiochirurgie exigent habituellement une installation en bunker pour protéger les travailleurs et le public des rayonnements ionisants générés lors des traitements. Cependant, le ZAP-X®, un nouvel accélérateur autoblindé développé par l'entreprise américaine ZAP </w:t>
      </w:r>
      <w:proofErr w:type="spellStart"/>
      <w:r>
        <w:t>Surgical</w:t>
      </w:r>
      <w:proofErr w:type="spellEnd"/>
      <w:r>
        <w:t xml:space="preserve"> </w:t>
      </w:r>
      <w:proofErr w:type="spellStart"/>
      <w:r>
        <w:t>Systems</w:t>
      </w:r>
      <w:proofErr w:type="spellEnd"/>
      <w:r>
        <w:t xml:space="preserve"> Inc., a été conçu pour repousser cette contrainte. Grâce à un blindage interne, cet appareil se dispense théoriquement du bunker de radiothérapie, une innovation permettant de simplifier l’aménagement des locaux</w:t>
      </w:r>
    </w:p>
    <w:p w14:paraId="1C947A2E" w14:textId="68BABD58" w:rsidR="000F0857" w:rsidRDefault="00C53717" w:rsidP="00C634FB">
      <w:pPr>
        <w:pStyle w:val="Textebrut"/>
      </w:pPr>
      <w:hyperlink r:id="rId106" w:history="1">
        <w:r w:rsidR="00C634FB" w:rsidRPr="00AC3D9C">
          <w:rPr>
            <w:rStyle w:val="Lienhypertexte"/>
          </w:rPr>
          <w:t>https://www.irsn.fr/actualites/radiotherapie-recommandations-radioprotection-pour-dispositif-zap-xr</w:t>
        </w:r>
      </w:hyperlink>
    </w:p>
    <w:p w14:paraId="65638330" w14:textId="77777777" w:rsidR="00C634FB" w:rsidRDefault="00C634FB" w:rsidP="00C634FB">
      <w:pPr>
        <w:pStyle w:val="Textebrut"/>
      </w:pPr>
    </w:p>
    <w:p w14:paraId="2B1C9687" w14:textId="77777777" w:rsidR="00C634FB" w:rsidRDefault="00C634FB" w:rsidP="00C634FB">
      <w:pPr>
        <w:pStyle w:val="Textebrut"/>
      </w:pPr>
      <w:r>
        <w:t>Nouvelle version du guide ASN « Principales dispositions réglementaires de radioprotection applicables en radiologie médicale et dentaire » (ASN, 12/11/2024).</w:t>
      </w:r>
    </w:p>
    <w:p w14:paraId="02C77A76" w14:textId="77777777" w:rsidR="00C634FB" w:rsidRDefault="00C634FB" w:rsidP="00C634FB">
      <w:pPr>
        <w:pStyle w:val="Textebrut"/>
      </w:pPr>
      <w:r>
        <w:t>Ce document s’inscrit dans la démarche d’accompagnement des responsables d’activité nucléaire, entreprise par l’Autorité de sûreté nucléaire (ASN) depuis plusieurs années, visant à faciliter l’application de la réglementation de radioprotection des activités nucléaires d’imagerie médicale comprenant la radiologie dentaire et conventionnelle, la scanographie et les pratiques interventionnelles radioguidées</w:t>
      </w:r>
    </w:p>
    <w:p w14:paraId="2A6BA14F" w14:textId="062C3D8E" w:rsidR="00C634FB" w:rsidRDefault="00C53717" w:rsidP="00C634FB">
      <w:pPr>
        <w:pStyle w:val="Textebrut"/>
      </w:pPr>
      <w:hyperlink r:id="rId107" w:history="1">
        <w:r w:rsidR="00C634FB" w:rsidRPr="00AC3D9C">
          <w:rPr>
            <w:rStyle w:val="Lienhypertexte"/>
          </w:rPr>
          <w:t>https://www.asn.fr/l-asn-reglemente/guides-de-l-asn/principales-dispositions-reglementaires-de-radioprotection-applicables-en-radiologie-medicale-et-dentaire</w:t>
        </w:r>
      </w:hyperlink>
    </w:p>
    <w:p w14:paraId="43EB9EEA" w14:textId="77777777" w:rsidR="00C634FB" w:rsidRDefault="00C634FB" w:rsidP="00C634FB">
      <w:pPr>
        <w:pStyle w:val="Textebrut"/>
      </w:pPr>
    </w:p>
    <w:p w14:paraId="69FBFF28" w14:textId="77777777" w:rsidR="00B00452" w:rsidRDefault="00B00452" w:rsidP="00B00452">
      <w:pPr>
        <w:pStyle w:val="Textebrut"/>
      </w:pPr>
      <w:r>
        <w:lastRenderedPageBreak/>
        <w:t>Acétate de médroxyprogestérone en suspension injectable (</w:t>
      </w:r>
      <w:proofErr w:type="spellStart"/>
      <w:r>
        <w:t>Depo</w:t>
      </w:r>
      <w:proofErr w:type="spellEnd"/>
      <w:r>
        <w:t xml:space="preserve"> </w:t>
      </w:r>
      <w:proofErr w:type="spellStart"/>
      <w:r>
        <w:t>Prodasone</w:t>
      </w:r>
      <w:proofErr w:type="spellEnd"/>
      <w:r>
        <w:t xml:space="preserve"> 500 mg) : risque de méningiome et mesures de réduction du risque (ANSM, 19/11/2024).</w:t>
      </w:r>
    </w:p>
    <w:p w14:paraId="037899A5" w14:textId="77777777" w:rsidR="00B00452" w:rsidRDefault="00B00452" w:rsidP="00B00452">
      <w:pPr>
        <w:pStyle w:val="Textebrut"/>
      </w:pPr>
      <w:r>
        <w:t>Information destinée aux médecins oncologues, médecins généralistes compétents en oncologie, gynécologues compétents en oncologie, radiologues, neurochirurgiens et neurologues. Le risque de développer un méningiome est augmenté avec l’utilisation de fortes doses d’acétate de médroxyprogestérone, principalement lors d’une exposition prolongée</w:t>
      </w:r>
    </w:p>
    <w:p w14:paraId="06B34862" w14:textId="7BEDDBA0" w:rsidR="00C634FB" w:rsidRDefault="00C53717" w:rsidP="00B00452">
      <w:pPr>
        <w:pStyle w:val="Textebrut"/>
      </w:pPr>
      <w:hyperlink r:id="rId108" w:history="1">
        <w:r w:rsidR="00B00452" w:rsidRPr="00AC3D9C">
          <w:rPr>
            <w:rStyle w:val="Lienhypertexte"/>
          </w:rPr>
          <w:t>https://ansm.sante.fr/informations-de-securite/acetate-de-medroxyprogesterone-en-suspension-injectable-depo-prodasone-500-mg-risque-de-meningiome-et-mesures-de-reduction-du-risque</w:t>
        </w:r>
      </w:hyperlink>
    </w:p>
    <w:p w14:paraId="5FA56E5F" w14:textId="77777777" w:rsidR="00B00452" w:rsidRDefault="00B00452" w:rsidP="00B00452">
      <w:pPr>
        <w:pStyle w:val="Textebrut"/>
      </w:pPr>
    </w:p>
    <w:p w14:paraId="0B3DBC80" w14:textId="77777777" w:rsidR="00852DDC" w:rsidRDefault="00852DDC" w:rsidP="00852DDC">
      <w:pPr>
        <w:pStyle w:val="Textebrut"/>
      </w:pPr>
      <w:r>
        <w:t>Consommation d’antibiotiques et lutte contre l’antibiorésistance : l’état des lieux 2024 (ameli.fr, 20/11/2024).</w:t>
      </w:r>
    </w:p>
    <w:p w14:paraId="5A752A14" w14:textId="77777777" w:rsidR="00852DDC" w:rsidRDefault="00852DDC" w:rsidP="00852DDC">
      <w:pPr>
        <w:pStyle w:val="Textebrut"/>
      </w:pPr>
      <w:r>
        <w:t xml:space="preserve">Dans le cadre de la semaine mondiale de sensibilisation à la résistance aux antimicrobiens du 18 au 24 novembre 2024, Santé publique France vient de publier la synthèse 2024 « Une seule santé » (« One </w:t>
      </w:r>
      <w:proofErr w:type="spellStart"/>
      <w:r>
        <w:t>Health</w:t>
      </w:r>
      <w:proofErr w:type="spellEnd"/>
      <w:r>
        <w:t xml:space="preserve"> ») : « Prévention de la résistance aux antibiotiques ». Priorité mondiale, la lutte contre la résistance aux antimicrobiens s’inscrit dans la feuille de route interministérielle 2024-2034 intitulée « Prévention et réduction de l’antibiorésistance, lutte contre la résistance aux antimicrobiens ». « Une seule santé » propose une approche en matière de santé publique qui réunit à la fois la santé humaine, la santé animale et la santé environnementale, dans une démarche coordonnée et interdépendante entre les acteurs de ces secteurs</w:t>
      </w:r>
    </w:p>
    <w:p w14:paraId="540D65F2" w14:textId="71A48F4D" w:rsidR="009F7BF6" w:rsidRDefault="00C53717" w:rsidP="00852DDC">
      <w:pPr>
        <w:pStyle w:val="Textebrut"/>
      </w:pPr>
      <w:hyperlink r:id="rId109" w:history="1">
        <w:r w:rsidR="00852DDC" w:rsidRPr="00112EC1">
          <w:rPr>
            <w:rStyle w:val="Lienhypertexte"/>
          </w:rPr>
          <w:t>https://www.ameli.fr/pharmacien/actualites/consommation-d-antibiotiques-et-lutte-contre-l-antibioresistance-l-etat-des-lieux-2024</w:t>
        </w:r>
      </w:hyperlink>
    </w:p>
    <w:p w14:paraId="17F026F1" w14:textId="77777777" w:rsidR="00852DDC" w:rsidRDefault="00852DDC" w:rsidP="00852DDC">
      <w:pPr>
        <w:pStyle w:val="Textebrut"/>
      </w:pPr>
    </w:p>
    <w:p w14:paraId="796FA249" w14:textId="77777777" w:rsidR="00852DDC" w:rsidRDefault="00852DDC" w:rsidP="00852DDC">
      <w:pPr>
        <w:pStyle w:val="Textebrut"/>
      </w:pPr>
      <w:r>
        <w:t>Les dépenses de santé en 2023 - Résultats des comptes de la santé - Édition 2024 (DREES, 21/11/2024).</w:t>
      </w:r>
    </w:p>
    <w:p w14:paraId="4AB1CBFF" w14:textId="77777777" w:rsidR="00852DDC" w:rsidRDefault="00852DDC" w:rsidP="00852DDC">
      <w:pPr>
        <w:pStyle w:val="Textebrut"/>
      </w:pPr>
      <w:r>
        <w:t>La Direction de la recherche, des études, de l’évaluation et des statistiques (DREES) publie « Les dépenses de santé en 2023 ». Ce Panorama présente les comptes de la santé, quantification de l’ensemble des dépenses de santé à l’échelle nationale, en analyse les résultats en 2023, et les replace dans une perspective internationale</w:t>
      </w:r>
    </w:p>
    <w:p w14:paraId="00C53326" w14:textId="248C10C8" w:rsidR="00852DDC" w:rsidRDefault="00C53717" w:rsidP="00852DDC">
      <w:pPr>
        <w:pStyle w:val="Textebrut"/>
      </w:pPr>
      <w:hyperlink r:id="rId110" w:history="1">
        <w:r w:rsidR="00852DDC" w:rsidRPr="00112EC1">
          <w:rPr>
            <w:rStyle w:val="Lienhypertexte"/>
          </w:rPr>
          <w:t>https://drees.solidarites-sante.gouv.fr/publications-communique-de-presse-documents-de-reference/panoramas-de-la-drees/241120-Panorama-CNS24</w:t>
        </w:r>
      </w:hyperlink>
    </w:p>
    <w:p w14:paraId="2C930CA9" w14:textId="77777777" w:rsidR="00852DDC" w:rsidRDefault="00852DDC" w:rsidP="00852DDC">
      <w:pPr>
        <w:pStyle w:val="Textebrut"/>
      </w:pPr>
    </w:p>
    <w:p w14:paraId="79E94965" w14:textId="77777777" w:rsidR="00124930" w:rsidRDefault="00124930" w:rsidP="00124930">
      <w:pPr>
        <w:pStyle w:val="Textebrut"/>
      </w:pPr>
      <w:r>
        <w:t xml:space="preserve">Rappel d’un lot d’atorvastatine en raison de la présence d’un comprimé de </w:t>
      </w:r>
      <w:proofErr w:type="spellStart"/>
      <w:r>
        <w:t>gliclazide</w:t>
      </w:r>
      <w:proofErr w:type="spellEnd"/>
      <w:r>
        <w:t xml:space="preserve"> dans un flacon (ANSM, 21/11/2024).</w:t>
      </w:r>
    </w:p>
    <w:p w14:paraId="05B1AFD7" w14:textId="0286C6C9" w:rsidR="00124930" w:rsidRDefault="00124930" w:rsidP="00124930">
      <w:pPr>
        <w:pStyle w:val="Textebrut"/>
      </w:pPr>
      <w:r>
        <w:t xml:space="preserve">Nous avons été informés par le laboratoire Arrow de la découverte d’un comprimé de </w:t>
      </w:r>
      <w:proofErr w:type="spellStart"/>
      <w:r>
        <w:t>Gliclazide</w:t>
      </w:r>
      <w:proofErr w:type="spellEnd"/>
      <w:r>
        <w:t xml:space="preserve"> 30 mg à libération modifiée (hypoglycémiant) dans un flacon de comprimés du lot JBM2300810F d’atorvastatine Arrow génériques 10 mg, comprimé pelliculé (hypolipémiant). Le laboratoire Arrow, en accord avec l’ANSM, rappelle les flacons d’atorvastatine Arrow génériques 10 mg, comprimé pelliculé du lot JBM2300810F.</w:t>
      </w:r>
    </w:p>
    <w:p w14:paraId="0CB3803C" w14:textId="77777777" w:rsidR="00124930" w:rsidRDefault="00124930" w:rsidP="00124930">
      <w:pPr>
        <w:pStyle w:val="Textebrut"/>
      </w:pPr>
      <w:r>
        <w:t xml:space="preserve">Les patients ayant chez eux un flacon de ce lot sont invités à le rapporter à la pharmacie pour qu’il soit remplacé. Le risque pour les patients qui prendraient du </w:t>
      </w:r>
      <w:proofErr w:type="spellStart"/>
      <w:r>
        <w:t>gliclazide</w:t>
      </w:r>
      <w:proofErr w:type="spellEnd"/>
      <w:r>
        <w:t xml:space="preserve"> au lieu d’atorvastatine est une hypoglycémie. Aucun cas de pharmacovigilance en lien avec le défaut qualité n'a été rapporté au laboratoire à ce jour</w:t>
      </w:r>
    </w:p>
    <w:p w14:paraId="5DF35BB2" w14:textId="6E4AD1F5" w:rsidR="00852DDC" w:rsidRDefault="00C53717" w:rsidP="00124930">
      <w:pPr>
        <w:pStyle w:val="Textebrut"/>
      </w:pPr>
      <w:hyperlink r:id="rId111" w:history="1">
        <w:r w:rsidR="00124930" w:rsidRPr="00112EC1">
          <w:rPr>
            <w:rStyle w:val="Lienhypertexte"/>
          </w:rPr>
          <w:t>https://ansm.sante.fr/actualites/rappel-dun-lot-datorvastatine-en-raison-de-la-presence-dun-comprime-de-gliclazide-dans-un-flacon</w:t>
        </w:r>
      </w:hyperlink>
    </w:p>
    <w:p w14:paraId="69F100F8" w14:textId="77777777" w:rsidR="00124930" w:rsidRDefault="00124930" w:rsidP="00124930">
      <w:pPr>
        <w:pStyle w:val="Textebrut"/>
      </w:pPr>
    </w:p>
    <w:p w14:paraId="542DC5E8" w14:textId="77777777" w:rsidR="00FC0861" w:rsidRDefault="00FC0861" w:rsidP="00FC0861">
      <w:pPr>
        <w:pStyle w:val="Textebrut"/>
      </w:pPr>
      <w:r>
        <w:t>Virus influenza de la grippe du porc : éviter la transmission entre animaux et humains (ANSES, 21/11/2024).</w:t>
      </w:r>
    </w:p>
    <w:p w14:paraId="7B0E357C" w14:textId="77777777" w:rsidR="00FC0861" w:rsidRDefault="00FC0861" w:rsidP="00FC0861">
      <w:pPr>
        <w:pStyle w:val="Textebrut"/>
      </w:pPr>
      <w:r>
        <w:t xml:space="preserve">Comme tous les virus influenza de type A, ceux responsables de la grippe chez le porc sont en constante évolution. </w:t>
      </w:r>
      <w:proofErr w:type="gramStart"/>
      <w:r>
        <w:t>L’Anses</w:t>
      </w:r>
      <w:proofErr w:type="gramEnd"/>
      <w:r>
        <w:t xml:space="preserve"> a mené une expertise sur les facteurs d’introduction de ces virus dans un élevage de porcs et de leur transmission entre les porcs et les humains. En cas d’introduction dans un élevage, les risques de réassortiments chez les porcs avec d’autres virus influenza existent. De tels réassortiments pourraient constituer une source d’émergence de nouveaux virus à potentiel </w:t>
      </w:r>
      <w:proofErr w:type="spellStart"/>
      <w:r>
        <w:t>panzootique</w:t>
      </w:r>
      <w:proofErr w:type="spellEnd"/>
      <w:r>
        <w:t xml:space="preserve"> ou pandémique</w:t>
      </w:r>
    </w:p>
    <w:p w14:paraId="0787DF1B" w14:textId="220AB595" w:rsidR="00124930" w:rsidRDefault="00C53717" w:rsidP="00FC0861">
      <w:pPr>
        <w:pStyle w:val="Textebrut"/>
      </w:pPr>
      <w:hyperlink r:id="rId112" w:history="1">
        <w:r w:rsidR="00FC0861" w:rsidRPr="00EE15B1">
          <w:rPr>
            <w:rStyle w:val="Lienhypertexte"/>
          </w:rPr>
          <w:t>https://www.anses.fr/fr/content/virus-influenza-grippe-du-porc-eviter-la-transmission-entre-animaux-et-humains</w:t>
        </w:r>
      </w:hyperlink>
    </w:p>
    <w:p w14:paraId="352AE063" w14:textId="77777777" w:rsidR="00FC0861" w:rsidRDefault="00FC0861" w:rsidP="00FC0861">
      <w:pPr>
        <w:pStyle w:val="Textebrut"/>
      </w:pPr>
    </w:p>
    <w:p w14:paraId="557C6CAE" w14:textId="77777777" w:rsidR="00C53717" w:rsidRDefault="00C53717" w:rsidP="00FC0861">
      <w:pPr>
        <w:pStyle w:val="Textebrut"/>
      </w:pPr>
    </w:p>
    <w:p w14:paraId="4E7741C4" w14:textId="77777777" w:rsidR="00C53717" w:rsidRDefault="00C53717" w:rsidP="00FC0861">
      <w:pPr>
        <w:pStyle w:val="Textebrut"/>
      </w:pPr>
    </w:p>
    <w:p w14:paraId="6177ACD1" w14:textId="77777777" w:rsidR="00C53717" w:rsidRDefault="00C53717" w:rsidP="00FC0861">
      <w:pPr>
        <w:pStyle w:val="Textebrut"/>
      </w:pPr>
    </w:p>
    <w:p w14:paraId="236454BF" w14:textId="77777777" w:rsidR="00FC0861" w:rsidRDefault="00FC0861" w:rsidP="00FC0861">
      <w:pPr>
        <w:pStyle w:val="Textebrut"/>
      </w:pPr>
      <w:r>
        <w:lastRenderedPageBreak/>
        <w:t>Data professionnels de santé libéraux : l’outil interactif en open data de l’Assurance Maladie s’enrichit (ameli.fr, 21/11/2021).</w:t>
      </w:r>
    </w:p>
    <w:p w14:paraId="5B13E579" w14:textId="77777777" w:rsidR="00FC0861" w:rsidRDefault="00FC0861" w:rsidP="00FC0861">
      <w:pPr>
        <w:pStyle w:val="Textebrut"/>
      </w:pPr>
      <w:r>
        <w:t>Plateforme unique de consultation des données portant sur 32 professions de santé et spécialités médicales, Data professionnels de santé libéraux permet, depuis son lancement en 2023, de cartographier et d’explorer les évolutions du secteur de la santé libérale sur plus d’une décennie en France, par région et par département.</w:t>
      </w:r>
    </w:p>
    <w:p w14:paraId="255734BE" w14:textId="77777777" w:rsidR="00FC0861" w:rsidRDefault="00FC0861" w:rsidP="00FC0861">
      <w:pPr>
        <w:pStyle w:val="Textebrut"/>
      </w:pPr>
      <w:r>
        <w:t>L’outil de datavisualisation, complété par les dernières données 2023 et par l’historique des prescriptions depuis 2010, propose également désormais de nouveaux graphiques détaillant les honoraires des professionnels de santé libéraux</w:t>
      </w:r>
    </w:p>
    <w:p w14:paraId="56B456B2" w14:textId="00EC18ED" w:rsidR="00FC0861" w:rsidRDefault="00C53717" w:rsidP="00FC0861">
      <w:pPr>
        <w:pStyle w:val="Textebrut"/>
      </w:pPr>
      <w:hyperlink r:id="rId113" w:history="1">
        <w:r w:rsidR="00FC0861" w:rsidRPr="00EE15B1">
          <w:rPr>
            <w:rStyle w:val="Lienhypertexte"/>
          </w:rPr>
          <w:t>https://www.assurance-maladie.ameli.fr/presse/2024-11-21-infopresse-data-professionnels-de-sante-liberaux</w:t>
        </w:r>
      </w:hyperlink>
    </w:p>
    <w:p w14:paraId="059DB115" w14:textId="77777777" w:rsidR="00FC0861" w:rsidRDefault="00FC0861" w:rsidP="00FC0861">
      <w:pPr>
        <w:pStyle w:val="Textebrut"/>
      </w:pPr>
    </w:p>
    <w:p w14:paraId="6A8912B8" w14:textId="6C7855F7" w:rsidR="00FC0861" w:rsidRDefault="00FC0861" w:rsidP="00FC0861">
      <w:pPr>
        <w:pStyle w:val="Textebrut"/>
      </w:pPr>
      <w:r w:rsidRPr="00FC0861">
        <w:t xml:space="preserve">Pour consulter la plateforme et explorer les données en détail, rendez-vous sur </w:t>
      </w:r>
      <w:hyperlink r:id="rId114" w:history="1">
        <w:r w:rsidRPr="00EE15B1">
          <w:rPr>
            <w:rStyle w:val="Lienhypertexte"/>
          </w:rPr>
          <w:t>https://data.ameli.fr/pages/data-professionnels-sante-liberaux/</w:t>
        </w:r>
      </w:hyperlink>
    </w:p>
    <w:p w14:paraId="650B64DD" w14:textId="77777777" w:rsidR="00FC0861" w:rsidRDefault="00FC0861" w:rsidP="00FC0861">
      <w:pPr>
        <w:pStyle w:val="Textebrut"/>
      </w:pPr>
    </w:p>
    <w:p w14:paraId="2E7F9B22" w14:textId="77777777" w:rsidR="00FC0861" w:rsidRDefault="00FC0861" w:rsidP="00FC0861">
      <w:pPr>
        <w:pStyle w:val="Textebrut"/>
      </w:pPr>
      <w:r>
        <w:t>Persistance et sécurité des biosimilaires de l’</w:t>
      </w:r>
      <w:proofErr w:type="spellStart"/>
      <w:r>
        <w:t>adalimumab</w:t>
      </w:r>
      <w:proofErr w:type="spellEnd"/>
      <w:r>
        <w:t xml:space="preserve"> comparés au produit de référence (EPI-PHARE, 21/11/2024).</w:t>
      </w:r>
    </w:p>
    <w:p w14:paraId="706F2670" w14:textId="77777777" w:rsidR="00FC0861" w:rsidRDefault="00FC0861" w:rsidP="00FC0861">
      <w:pPr>
        <w:pStyle w:val="Textebrut"/>
      </w:pPr>
      <w:r>
        <w:t>L’absence de données probantes dans un contexte clinique de routine a limité l’adoption à grande échelle des biosimilaires de l’</w:t>
      </w:r>
      <w:proofErr w:type="spellStart"/>
      <w:r>
        <w:t>adalimumab</w:t>
      </w:r>
      <w:proofErr w:type="spellEnd"/>
      <w:r>
        <w:t xml:space="preserve"> dans le traitement du psoriasis. Cette étude a comparé la persistance et la sécurité des biosimilaires de l’</w:t>
      </w:r>
      <w:proofErr w:type="spellStart"/>
      <w:r>
        <w:t>adalimumab</w:t>
      </w:r>
      <w:proofErr w:type="spellEnd"/>
      <w:r>
        <w:t xml:space="preserve"> par rapport à </w:t>
      </w:r>
      <w:proofErr w:type="spellStart"/>
      <w:r>
        <w:t>Humira</w:t>
      </w:r>
      <w:proofErr w:type="spellEnd"/>
      <w:r>
        <w:t xml:space="preserve"> dans le traitement du psoriasis.</w:t>
      </w:r>
    </w:p>
    <w:p w14:paraId="732294A4" w14:textId="77777777" w:rsidR="00FC0861" w:rsidRDefault="00FC0861" w:rsidP="00FC0861">
      <w:pPr>
        <w:pStyle w:val="Textebrut"/>
      </w:pPr>
      <w:r>
        <w:t>Les biosimilaires de l’</w:t>
      </w:r>
      <w:proofErr w:type="spellStart"/>
      <w:r>
        <w:t>adalimumab</w:t>
      </w:r>
      <w:proofErr w:type="spellEnd"/>
      <w:r>
        <w:t xml:space="preserve"> peuvent être considérés comme des alternatives viables à </w:t>
      </w:r>
      <w:proofErr w:type="spellStart"/>
      <w:r>
        <w:t>Humira</w:t>
      </w:r>
      <w:proofErr w:type="spellEnd"/>
      <w:r>
        <w:t xml:space="preserve"> pour les nouveaux patients, avec une efficacité et </w:t>
      </w:r>
      <w:proofErr w:type="gramStart"/>
      <w:r>
        <w:t>une sécurité comparables</w:t>
      </w:r>
      <w:proofErr w:type="gramEnd"/>
      <w:r>
        <w:t>. Cependant, en raison de la probabilité plus élevée d’abandon du traitement, les patients qui passent d’</w:t>
      </w:r>
      <w:proofErr w:type="spellStart"/>
      <w:r>
        <w:t>Humira</w:t>
      </w:r>
      <w:proofErr w:type="spellEnd"/>
      <w:r>
        <w:t xml:space="preserve"> aux biosimilaires peuvent avoir besoin d’un suivi et d’un soutien plus rapprochés</w:t>
      </w:r>
    </w:p>
    <w:p w14:paraId="4C655CE1" w14:textId="2D4502F0" w:rsidR="00FC0861" w:rsidRDefault="00C53717" w:rsidP="00FC0861">
      <w:pPr>
        <w:pStyle w:val="Textebrut"/>
      </w:pPr>
      <w:hyperlink r:id="rId115" w:history="1">
        <w:r w:rsidR="00FC0861" w:rsidRPr="00EE15B1">
          <w:rPr>
            <w:rStyle w:val="Lienhypertexte"/>
          </w:rPr>
          <w:t>https://www.epi-phare.fr/rapports-detudes-et-publications/biosimilaires-adalimumab-psoriasis/</w:t>
        </w:r>
      </w:hyperlink>
    </w:p>
    <w:p w14:paraId="350031BC" w14:textId="77777777" w:rsidR="00FC0861" w:rsidRDefault="00FC0861" w:rsidP="00FC0861">
      <w:pPr>
        <w:pStyle w:val="Textebrut"/>
      </w:pPr>
    </w:p>
    <w:p w14:paraId="7C2785B7" w14:textId="77777777" w:rsidR="00473978" w:rsidRDefault="00473978" w:rsidP="00473978">
      <w:pPr>
        <w:pStyle w:val="Textebrut"/>
      </w:pPr>
      <w:r>
        <w:t>Intérêt des techniques d’amplifications des acides nucléiques (TAAN) multiplex dans la prise en charge médicale des infections gastro-intestinales (HAS, 21/11/2024).</w:t>
      </w:r>
    </w:p>
    <w:p w14:paraId="1341AD34" w14:textId="77777777" w:rsidR="00473978" w:rsidRDefault="00473978" w:rsidP="00473978">
      <w:pPr>
        <w:pStyle w:val="Textebrut"/>
      </w:pPr>
      <w:r>
        <w:t>La HAS considère que l’identification d’agent infectieux par technique d’amplification des acides nucléiques (TAAN) présente un intérêt clinique pour les patients dans la prise en charge médicale des infections gastro-intestinales, que ce soit en ville ou à l’hôpital</w:t>
      </w:r>
    </w:p>
    <w:p w14:paraId="32790B42" w14:textId="57BDFEF5" w:rsidR="00FC0861" w:rsidRDefault="00C53717" w:rsidP="00473978">
      <w:pPr>
        <w:pStyle w:val="Textebrut"/>
      </w:pPr>
      <w:hyperlink r:id="rId116" w:history="1">
        <w:r w:rsidR="00473978" w:rsidRPr="00EE15B1">
          <w:rPr>
            <w:rStyle w:val="Lienhypertexte"/>
          </w:rPr>
          <w:t>https://www.has-sante.fr/jcms/p_3557049/fr/interet-des-techniques-d-amplifications-des-acides-nucleiques-taan-multiplex-dans-la-prise-en-charge-medicale-des-infections-gastro-intestinales</w:t>
        </w:r>
      </w:hyperlink>
    </w:p>
    <w:p w14:paraId="3695254D" w14:textId="77777777" w:rsidR="00473978" w:rsidRDefault="00473978" w:rsidP="00473978">
      <w:pPr>
        <w:pStyle w:val="Textebrut"/>
      </w:pPr>
    </w:p>
    <w:p w14:paraId="6C4B5F01" w14:textId="77777777" w:rsidR="00FF6CBA" w:rsidRDefault="00FF6CBA" w:rsidP="00FF6CBA">
      <w:pPr>
        <w:pStyle w:val="Textebrut"/>
      </w:pPr>
      <w:r>
        <w:t>Semaine mondiale de sensibilisation à la résistance aux antimicrobiens (CNOP, 21/11/2021).</w:t>
      </w:r>
    </w:p>
    <w:p w14:paraId="22888C0C" w14:textId="77777777" w:rsidR="00FF6CBA" w:rsidRDefault="00FF6CBA" w:rsidP="00FF6CBA">
      <w:pPr>
        <w:pStyle w:val="Textebrut"/>
      </w:pPr>
      <w:r>
        <w:t>À l’occasion de la semaine mondiale de sensibilisation à la résistance aux antimicrobiens du 18 au 24 novembre 2024, les acteurs engagés dans la prévention de la résistance des bactéries aux antibiotiques (ou antibiorésistance) publient un état des lieux de la consommation des antibiotiques et de l’antibiorésistance dans une perspective « Une seule santé » (en santé humaine, animale et dans l’environnement) en France</w:t>
      </w:r>
    </w:p>
    <w:p w14:paraId="03090D08" w14:textId="50CFA391" w:rsidR="00FF6CBA" w:rsidRDefault="00C53717" w:rsidP="00FF6CBA">
      <w:pPr>
        <w:pStyle w:val="Textebrut"/>
      </w:pPr>
      <w:hyperlink r:id="rId117" w:history="1">
        <w:r w:rsidR="00FF6CBA" w:rsidRPr="00EE15B1">
          <w:rPr>
            <w:rStyle w:val="Lienhypertexte"/>
          </w:rPr>
          <w:t>https://www.ordre.pharmacien.fr/les-communications/focus-sur/les-actualites/semaine-mondiale-de-sensibilisation-a-la-resistance-aux-antimicrobiens</w:t>
        </w:r>
      </w:hyperlink>
    </w:p>
    <w:p w14:paraId="7824A3AB" w14:textId="24DB1032" w:rsidR="00FF6CBA" w:rsidRDefault="00FF6CBA" w:rsidP="00FF6CBA">
      <w:pPr>
        <w:pStyle w:val="Textebrut"/>
      </w:pPr>
      <w:r>
        <w:t>Consommation d’antibiotiques : poursuivre dans la bonne dynamique (CNOP, 21/11/2021).</w:t>
      </w:r>
    </w:p>
    <w:p w14:paraId="30A7CD6F" w14:textId="77777777" w:rsidR="00FF6CBA" w:rsidRDefault="00FF6CBA" w:rsidP="00FF6CBA">
      <w:pPr>
        <w:pStyle w:val="Textebrut"/>
      </w:pPr>
      <w:r>
        <w:t>La consommation d’antibiotiques en ville, établie à partir des prescriptions délivrées en officine, est à la baisse, selon le rapport de Santé publique France 2013-2023. Une tendance encourageante depuis l’épidémie de Covid-19, bien que la France doive encore poursuivre ses efforts pour atteindre ses objectifs en matière de lutte contre l’antibiorésistance. La dispensation d’antibiotiques, conditionnée à la réalisation de tests rapides d’orientation diagnostique (TROD) en officine, peut contribuer à réduire les usages inappropriés</w:t>
      </w:r>
    </w:p>
    <w:p w14:paraId="02664C77" w14:textId="658ACA13" w:rsidR="00473978" w:rsidRDefault="00C53717" w:rsidP="00FF6CBA">
      <w:pPr>
        <w:pStyle w:val="Textebrut"/>
      </w:pPr>
      <w:hyperlink r:id="rId118" w:history="1">
        <w:r w:rsidR="00FF6CBA" w:rsidRPr="00EE15B1">
          <w:rPr>
            <w:rStyle w:val="Lienhypertexte"/>
          </w:rPr>
          <w:t>https://www.ordre.pharmacien.fr/les-communications/focus-sur/les-actualites/consommation-d-antibiotiques-poursuivre-dans-la-bonne-dynamique</w:t>
        </w:r>
      </w:hyperlink>
    </w:p>
    <w:p w14:paraId="0203575A" w14:textId="77777777" w:rsidR="00FF6CBA" w:rsidRDefault="00FF6CBA" w:rsidP="00FF6CBA">
      <w:pPr>
        <w:pStyle w:val="Textebrut"/>
      </w:pPr>
    </w:p>
    <w:p w14:paraId="466E0DA3" w14:textId="77777777" w:rsidR="0073393F" w:rsidRDefault="0073393F" w:rsidP="0073393F">
      <w:pPr>
        <w:pStyle w:val="Textebrut"/>
      </w:pPr>
      <w:r>
        <w:t>Rapport d'activité 2023 - Chambres de discipline et sections des assurances sociales, Affaires administratives du Conseil national - Direction des Affaires juridiques (CNOP, 22/11/2024).</w:t>
      </w:r>
    </w:p>
    <w:p w14:paraId="070DF4E5" w14:textId="77777777" w:rsidR="0073393F" w:rsidRDefault="0073393F" w:rsidP="0073393F">
      <w:pPr>
        <w:pStyle w:val="Textebrut"/>
      </w:pPr>
      <w:r>
        <w:t xml:space="preserve">Veiller au respect des devoirs professionnels et des règles déontologiques est l’une des missions principales de l’Ordre des pharmaciens. Essentielle pour préserver la confiance entre la profession et les patients, cette mission </w:t>
      </w:r>
      <w:r>
        <w:lastRenderedPageBreak/>
        <w:t>incombe aux juridictions de l’Ordre, compétentes pour instruire les plaintes formées contre les pharmaciens. Le présent rapport détaille l’activité des chambres de discipline et des sections des assurances sociales de l’Ordre des pharmaciens sur l’année 2023</w:t>
      </w:r>
    </w:p>
    <w:p w14:paraId="301AD861" w14:textId="321E28E0" w:rsidR="00FF6CBA" w:rsidRDefault="00C53717" w:rsidP="0073393F">
      <w:pPr>
        <w:pStyle w:val="Textebrut"/>
      </w:pPr>
      <w:hyperlink r:id="rId119" w:history="1">
        <w:r w:rsidR="0073393F" w:rsidRPr="00996A9D">
          <w:rPr>
            <w:rStyle w:val="Lienhypertexte"/>
          </w:rPr>
          <w:t>https://www.ordre.pharmacien.fr/mediatheque/fichiers/documents-pages/rapport-d-activite-daj-2023</w:t>
        </w:r>
      </w:hyperlink>
    </w:p>
    <w:p w14:paraId="319D7DAA" w14:textId="77777777" w:rsidR="0073393F" w:rsidRDefault="0073393F" w:rsidP="0073393F">
      <w:pPr>
        <w:pStyle w:val="Textebrut"/>
      </w:pPr>
    </w:p>
    <w:p w14:paraId="50EB8746" w14:textId="77777777" w:rsidR="00EF1337" w:rsidRDefault="00EF1337" w:rsidP="00EF1337">
      <w:pPr>
        <w:pStyle w:val="Textebrut"/>
      </w:pPr>
      <w:r>
        <w:t xml:space="preserve">Désinfectant – </w:t>
      </w:r>
      <w:proofErr w:type="spellStart"/>
      <w:r>
        <w:t>Aniospray</w:t>
      </w:r>
      <w:proofErr w:type="spellEnd"/>
      <w:r>
        <w:t xml:space="preserve"> Surf 29 – Laboratoires Anios (ANSM, 25/11/2024).</w:t>
      </w:r>
    </w:p>
    <w:p w14:paraId="76B1791E" w14:textId="77777777" w:rsidR="00EF1337" w:rsidRDefault="00EF1337" w:rsidP="00EF1337">
      <w:pPr>
        <w:pStyle w:val="Textebrut"/>
      </w:pPr>
      <w:r>
        <w:t>L'ANSM a été informée de la mise en œuvre d’un retrait de lots effectué par la société Laboratoires Anios.</w:t>
      </w:r>
    </w:p>
    <w:p w14:paraId="11807B4C" w14:textId="7679B921" w:rsidR="00EF1337" w:rsidRDefault="00EF1337" w:rsidP="00EF1337">
      <w:pPr>
        <w:pStyle w:val="Textebrut"/>
      </w:pPr>
      <w:r>
        <w:t>Selon la norme EN16615 revendiquée par le produit, les instructions d'utilisation doivent indiquer la nécessité d'une action mécanique pour obtenir l’efficacité attendue. Sans action mécanique, cette efficacité ne peut être garantie</w:t>
      </w:r>
    </w:p>
    <w:p w14:paraId="4F82EAC5" w14:textId="537C981A" w:rsidR="0073393F" w:rsidRDefault="00C53717" w:rsidP="00EF1337">
      <w:pPr>
        <w:pStyle w:val="Textebrut"/>
      </w:pPr>
      <w:hyperlink r:id="rId120" w:history="1">
        <w:r w:rsidR="00EF1337" w:rsidRPr="00996A9D">
          <w:rPr>
            <w:rStyle w:val="Lienhypertexte"/>
          </w:rPr>
          <w:t>https://ansm.sante.fr/informations-de-securite/desinfectant-aniospray-surf-29-laboratoires-anios</w:t>
        </w:r>
      </w:hyperlink>
    </w:p>
    <w:p w14:paraId="1CB64D77" w14:textId="77777777" w:rsidR="00EF1337" w:rsidRDefault="00EF1337" w:rsidP="00EF1337">
      <w:pPr>
        <w:pStyle w:val="Textebrut"/>
      </w:pPr>
    </w:p>
    <w:p w14:paraId="21308FB8" w14:textId="77777777" w:rsidR="00AD5CC7" w:rsidRDefault="00AD5CC7" w:rsidP="00AD5CC7">
      <w:pPr>
        <w:pStyle w:val="Textebrut"/>
      </w:pPr>
      <w:r>
        <w:t>Antibiorésistance : comment les pharmaciens devront participer à cette lutte ? (Le Moniteur des pharmacies, 25/11/2024).</w:t>
      </w:r>
    </w:p>
    <w:p w14:paraId="5F063F2A" w14:textId="77777777" w:rsidR="00AD5CC7" w:rsidRDefault="00AD5CC7" w:rsidP="00AD5CC7">
      <w:pPr>
        <w:pStyle w:val="Textebrut"/>
      </w:pPr>
      <w:r>
        <w:t>Santé publique France a publié son rapport 2024 « Une seule santé ». Ce document révèle les avancées et les défis de la lutte contre l’antibiorésistance. En première ligne, les pharmaciens jouent un rôle crucial pour réduire la consommation excessive d’antibiotiques et freiner la progression des résistances bactériennes</w:t>
      </w:r>
    </w:p>
    <w:p w14:paraId="0DB20660" w14:textId="77777777" w:rsidR="00AD5CC7" w:rsidRDefault="00C53717" w:rsidP="00AD5CC7">
      <w:pPr>
        <w:pStyle w:val="Textebrut"/>
      </w:pPr>
      <w:hyperlink r:id="rId121" w:history="1">
        <w:r w:rsidR="00AD5CC7" w:rsidRPr="00DC2563">
          <w:rPr>
            <w:rStyle w:val="Lienhypertexte"/>
          </w:rPr>
          <w:t>https://www.lemoniteurdespharmacies.fr/nouvelles-missions/prevention/antibioresistance-comment-les-pharmaciens-devront-participer-a-cette-lutte</w:t>
        </w:r>
      </w:hyperlink>
    </w:p>
    <w:p w14:paraId="5DB26DF1" w14:textId="77777777" w:rsidR="00AD5CC7" w:rsidRDefault="00AD5CC7" w:rsidP="00EF1337">
      <w:pPr>
        <w:pStyle w:val="Textebrut"/>
      </w:pPr>
    </w:p>
    <w:p w14:paraId="05D49A24" w14:textId="77777777" w:rsidR="007D7F8D" w:rsidRDefault="007D7F8D" w:rsidP="007D7F8D">
      <w:pPr>
        <w:pStyle w:val="Textebrut"/>
      </w:pPr>
      <w:proofErr w:type="spellStart"/>
      <w:r>
        <w:t>Shutdown</w:t>
      </w:r>
      <w:proofErr w:type="spellEnd"/>
      <w:r>
        <w:t xml:space="preserve"> du 23 au 31 décembre 2024 (</w:t>
      </w:r>
      <w:proofErr w:type="spellStart"/>
      <w:r>
        <w:t>SdBio</w:t>
      </w:r>
      <w:proofErr w:type="spellEnd"/>
      <w:r>
        <w:t>, 25/11/2024).</w:t>
      </w:r>
    </w:p>
    <w:p w14:paraId="482A0263" w14:textId="77777777" w:rsidR="007D7F8D" w:rsidRDefault="007D7F8D" w:rsidP="007D7F8D">
      <w:pPr>
        <w:pStyle w:val="Textebrut"/>
      </w:pPr>
      <w:r>
        <w:t>Le Mouvement intersyndical appelle à fermer les laboratoires en fin d’année pour juguler les dépenses et montrer les conséquences de la décision de la CNAM de septembre.</w:t>
      </w:r>
    </w:p>
    <w:p w14:paraId="0EAA695C" w14:textId="77777777" w:rsidR="007D7F8D" w:rsidRDefault="007D7F8D" w:rsidP="007D7F8D">
      <w:pPr>
        <w:pStyle w:val="Textebrut"/>
      </w:pPr>
      <w:r>
        <w:t>Pour rappel, il ne s’agit pas d’une grève mais d’une fermeture des laboratoires</w:t>
      </w:r>
    </w:p>
    <w:p w14:paraId="6163D138" w14:textId="21180EE5" w:rsidR="00EF1337" w:rsidRDefault="00C53717" w:rsidP="007D7F8D">
      <w:pPr>
        <w:pStyle w:val="Textebrut"/>
      </w:pPr>
      <w:hyperlink r:id="rId122" w:history="1">
        <w:r w:rsidR="007D7F8D" w:rsidRPr="00996A9D">
          <w:rPr>
            <w:rStyle w:val="Lienhypertexte"/>
          </w:rPr>
          <w:t>https://www.sdbio.eu/component/acym/archive/2224-sdbio-nl-25-11-2024-mobilisation-kit-de-preparation-du-shutdown</w:t>
        </w:r>
      </w:hyperlink>
    </w:p>
    <w:p w14:paraId="0B2A5B69" w14:textId="77777777" w:rsidR="007D7F8D" w:rsidRDefault="007D7F8D" w:rsidP="007D7F8D">
      <w:pPr>
        <w:pStyle w:val="Textebrut"/>
      </w:pPr>
    </w:p>
    <w:p w14:paraId="6FBD155A" w14:textId="78624C99" w:rsidR="00292956" w:rsidRDefault="00292956" w:rsidP="00292956">
      <w:pPr>
        <w:pStyle w:val="Textebrut"/>
      </w:pPr>
      <w:proofErr w:type="spellStart"/>
      <w:r>
        <w:t>Tramadol</w:t>
      </w:r>
      <w:proofErr w:type="spellEnd"/>
      <w:r>
        <w:t xml:space="preserve"> et codéine devront être prescrits sur une ordonnance sécurisée dès le 1er décembre (ANSM, actualisation du 25/11/2024).</w:t>
      </w:r>
    </w:p>
    <w:p w14:paraId="43E912A9" w14:textId="77777777" w:rsidR="00292956" w:rsidRDefault="00292956" w:rsidP="00292956">
      <w:pPr>
        <w:pStyle w:val="Textebrut"/>
      </w:pPr>
      <w:r>
        <w:t xml:space="preserve">L’obligation de prescrire sur ordonnance sécurisée les médicaments contenant du </w:t>
      </w:r>
      <w:proofErr w:type="spellStart"/>
      <w:r>
        <w:t>tramadol</w:t>
      </w:r>
      <w:proofErr w:type="spellEnd"/>
      <w:r>
        <w:t xml:space="preserve">, de la codéine ou de la </w:t>
      </w:r>
      <w:proofErr w:type="spellStart"/>
      <w:r>
        <w:t>dihydrocodéine</w:t>
      </w:r>
      <w:proofErr w:type="spellEnd"/>
      <w:r>
        <w:t xml:space="preserve"> est reportée du 1er décembre 2024 au 1er mars 2025. La réduction de la durée maximale de prescription des médicaments contenant de la codéine ou de la </w:t>
      </w:r>
      <w:proofErr w:type="spellStart"/>
      <w:r>
        <w:t>dihydrocodéine</w:t>
      </w:r>
      <w:proofErr w:type="spellEnd"/>
      <w:r>
        <w:t xml:space="preserve"> à 12 semaines est également différée au 1er mars 2025.</w:t>
      </w:r>
    </w:p>
    <w:p w14:paraId="5F7DA5B3" w14:textId="77777777" w:rsidR="00292956" w:rsidRDefault="00292956" w:rsidP="00292956">
      <w:pPr>
        <w:pStyle w:val="Textebrut"/>
      </w:pPr>
      <w:r>
        <w:t>Ce délai supplémentaire devrait permettre de faciliter la transition vers ces nouvelles mesures pour les professionnels de santé et assurer aux patients l’accès à leurs traitements</w:t>
      </w:r>
    </w:p>
    <w:p w14:paraId="27B83086" w14:textId="428A6948" w:rsidR="007D7F8D" w:rsidRDefault="00C53717" w:rsidP="00292956">
      <w:pPr>
        <w:pStyle w:val="Textebrut"/>
      </w:pPr>
      <w:hyperlink r:id="rId123" w:history="1">
        <w:r w:rsidR="00292956" w:rsidRPr="00996A9D">
          <w:rPr>
            <w:rStyle w:val="Lienhypertexte"/>
          </w:rPr>
          <w:t>https://ansm.sante.fr/actualites/tramadol-et-codeine-devront-etre-prescrits-sur-une-ordonnance-securisee-des-le-1er-decembre</w:t>
        </w:r>
      </w:hyperlink>
    </w:p>
    <w:p w14:paraId="3D7B6066" w14:textId="77777777" w:rsidR="00292956" w:rsidRDefault="00292956" w:rsidP="00292956">
      <w:pPr>
        <w:pStyle w:val="Textebrut"/>
      </w:pPr>
    </w:p>
    <w:p w14:paraId="5D25330C" w14:textId="77777777" w:rsidR="005A3678" w:rsidRDefault="005A3678" w:rsidP="005A3678">
      <w:pPr>
        <w:pStyle w:val="Textebrut"/>
      </w:pPr>
      <w:r>
        <w:t>Bulletin épidémiologique hebdomadaire, 26 novembre 2024, n°23-24 (</w:t>
      </w:r>
      <w:proofErr w:type="spellStart"/>
      <w:r>
        <w:t>SpF</w:t>
      </w:r>
      <w:proofErr w:type="spellEnd"/>
      <w:r>
        <w:t>, 26/11/2024).</w:t>
      </w:r>
    </w:p>
    <w:p w14:paraId="77243A02" w14:textId="77777777" w:rsidR="005A3678" w:rsidRDefault="005A3678" w:rsidP="005A3678">
      <w:pPr>
        <w:pStyle w:val="Textebrut"/>
      </w:pPr>
      <w:r>
        <w:t xml:space="preserve">Infection à VIH : la prévention, le dépistage et la prise en charge toujours d’actualité </w:t>
      </w:r>
    </w:p>
    <w:p w14:paraId="7D73C566" w14:textId="4A3FCAF4" w:rsidR="00292956" w:rsidRDefault="00C53717" w:rsidP="005A3678">
      <w:pPr>
        <w:pStyle w:val="Textebrut"/>
      </w:pPr>
      <w:hyperlink r:id="rId124" w:history="1">
        <w:r w:rsidR="005A3678" w:rsidRPr="00DC2563">
          <w:rPr>
            <w:rStyle w:val="Lienhypertexte"/>
          </w:rPr>
          <w:t>http://beh.santepubliquefrance.fr/beh/2024/23-24/index.html</w:t>
        </w:r>
      </w:hyperlink>
    </w:p>
    <w:p w14:paraId="46376824" w14:textId="77777777" w:rsidR="005A3678" w:rsidRDefault="005A3678" w:rsidP="005A3678">
      <w:pPr>
        <w:pStyle w:val="Textebrut"/>
      </w:pPr>
    </w:p>
    <w:p w14:paraId="26B6B0A0" w14:textId="77777777" w:rsidR="00842F8B" w:rsidRDefault="00842F8B" w:rsidP="00842F8B">
      <w:pPr>
        <w:pStyle w:val="Textebrut"/>
      </w:pPr>
      <w:r>
        <w:t>Dossier HAS sur l’infection par le VIH (novembre 2024)</w:t>
      </w:r>
    </w:p>
    <w:p w14:paraId="62638300" w14:textId="725E05DA" w:rsidR="00842F8B" w:rsidRDefault="00C53717" w:rsidP="00842F8B">
      <w:pPr>
        <w:pStyle w:val="Textebrut"/>
      </w:pPr>
      <w:hyperlink r:id="rId125" w:history="1">
        <w:r w:rsidR="00842F8B" w:rsidRPr="00DC2563">
          <w:rPr>
            <w:rStyle w:val="Lienhypertexte"/>
          </w:rPr>
          <w:t>https://www.has-sante.fr/jcms/p_3058431/fr/infection-par-le-vih</w:t>
        </w:r>
      </w:hyperlink>
    </w:p>
    <w:p w14:paraId="7D866573" w14:textId="77777777" w:rsidR="00842F8B" w:rsidRDefault="00842F8B" w:rsidP="00842F8B">
      <w:pPr>
        <w:pStyle w:val="Textebrut"/>
      </w:pPr>
    </w:p>
    <w:p w14:paraId="61F8EF13" w14:textId="77777777" w:rsidR="002B2543" w:rsidRDefault="002B2543" w:rsidP="002B2543">
      <w:pPr>
        <w:pStyle w:val="Textebrut"/>
      </w:pPr>
      <w:r>
        <w:t>Médicaments à écarter pour mieux soigner (Prescrire, 26/11/2024).</w:t>
      </w:r>
    </w:p>
    <w:p w14:paraId="25F8878B" w14:textId="77777777" w:rsidR="002B2543" w:rsidRDefault="002B2543" w:rsidP="002B2543">
      <w:pPr>
        <w:pStyle w:val="Textebrut"/>
      </w:pPr>
      <w:r>
        <w:t>Chaque année depuis 2013, Prescrire publie un bilan des médicaments à écarter pour mieux soigner. Ce bilan est le résultat d’une méthode fiable, rigoureuse et indépendante. Il recense de manière documentée des médicaments plus dangereux qu'utiles, avec pour objectif d'aider à choisir des soins de qualité, de ne pas nuire aux patients et d'éviter de leur faire courir des risques disproportionnés. Il s'agit de médicaments à écarter des soins dans toutes les situations cliniques dans lesquelles ils sont autorisés en France ou dans l'Union européenne</w:t>
      </w:r>
    </w:p>
    <w:p w14:paraId="6E73406B" w14:textId="6CD985A3" w:rsidR="005A3678" w:rsidRDefault="00C53717" w:rsidP="002B2543">
      <w:pPr>
        <w:pStyle w:val="Textebrut"/>
      </w:pPr>
      <w:hyperlink r:id="rId126" w:history="1">
        <w:r w:rsidR="002B2543" w:rsidRPr="00DC2563">
          <w:rPr>
            <w:rStyle w:val="Lienhypertexte"/>
          </w:rPr>
          <w:t>https://www.prescrire.org/medicaments-et-evaluations/medicaments-a-ecarter</w:t>
        </w:r>
      </w:hyperlink>
    </w:p>
    <w:p w14:paraId="2F45CD2E" w14:textId="77777777" w:rsidR="002B2543" w:rsidRDefault="002B2543" w:rsidP="002B2543">
      <w:pPr>
        <w:pStyle w:val="Textebrut"/>
      </w:pPr>
    </w:p>
    <w:p w14:paraId="4E1DD00B" w14:textId="70A173CF" w:rsidR="002B2543" w:rsidRDefault="002B2543" w:rsidP="002B2543">
      <w:pPr>
        <w:pStyle w:val="Textebrut"/>
      </w:pPr>
      <w:r>
        <w:t>Vaccination contre les méningocoques (Prescrire, 28/10/2024).</w:t>
      </w:r>
    </w:p>
    <w:p w14:paraId="68C32231" w14:textId="77777777" w:rsidR="002B2543" w:rsidRDefault="002B2543" w:rsidP="002B2543">
      <w:pPr>
        <w:pStyle w:val="Textebrut"/>
      </w:pPr>
      <w:r>
        <w:t>Vaccin tétravalent A, C, W, Y en remplacement du vaccin monovalent C</w:t>
      </w:r>
    </w:p>
    <w:p w14:paraId="210396BB" w14:textId="58993FB1" w:rsidR="002B2543" w:rsidRDefault="00C53717" w:rsidP="002B2543">
      <w:pPr>
        <w:pStyle w:val="Textebrut"/>
      </w:pPr>
      <w:hyperlink r:id="rId127" w:history="1">
        <w:r w:rsidR="002B2543" w:rsidRPr="00DC2563">
          <w:rPr>
            <w:rStyle w:val="Lienhypertexte"/>
          </w:rPr>
          <w:t>https://peps.sante.gouv.fr/actu/2024/24_prescrire_vaccination-meningo-tetravalent_28102024.pdf</w:t>
        </w:r>
      </w:hyperlink>
    </w:p>
    <w:p w14:paraId="7CC13E21" w14:textId="77777777" w:rsidR="002B2543" w:rsidRDefault="002B2543" w:rsidP="002B2543">
      <w:pPr>
        <w:pStyle w:val="Textebrut"/>
      </w:pPr>
    </w:p>
    <w:p w14:paraId="21BA511D" w14:textId="2AD6E211" w:rsidR="002B2543" w:rsidRDefault="002B2543" w:rsidP="002B2543">
      <w:pPr>
        <w:pStyle w:val="Textebrut"/>
      </w:pPr>
      <w:r>
        <w:t>Vaccin pneumococcique conjugué à 20 valences (</w:t>
      </w:r>
      <w:proofErr w:type="spellStart"/>
      <w:r>
        <w:t>Prévenar</w:t>
      </w:r>
      <w:proofErr w:type="spellEnd"/>
      <w:r>
        <w:t xml:space="preserve"> 20°) chez les enfants et les adolescents (Prescrire, 15/11/2024).</w:t>
      </w:r>
    </w:p>
    <w:p w14:paraId="194D8BC9" w14:textId="70C75A0F" w:rsidR="002B2543" w:rsidRDefault="002B2543" w:rsidP="002B2543">
      <w:pPr>
        <w:pStyle w:val="Textebrut"/>
      </w:pPr>
      <w:r>
        <w:t>Pas d’essai avec des critères cliniques d’évaluation ; plutôt moins immunogène que le vaccin conjugué à 13 valences pour les 13 sérotypes communs aux deux vaccins ; et 4 injections au lieu de 3 chez les nourrissons en bonne santé non prématurés</w:t>
      </w:r>
    </w:p>
    <w:p w14:paraId="41FAA463" w14:textId="50FB3142" w:rsidR="00FC0861" w:rsidRDefault="00C53717" w:rsidP="00FC0861">
      <w:pPr>
        <w:pStyle w:val="Textebrut"/>
      </w:pPr>
      <w:hyperlink r:id="rId128" w:history="1">
        <w:r w:rsidR="002B2543" w:rsidRPr="00DC2563">
          <w:rPr>
            <w:rStyle w:val="Lienhypertexte"/>
          </w:rPr>
          <w:t>https://peps.sante.gouv.fr/actu/2024/24_prescrire_prevenar20-vs-prevenar13_15112024.pdf</w:t>
        </w:r>
      </w:hyperlink>
    </w:p>
    <w:p w14:paraId="0AF12F22" w14:textId="77777777" w:rsidR="002B2543" w:rsidRDefault="002B2543" w:rsidP="00FC0861">
      <w:pPr>
        <w:pStyle w:val="Textebrut"/>
      </w:pPr>
    </w:p>
    <w:p w14:paraId="66071C7D" w14:textId="77777777" w:rsidR="002B2543" w:rsidRDefault="002B2543" w:rsidP="00FC0861">
      <w:pPr>
        <w:pStyle w:val="Textebrut"/>
      </w:pPr>
    </w:p>
    <w:p w14:paraId="0D7755D4" w14:textId="77777777" w:rsidR="00842F8B" w:rsidRDefault="00842F8B" w:rsidP="00842F8B">
      <w:pPr>
        <w:pStyle w:val="Textebrut"/>
      </w:pPr>
      <w:r>
        <w:t>Remboursements de soins à fin octobre 2024 (ameli.fr, 26/11/2024).</w:t>
      </w:r>
    </w:p>
    <w:p w14:paraId="36244C28" w14:textId="77777777" w:rsidR="00842F8B" w:rsidRDefault="00842F8B" w:rsidP="00842F8B">
      <w:pPr>
        <w:pStyle w:val="Textebrut"/>
      </w:pPr>
      <w:r>
        <w:t>Les remboursements de soins du régime général augmentent de 4,0 % sur les douze derniers mois</w:t>
      </w:r>
    </w:p>
    <w:p w14:paraId="272BA82E" w14:textId="02250FB9" w:rsidR="00D72556" w:rsidRDefault="00C53717" w:rsidP="00842F8B">
      <w:pPr>
        <w:pStyle w:val="Textebrut"/>
      </w:pPr>
      <w:hyperlink r:id="rId129" w:history="1">
        <w:r w:rsidR="00842F8B" w:rsidRPr="00DC2563">
          <w:rPr>
            <w:rStyle w:val="Lienhypertexte"/>
          </w:rPr>
          <w:t>https://www.assurance-maladie.ameli.fr/presse/2024-11-26-cp-depenses-fin-octobre-2024</w:t>
        </w:r>
      </w:hyperlink>
    </w:p>
    <w:p w14:paraId="2A97A6F8" w14:textId="77777777" w:rsidR="00842F8B" w:rsidRDefault="00842F8B" w:rsidP="00842F8B">
      <w:pPr>
        <w:pStyle w:val="Textebrut"/>
      </w:pPr>
    </w:p>
    <w:p w14:paraId="27E0163B" w14:textId="77777777" w:rsidR="00937163" w:rsidRDefault="00937163" w:rsidP="00937163">
      <w:pPr>
        <w:pStyle w:val="Textebrut"/>
      </w:pPr>
      <w:r>
        <w:t>Fibrinogène humain : l’ANSM a élaboré un guide pratique pour favoriser le bon usage des produits disponibles (ANSM, actualisation du 26/11/2024).</w:t>
      </w:r>
    </w:p>
    <w:p w14:paraId="5AC18B9B" w14:textId="77777777" w:rsidR="00937163" w:rsidRDefault="00937163" w:rsidP="00937163">
      <w:pPr>
        <w:pStyle w:val="Textebrut"/>
      </w:pPr>
      <w:r>
        <w:t>Mise à jour du guide de bon usage : https://ansm.sante.fr/uploads/2024/11/26/20241126-fibrinogene-guide-comparatif.pdf</w:t>
      </w:r>
    </w:p>
    <w:p w14:paraId="2D364EEB" w14:textId="3AB7E1CF" w:rsidR="00842F8B" w:rsidRDefault="00C53717" w:rsidP="00937163">
      <w:pPr>
        <w:pStyle w:val="Textebrut"/>
      </w:pPr>
      <w:hyperlink r:id="rId130" w:history="1">
        <w:r w:rsidR="00937163" w:rsidRPr="00A868D1">
          <w:rPr>
            <w:rStyle w:val="Lienhypertexte"/>
          </w:rPr>
          <w:t>https://ansm.sante.fr/actualites/fibrinogene-humain-lansm-a-elabore-un-guide-pratique-pour-favoriser-le-bon-usage-des-produits-disponibles</w:t>
        </w:r>
      </w:hyperlink>
    </w:p>
    <w:p w14:paraId="09B13774" w14:textId="77777777" w:rsidR="00937163" w:rsidRDefault="00937163" w:rsidP="00937163">
      <w:pPr>
        <w:pStyle w:val="Textebrut"/>
      </w:pPr>
    </w:p>
    <w:p w14:paraId="4500B0E7" w14:textId="77777777" w:rsidR="00527381" w:rsidRDefault="00527381" w:rsidP="00527381">
      <w:pPr>
        <w:pStyle w:val="Textebrut"/>
      </w:pPr>
      <w:r>
        <w:t>Violences faites aux femmes : nouvelles mesures, plateforme nationale sur la soumission chimique (CNOP, 26/11/2024).</w:t>
      </w:r>
    </w:p>
    <w:p w14:paraId="468F72D9" w14:textId="5483A34C" w:rsidR="00527381" w:rsidRDefault="00527381" w:rsidP="00527381">
      <w:pPr>
        <w:pStyle w:val="Textebrut"/>
      </w:pPr>
      <w:r>
        <w:t>À l’occasion de la Journée internationale de lutte contre les violences faites aux femmes, le premier ministre a dévoilé de nouvelles mesures pour agir contre ce fléau. En parallèle, l’Ordre national des pharmaciens s’associe au Centre de référence sur les agressions facilitées par les substances (CRAFS) et l’association #MendorsPas pour faire connaître la plateforme nationale dédiée à l’orientation des victimes suspectant une soumission chimique et à l’accompagnement des professionnels</w:t>
      </w:r>
    </w:p>
    <w:p w14:paraId="37BD3B7F" w14:textId="64063C33" w:rsidR="00937163" w:rsidRDefault="00C53717" w:rsidP="00527381">
      <w:pPr>
        <w:pStyle w:val="Textebrut"/>
      </w:pPr>
      <w:hyperlink r:id="rId131" w:history="1">
        <w:r w:rsidR="00527381" w:rsidRPr="00A868D1">
          <w:rPr>
            <w:rStyle w:val="Lienhypertexte"/>
          </w:rPr>
          <w:t>https://www.ordre.pharmacien.fr/les-communications/focus-sur/les-actualites/violences-faites-aux-femmes-nouvelles-mesures-plateforme-nationale-sur-la-soumission-chimique</w:t>
        </w:r>
      </w:hyperlink>
    </w:p>
    <w:p w14:paraId="450E3066" w14:textId="77777777" w:rsidR="00527381" w:rsidRDefault="00527381" w:rsidP="00527381">
      <w:pPr>
        <w:pStyle w:val="Textebrut"/>
      </w:pPr>
    </w:p>
    <w:p w14:paraId="63C24633" w14:textId="1B60F4D6" w:rsidR="00527381" w:rsidRDefault="00467419" w:rsidP="00527381">
      <w:pPr>
        <w:pStyle w:val="Textebrut"/>
      </w:pPr>
      <w:r w:rsidRPr="00467419">
        <w:t>Intelligence artificielle : manque d’esprit critique (Prescrire, 20/11/2024)</w:t>
      </w:r>
    </w:p>
    <w:p w14:paraId="412A8060" w14:textId="6FC5C56E" w:rsidR="00467419" w:rsidRDefault="00C53717" w:rsidP="00527381">
      <w:pPr>
        <w:pStyle w:val="Textebrut"/>
      </w:pPr>
      <w:hyperlink r:id="rId132" w:history="1">
        <w:r w:rsidR="00467419" w:rsidRPr="00A868D1">
          <w:rPr>
            <w:rStyle w:val="Lienhypertexte"/>
          </w:rPr>
          <w:t>https://peps.sante.gouv.fr/actu/2024/24_prescrire_ia-esprit-critique_20112024.pdf</w:t>
        </w:r>
      </w:hyperlink>
    </w:p>
    <w:p w14:paraId="24C140C9" w14:textId="77777777" w:rsidR="00467419" w:rsidRDefault="00467419" w:rsidP="00527381">
      <w:pPr>
        <w:pStyle w:val="Textebrut"/>
      </w:pPr>
    </w:p>
    <w:p w14:paraId="653D0807" w14:textId="0E426CEB" w:rsidR="00B2074E" w:rsidRDefault="00B2074E" w:rsidP="00B2074E">
      <w:pPr>
        <w:pStyle w:val="Textebrut"/>
      </w:pPr>
      <w:r>
        <w:t>L’allongement de la vie professionnelle des agents dans une fonction publique d'État vieillissante (Cour des comptes, 26/11/2024).</w:t>
      </w:r>
    </w:p>
    <w:p w14:paraId="7169F318" w14:textId="77777777" w:rsidR="00B2074E" w:rsidRDefault="00B2074E" w:rsidP="00B2074E">
      <w:pPr>
        <w:pStyle w:val="Textebrut"/>
      </w:pPr>
      <w:r>
        <w:t>Les réformes successives des retraites, qui reportent les différents âges légaux des départs en retraite des agents publics et augmentent le nombre de trimestres nécessaires à une pension sans décote, ont rallongé mécaniquement leur vie professionnelle depuis une dizaine d’années</w:t>
      </w:r>
    </w:p>
    <w:p w14:paraId="150974A9" w14:textId="22C01573" w:rsidR="00467419" w:rsidRDefault="00C53717" w:rsidP="00B2074E">
      <w:pPr>
        <w:pStyle w:val="Textebrut"/>
      </w:pPr>
      <w:hyperlink r:id="rId133" w:history="1">
        <w:r w:rsidR="00B2074E" w:rsidRPr="00A868D1">
          <w:rPr>
            <w:rStyle w:val="Lienhypertexte"/>
          </w:rPr>
          <w:t>https://www.ccomptes.fr/fr/publications/lallongement-de-la-vie-professionnelle-des-agents-dans-une-fonction-publique-detat</w:t>
        </w:r>
      </w:hyperlink>
    </w:p>
    <w:p w14:paraId="395256DF" w14:textId="77777777" w:rsidR="00B2074E" w:rsidRDefault="00B2074E" w:rsidP="00B2074E">
      <w:pPr>
        <w:pStyle w:val="Textebrut"/>
      </w:pPr>
    </w:p>
    <w:p w14:paraId="44227E80" w14:textId="77777777" w:rsidR="002F39C9" w:rsidRDefault="002F39C9" w:rsidP="002F39C9">
      <w:pPr>
        <w:pStyle w:val="Textebrut"/>
      </w:pPr>
      <w:r>
        <w:t xml:space="preserve">Chikungunya, dengue et </w:t>
      </w:r>
      <w:proofErr w:type="spellStart"/>
      <w:r>
        <w:t>zika</w:t>
      </w:r>
      <w:proofErr w:type="spellEnd"/>
      <w:r>
        <w:t xml:space="preserve"> - Données de la surveillance renforcée en France hexagonale 2024 (</w:t>
      </w:r>
      <w:proofErr w:type="spellStart"/>
      <w:r>
        <w:t>SpF</w:t>
      </w:r>
      <w:proofErr w:type="spellEnd"/>
      <w:r>
        <w:t>, 27/11/2024).</w:t>
      </w:r>
    </w:p>
    <w:p w14:paraId="7A5BD5C1" w14:textId="77777777" w:rsidR="002F39C9" w:rsidRDefault="002F39C9" w:rsidP="002F39C9">
      <w:pPr>
        <w:pStyle w:val="Textebrut"/>
      </w:pPr>
      <w:r>
        <w:t xml:space="preserve">Du 1er janvier au 30 avril 2024, ont été notifiés par la déclaration obligatoire (chiffres actualisés le 3 septembre) : 2 271 cas importés de dengue ; 6 cas importés de chikungunya ; 2 cas importés de </w:t>
      </w:r>
      <w:proofErr w:type="spellStart"/>
      <w:r>
        <w:t>zika</w:t>
      </w:r>
      <w:proofErr w:type="spellEnd"/>
      <w:r>
        <w:t>.</w:t>
      </w:r>
    </w:p>
    <w:p w14:paraId="3024447A" w14:textId="77777777" w:rsidR="002F39C9" w:rsidRDefault="002F39C9" w:rsidP="002F39C9">
      <w:pPr>
        <w:pStyle w:val="Textebrut"/>
      </w:pPr>
      <w:r>
        <w:t xml:space="preserve">Du 1er mai 2024 au 26 novembre 2024, ont été identifiés en France hexagonale : 2 028 cas importés de dengue, dont 1 808 dans les départements où l’implantation d’Aedes </w:t>
      </w:r>
      <w:proofErr w:type="spellStart"/>
      <w:r>
        <w:t>albopictus</w:t>
      </w:r>
      <w:proofErr w:type="spellEnd"/>
      <w:r>
        <w:t xml:space="preserve"> a été documentée ; 21 cas importés de </w:t>
      </w:r>
      <w:r>
        <w:lastRenderedPageBreak/>
        <w:t xml:space="preserve">chikungunya (n=20 dans les départements colonisés par Aedes </w:t>
      </w:r>
      <w:proofErr w:type="spellStart"/>
      <w:r>
        <w:t>albopictus</w:t>
      </w:r>
      <w:proofErr w:type="spellEnd"/>
      <w:r>
        <w:t xml:space="preserve">) ; 5 cas importés de Zika (n=5 dans les départements colonisés par Aedes </w:t>
      </w:r>
      <w:proofErr w:type="spellStart"/>
      <w:r>
        <w:t>albopictus</w:t>
      </w:r>
      <w:proofErr w:type="spellEnd"/>
      <w:r>
        <w:t>)</w:t>
      </w:r>
    </w:p>
    <w:p w14:paraId="5308B8D6" w14:textId="69A9B83A" w:rsidR="00F24FB0" w:rsidRDefault="00C53717" w:rsidP="002F39C9">
      <w:pPr>
        <w:pStyle w:val="Textebrut"/>
      </w:pPr>
      <w:hyperlink r:id="rId134" w:history="1">
        <w:r w:rsidR="002F39C9" w:rsidRPr="00A868D1">
          <w:rPr>
            <w:rStyle w:val="Lienhypertexte"/>
          </w:rPr>
          <w:t>https://www.santepubliquefrance.fr/maladies-et-traumatismes/maladies-a-transmission-vectorielle/chikungunya/articles/donnees-en-france-metropolitaine/chikungunya-dengue-et-zika-donnees-de-la-surveillance-renforcee-en-france-hexagonale-2024</w:t>
        </w:r>
      </w:hyperlink>
    </w:p>
    <w:p w14:paraId="12267826" w14:textId="77777777" w:rsidR="002F39C9" w:rsidRDefault="002F39C9" w:rsidP="002F39C9">
      <w:pPr>
        <w:pStyle w:val="Textebrut"/>
      </w:pPr>
    </w:p>
    <w:p w14:paraId="3AAFCD5F" w14:textId="77777777" w:rsidR="004C5CD9" w:rsidRDefault="004C5CD9" w:rsidP="004C5CD9">
      <w:pPr>
        <w:pStyle w:val="Textebrut"/>
      </w:pPr>
      <w:r>
        <w:t>Communiqué du 27/11/2024 - Journée mondiale de lutte contre le sida : la prévention combinée, meilleur moyen de lutter contre l’épidémie du VIH.</w:t>
      </w:r>
    </w:p>
    <w:p w14:paraId="05667D99" w14:textId="77777777" w:rsidR="004C5CD9" w:rsidRDefault="004C5CD9" w:rsidP="004C5CD9">
      <w:pPr>
        <w:pStyle w:val="Textebrut"/>
      </w:pPr>
      <w:r>
        <w:t>En 2023, on estime que 3 650 personnes ont été contaminées par le VIH en France. Ce nombre est stable depuis 2021, après une longue période de diminution. L’activité de dépistage du VIH et des infections sexuellement transmissibles (IST) bactériennes a continué de progresser en 2023 et devrait progresser en 2024 notamment grâce l’élargissement du dépistage gratuit et sans ordonnance aux IST depuis septembre. Il est essentiel de poursuivre cette dynamique. Plus les IST sont diagnostiquées tôt, plus la prise en charge est adaptée. A l’occasion de la Journée mondiale de lutte contre le sida du 1er décembre 2024, le Ministère de la Santé et de l’Accès aux Soins et Santé publique France rediffusent la campagne sur la prévention combinée « Tout le monde se pose des questions sur la sexualité ». Santé publique France publie également un BEH thématique portant sur certains dispositifs qui viennent renforcer la lutte contre le VIH</w:t>
      </w:r>
    </w:p>
    <w:p w14:paraId="59662751" w14:textId="1234FC81" w:rsidR="004C5CD9" w:rsidRDefault="00C53717" w:rsidP="004C5CD9">
      <w:pPr>
        <w:pStyle w:val="Textebrut"/>
      </w:pPr>
      <w:hyperlink r:id="rId135" w:history="1">
        <w:r w:rsidR="004C5CD9" w:rsidRPr="00A868D1">
          <w:rPr>
            <w:rStyle w:val="Lienhypertexte"/>
          </w:rPr>
          <w:t>https://sante.gouv.fr/actualites/presse/communiques-de-presse/article/journee-mondiale-de-lutte-contre-le-sida-la-prevention-combinee-meilleur-moyen</w:t>
        </w:r>
      </w:hyperlink>
    </w:p>
    <w:p w14:paraId="4AC96193" w14:textId="77777777" w:rsidR="004C5CD9" w:rsidRDefault="004C5CD9" w:rsidP="004C5CD9">
      <w:pPr>
        <w:pStyle w:val="Textebrut"/>
      </w:pPr>
    </w:p>
    <w:p w14:paraId="3DC9606C" w14:textId="77777777" w:rsidR="00E21BA6" w:rsidRDefault="00E21BA6" w:rsidP="00E21BA6">
      <w:pPr>
        <w:pStyle w:val="Textebrut"/>
      </w:pPr>
      <w:r>
        <w:t>DGS-Urgent n°2024_21 du 27/11/2024 : Redynamisation de la campagne de vaccination contre la grippe saisonnière et le Covid-19 et modalités des commandes de vaccins en fin d’année</w:t>
      </w:r>
    </w:p>
    <w:p w14:paraId="7184E194" w14:textId="77777777" w:rsidR="00E21BA6" w:rsidRDefault="00C53717" w:rsidP="00E21BA6">
      <w:pPr>
        <w:pStyle w:val="Textebrut"/>
      </w:pPr>
      <w:hyperlink r:id="rId136" w:history="1">
        <w:r w:rsidR="00E21BA6" w:rsidRPr="00A868D1">
          <w:rPr>
            <w:rStyle w:val="Lienhypertexte"/>
          </w:rPr>
          <w:t>https://sante.gouv.fr/IMG/pdf/dgs_urgent_no2024_21_ira.pdf</w:t>
        </w:r>
      </w:hyperlink>
    </w:p>
    <w:p w14:paraId="11CEDC83" w14:textId="77777777" w:rsidR="00E21BA6" w:rsidRDefault="00E21BA6" w:rsidP="00E21BA6">
      <w:pPr>
        <w:pStyle w:val="Textebrut"/>
      </w:pPr>
    </w:p>
    <w:p w14:paraId="6370D008" w14:textId="77777777" w:rsidR="00E21BA6" w:rsidRDefault="00E21BA6" w:rsidP="00E21BA6">
      <w:pPr>
        <w:pStyle w:val="Textebrut"/>
      </w:pPr>
      <w:r>
        <w:t>Communiqué du 28/11/2024 - Vaccination contre la grippe saisonnière et le Covid-19 : le ministère de la Santé et de l’Accès aux soins, l’Assurance Maladie et Santé publique France lancent un appel à la mobilisation des citoyens et des professionnels de santé pour protéger les personnes les plus fragiles et celles avec lesquelles elles sont en contact.</w:t>
      </w:r>
    </w:p>
    <w:p w14:paraId="79E9AC8D" w14:textId="77777777" w:rsidR="00E21BA6" w:rsidRDefault="00E21BA6" w:rsidP="00E21BA6">
      <w:pPr>
        <w:pStyle w:val="Textebrut"/>
      </w:pPr>
      <w:r>
        <w:t>Selon le dernier bulletin national de Santé publique France, l’ensemble des indicateurs de surveillance de la grippe est en augmentation au cours de la semaine du 18 novembre, avec trois régions (Ile-de-France, Normandie et Hauts-de-France) en pré-épidémie. Compte-tenu de la période hivernale, la dynamique épidémique des virus respiratoires est susceptible de s’accélérer rapidement dans les prochaines semaines et nécessite de s’y préparer. Ainsi, les fêtes de fin d’année approchant, les autorités sanitaires appellent à une mobilisation accrue des citoyens et des professionnels de santé pour vacciner les personnes les plus vulnérables contre la grippe saisonnière et le Covid-19. Se faire vacciner est un geste simple et reste le moyen le plus efficace pour prévenir les formes graves des infections grippales et du Covid-19</w:t>
      </w:r>
    </w:p>
    <w:p w14:paraId="23E3472B" w14:textId="1923A03C" w:rsidR="004C5CD9" w:rsidRDefault="00C53717" w:rsidP="00E21BA6">
      <w:pPr>
        <w:pStyle w:val="Textebrut"/>
      </w:pPr>
      <w:hyperlink r:id="rId137" w:history="1">
        <w:r w:rsidR="00E21BA6" w:rsidRPr="004539CD">
          <w:rPr>
            <w:rStyle w:val="Lienhypertexte"/>
          </w:rPr>
          <w:t>https://sante.gouv.fr/actualites/presse/communiques-de-presse/article/vaccination-contre-la-grippe-saisonniere-et-le-covid-19-le-ministere-de-la</w:t>
        </w:r>
      </w:hyperlink>
    </w:p>
    <w:p w14:paraId="17887DFD" w14:textId="77777777" w:rsidR="00E21BA6" w:rsidRDefault="00E21BA6" w:rsidP="00E21BA6">
      <w:pPr>
        <w:pStyle w:val="Textebrut"/>
      </w:pPr>
    </w:p>
    <w:p w14:paraId="7C37297C" w14:textId="77777777" w:rsidR="006C46A6" w:rsidRDefault="006C46A6" w:rsidP="006C46A6">
      <w:pPr>
        <w:pStyle w:val="Textebrut"/>
      </w:pPr>
      <w:r>
        <w:t>Thérapie illégale dans le traitement du cancer : nous prenons des décisions de police sanitaire à l’encontre de trois sociétés promouvant des thérapies cellulaires dendritiques non autorisées en France (ANSM, 28/11/2024).</w:t>
      </w:r>
    </w:p>
    <w:p w14:paraId="6B3F7633" w14:textId="77777777" w:rsidR="006C46A6" w:rsidRDefault="006C46A6" w:rsidP="006C46A6">
      <w:pPr>
        <w:pStyle w:val="Textebrut"/>
      </w:pPr>
      <w:r>
        <w:t xml:space="preserve">Nous avons été alertés par nos homologues européens de la promotion par les sociétés </w:t>
      </w:r>
      <w:proofErr w:type="spellStart"/>
      <w:r>
        <w:t>Immucura</w:t>
      </w:r>
      <w:proofErr w:type="spellEnd"/>
      <w:r>
        <w:t xml:space="preserve">, </w:t>
      </w:r>
      <w:proofErr w:type="spellStart"/>
      <w:r>
        <w:t>Immunyo</w:t>
      </w:r>
      <w:proofErr w:type="spellEnd"/>
      <w:r>
        <w:t xml:space="preserve"> et </w:t>
      </w:r>
      <w:proofErr w:type="spellStart"/>
      <w:r>
        <w:t>Iaso</w:t>
      </w:r>
      <w:proofErr w:type="spellEnd"/>
      <w:r>
        <w:t xml:space="preserve"> </w:t>
      </w:r>
      <w:proofErr w:type="spellStart"/>
      <w:r>
        <w:t>Health</w:t>
      </w:r>
      <w:proofErr w:type="spellEnd"/>
      <w:r>
        <w:t xml:space="preserve"> </w:t>
      </w:r>
      <w:proofErr w:type="spellStart"/>
      <w:r>
        <w:t>GmbH</w:t>
      </w:r>
      <w:proofErr w:type="spellEnd"/>
      <w:r>
        <w:t xml:space="preserve"> d’un traitement anticancéreux “d’immunothérapie par cellules dendritiques” non autorisé sur leurs sites internet et réseaux sociaux.</w:t>
      </w:r>
    </w:p>
    <w:p w14:paraId="7CA681FA" w14:textId="77777777" w:rsidR="006C46A6" w:rsidRDefault="006C46A6" w:rsidP="006C46A6">
      <w:pPr>
        <w:pStyle w:val="Textebrut"/>
      </w:pPr>
      <w:r>
        <w:t>La thérapie cellulaire dendritique utilisée dans le traitement contre le cancer répond à la définition du médicament mais n’a pas fait l'objet d’une autorisation de mise sur le marché (AMM) en France ou en Europe. Nous prenons donc des décisions de police sanitaire à l’encontre des sociétés concernées, notamment pour suspendre la promotion illégale de cette thérapie</w:t>
      </w:r>
    </w:p>
    <w:p w14:paraId="16EC5E5C" w14:textId="242C8C50" w:rsidR="00E21BA6" w:rsidRDefault="00C53717" w:rsidP="006C46A6">
      <w:pPr>
        <w:pStyle w:val="Textebrut"/>
      </w:pPr>
      <w:hyperlink r:id="rId138" w:history="1">
        <w:r w:rsidR="006C46A6" w:rsidRPr="004539CD">
          <w:rPr>
            <w:rStyle w:val="Lienhypertexte"/>
          </w:rPr>
          <w:t>https://ansm.sante.fr/actualites/therapie-illegale-dans-le-traitement-du-cancer-nous-prenons-des-decisions-de-police-sanitaire-a-lencontre-de-trois-societes-promouvant-des-therapies-cellulaires-dendritiques-non-autorisees-en-france</w:t>
        </w:r>
      </w:hyperlink>
    </w:p>
    <w:p w14:paraId="2CFF08FD" w14:textId="77777777" w:rsidR="006C46A6" w:rsidRDefault="006C46A6" w:rsidP="006C46A6">
      <w:pPr>
        <w:pStyle w:val="Textebrut"/>
      </w:pPr>
    </w:p>
    <w:p w14:paraId="34D7869B" w14:textId="77777777" w:rsidR="009012F7" w:rsidRDefault="009012F7" w:rsidP="009012F7">
      <w:pPr>
        <w:pStyle w:val="Textebrut"/>
      </w:pPr>
      <w:r>
        <w:lastRenderedPageBreak/>
        <w:t>PMA post-mortem : l’interdiction posée par la loi française n’est pas incompatible avec la convention européenne des droits de l’homme (Conseil d’État, 28/11/2024).</w:t>
      </w:r>
    </w:p>
    <w:p w14:paraId="4B53AED1" w14:textId="77777777" w:rsidR="009012F7" w:rsidRDefault="009012F7" w:rsidP="009012F7">
      <w:pPr>
        <w:pStyle w:val="Textebrut"/>
      </w:pPr>
      <w:r>
        <w:t>Le Conseil d’État rejette aujourd’hui les recours d’une veuve qui contestait le refus qui lui avait été opposé de poursuivre le parcours d’assistance médicale à la procréation dans lequel elle s’était engagée avec son conjoint aujourd’hui décédé. Depuis la loi de bioéthique de 2021, l’assistance médicale à la procréation est destinée à répondre à un « projet parental » qui, pour un couple, s’interrompt si l’un des membres du couple décède. Le Conseil d’État juge que l’interdiction ainsi posée par le Parlement français se situe dans la marge d’appréciation dont chaque État dispose pour l’application de la convention européenne de sauvegarde des droits de l’homme et des libertés fondamentales</w:t>
      </w:r>
    </w:p>
    <w:p w14:paraId="5EE7F544" w14:textId="74FE836E" w:rsidR="006C46A6" w:rsidRDefault="00C53717" w:rsidP="009012F7">
      <w:pPr>
        <w:pStyle w:val="Textebrut"/>
      </w:pPr>
      <w:hyperlink r:id="rId139" w:history="1">
        <w:r w:rsidR="009012F7" w:rsidRPr="004539CD">
          <w:rPr>
            <w:rStyle w:val="Lienhypertexte"/>
          </w:rPr>
          <w:t>https://www.conseil-etat.fr/actualites/pma-post-mortem-l-interdiction-posee-par-la-loi-francaise-n-est-pas-incompatible-avec-la-convention-europeenne-des-droits-de-l-homme</w:t>
        </w:r>
      </w:hyperlink>
    </w:p>
    <w:p w14:paraId="38E6E208" w14:textId="77777777" w:rsidR="009012F7" w:rsidRDefault="009012F7" w:rsidP="009012F7">
      <w:pPr>
        <w:pStyle w:val="Textebrut"/>
      </w:pPr>
    </w:p>
    <w:p w14:paraId="4AB8037B" w14:textId="77777777" w:rsidR="009012F7" w:rsidRDefault="009012F7" w:rsidP="009012F7">
      <w:pPr>
        <w:pStyle w:val="Textebrut"/>
      </w:pPr>
      <w:r>
        <w:t>La prise en compte des preuves scientifiques dans les actions de prévention et de promotion santé (IGAS, 14/11/2024).</w:t>
      </w:r>
    </w:p>
    <w:p w14:paraId="106A7268" w14:textId="77777777" w:rsidR="009012F7" w:rsidRDefault="009012F7" w:rsidP="009012F7">
      <w:pPr>
        <w:pStyle w:val="Textebrut"/>
      </w:pPr>
      <w:r>
        <w:t>Comment concevoir et mettre en œuvre des actions et des politiques de prévention et de promotion de la santé (PPS), en se fondant sur des preuves scientifiques ? Dans son rapport, l’Inspection générale des affaires sociales analyse, en premier lieu, la question des preuves de manière globale, avant de se pencher sur les actions locales de PPS, qui visent à modifier les comportements néfastes pour la santé</w:t>
      </w:r>
    </w:p>
    <w:p w14:paraId="5EB3C8C3" w14:textId="142F6AC6" w:rsidR="009012F7" w:rsidRDefault="00C53717" w:rsidP="009012F7">
      <w:pPr>
        <w:pStyle w:val="Textebrut"/>
      </w:pPr>
      <w:hyperlink r:id="rId140" w:history="1">
        <w:r w:rsidR="009012F7" w:rsidRPr="004539CD">
          <w:rPr>
            <w:rStyle w:val="Lienhypertexte"/>
          </w:rPr>
          <w:t>https://igas.gouv.fr/la-prise-en-compte-des-preuves-scientifiques-dans-les-actions-de-prevention-et-de-promotion-sante</w:t>
        </w:r>
      </w:hyperlink>
    </w:p>
    <w:p w14:paraId="65BAA87B" w14:textId="77777777" w:rsidR="009012F7" w:rsidRDefault="009012F7" w:rsidP="009012F7">
      <w:pPr>
        <w:pStyle w:val="Textebrut"/>
      </w:pPr>
    </w:p>
    <w:p w14:paraId="30E4FD1C" w14:textId="77777777" w:rsidR="00EC6AC8" w:rsidRDefault="00EC6AC8" w:rsidP="00EC6AC8">
      <w:pPr>
        <w:pStyle w:val="Textebrut"/>
      </w:pPr>
      <w:r>
        <w:t>“Mon test IST” : les personnes mineures peuvent-elles bénéficier du dispositif ? (CNOP, 28/11/2024).</w:t>
      </w:r>
    </w:p>
    <w:p w14:paraId="5BCED7B6" w14:textId="77777777" w:rsidR="00EC6AC8" w:rsidRDefault="00EC6AC8" w:rsidP="00EC6AC8">
      <w:pPr>
        <w:pStyle w:val="Textebrut"/>
      </w:pPr>
      <w:r>
        <w:t>Depuis le 1er septembre, le dépistage gratuit sans ordonnance en laboratoire de biologie médicale réalisé à la demande du patient, jusqu’à présent réservé au VIH, a été étendu à plusieurs IST pour les moins de 26 ans. À l’approche de la journée mondiale de lutte contre le VIH/sida, le 1er décembre 2024, retour sur ce dispositif et sur la marche à suivre pour les personnes mineures</w:t>
      </w:r>
    </w:p>
    <w:p w14:paraId="4F247144" w14:textId="547E65E6" w:rsidR="00EC6AC8" w:rsidRDefault="00EC6AC8" w:rsidP="00EC6AC8">
      <w:pPr>
        <w:pStyle w:val="Textebrut"/>
      </w:pPr>
      <w:hyperlink r:id="rId141" w:history="1">
        <w:r w:rsidRPr="00E13FD8">
          <w:rPr>
            <w:rStyle w:val="Lienhypertexte"/>
          </w:rPr>
          <w:t>https://www.ordre.pharmacien.fr/les-communications/focus-sur/les-actualites/mon-test-ist-les-personnes-mineures-peuvent-elles-beneficier-du-dispositif</w:t>
        </w:r>
      </w:hyperlink>
    </w:p>
    <w:p w14:paraId="5C8CDD60" w14:textId="77777777" w:rsidR="00EC6AC8" w:rsidRDefault="00EC6AC8" w:rsidP="00EC6AC8">
      <w:pPr>
        <w:pStyle w:val="Textebrut"/>
      </w:pPr>
    </w:p>
    <w:p w14:paraId="621305CD" w14:textId="77777777" w:rsidR="00922C3B" w:rsidRDefault="00922C3B" w:rsidP="00922C3B">
      <w:pPr>
        <w:pStyle w:val="Textebrut"/>
      </w:pPr>
      <w:r>
        <w:t xml:space="preserve">Suivi de l’utilisation de la prophylaxie </w:t>
      </w:r>
      <w:proofErr w:type="spellStart"/>
      <w:r>
        <w:t>pré‐exposition</w:t>
      </w:r>
      <w:proofErr w:type="spellEnd"/>
      <w:r>
        <w:t xml:space="preserve"> (</w:t>
      </w:r>
      <w:proofErr w:type="spellStart"/>
      <w:r>
        <w:t>PrEP</w:t>
      </w:r>
      <w:proofErr w:type="spellEnd"/>
      <w:r>
        <w:t>) au VIH (EPI-PHARE, 29/11/2024).</w:t>
      </w:r>
    </w:p>
    <w:p w14:paraId="0ED27705" w14:textId="77777777" w:rsidR="00922C3B" w:rsidRDefault="00922C3B" w:rsidP="00922C3B">
      <w:pPr>
        <w:pStyle w:val="Textebrut"/>
      </w:pPr>
      <w:r>
        <w:t xml:space="preserve">Suivi de l’utilisation de </w:t>
      </w:r>
      <w:proofErr w:type="spellStart"/>
      <w:r>
        <w:t>Truvada</w:t>
      </w:r>
      <w:proofErr w:type="spellEnd"/>
      <w:r>
        <w:t xml:space="preserve">® ou génériques pour une prophylaxie </w:t>
      </w:r>
      <w:proofErr w:type="spellStart"/>
      <w:r>
        <w:t>pré-exposition</w:t>
      </w:r>
      <w:proofErr w:type="spellEnd"/>
      <w:r>
        <w:t xml:space="preserve"> (</w:t>
      </w:r>
      <w:proofErr w:type="spellStart"/>
      <w:r>
        <w:t>PrEP</w:t>
      </w:r>
      <w:proofErr w:type="spellEnd"/>
      <w:r>
        <w:t>) au VIH à partir du Système National des Données de Santé (SNDS) - Actualisation des données jusqu’au 30 juin 2024</w:t>
      </w:r>
    </w:p>
    <w:p w14:paraId="5618D448" w14:textId="7C7374D9" w:rsidR="009012F7" w:rsidRDefault="00922C3B" w:rsidP="00922C3B">
      <w:pPr>
        <w:pStyle w:val="Textebrut"/>
      </w:pPr>
      <w:hyperlink r:id="rId142" w:history="1">
        <w:r w:rsidRPr="00E13FD8">
          <w:rPr>
            <w:rStyle w:val="Lienhypertexte"/>
          </w:rPr>
          <w:t>https://www.epi-phare.fr/rapports-detudes-et-publications/prep-vih-2024/</w:t>
        </w:r>
      </w:hyperlink>
    </w:p>
    <w:p w14:paraId="7C36117D" w14:textId="77777777" w:rsidR="00922C3B" w:rsidRDefault="00922C3B" w:rsidP="00922C3B">
      <w:pPr>
        <w:pStyle w:val="Textebrut"/>
      </w:pPr>
    </w:p>
    <w:p w14:paraId="27799715" w14:textId="77777777" w:rsidR="00B06463" w:rsidRDefault="00B06463" w:rsidP="00B06463">
      <w:pPr>
        <w:pStyle w:val="Textebrut"/>
      </w:pPr>
      <w:r>
        <w:t>Gazette de l'infectiologie : Vivre avec le VIH en 2025 (SPILF, 29/11/2024).</w:t>
      </w:r>
    </w:p>
    <w:p w14:paraId="7EA5D7B1" w14:textId="77777777" w:rsidR="00B06463" w:rsidRDefault="00B06463" w:rsidP="00B06463">
      <w:pPr>
        <w:pStyle w:val="Textebrut"/>
      </w:pPr>
      <w:r>
        <w:t>40 ans après sa découverte, le virus responsable du sida, le VIH, continue de faire peur. Pourtant, le quotidien d'une personne séropositive n'a aujourd'hui plus rien à voir avec les meurtrières « années sida ». Avec des traitements toujours plus performants et moins contraignants, il est désormais possible de vivre normalement avec le VIH</w:t>
      </w:r>
    </w:p>
    <w:p w14:paraId="18FB8851" w14:textId="76E45B89" w:rsidR="00B06463" w:rsidRDefault="00B06463" w:rsidP="00B06463">
      <w:pPr>
        <w:pStyle w:val="Textebrut"/>
      </w:pPr>
      <w:hyperlink r:id="rId143" w:history="1">
        <w:r w:rsidRPr="00E13FD8">
          <w:rPr>
            <w:rStyle w:val="Lienhypertexte"/>
          </w:rPr>
          <w:t>https://www.infectiologie.com/UserFiles/File/grand-public/reportage-26-vih.pdf</w:t>
        </w:r>
      </w:hyperlink>
    </w:p>
    <w:p w14:paraId="02D93B9B" w14:textId="77777777" w:rsidR="00B06463" w:rsidRDefault="00B06463" w:rsidP="00B06463">
      <w:pPr>
        <w:pStyle w:val="Textebrut"/>
      </w:pPr>
    </w:p>
    <w:p w14:paraId="2EEAAD30" w14:textId="77777777" w:rsidR="00CC64CA" w:rsidRDefault="00CC64CA" w:rsidP="00CC64CA">
      <w:pPr>
        <w:pStyle w:val="Textebrut"/>
      </w:pPr>
      <w:r>
        <w:t>Infections respiratoires aiguës (grippe, bronchiolite, COVID-19). Bulletin du 27 novembre 2024 (</w:t>
      </w:r>
      <w:proofErr w:type="spellStart"/>
      <w:r>
        <w:t>SpF</w:t>
      </w:r>
      <w:proofErr w:type="spellEnd"/>
      <w:r>
        <w:t>, 27/11/2024).</w:t>
      </w:r>
    </w:p>
    <w:p w14:paraId="7C02CD6C" w14:textId="77777777" w:rsidR="00CC64CA" w:rsidRDefault="00CC64CA" w:rsidP="00CC64CA">
      <w:pPr>
        <w:pStyle w:val="Textebrut"/>
      </w:pPr>
      <w:r>
        <w:t>Infections respiratoires aiguës : Activité en augmentation en ville et à l'hôpital, principalement chez les enfants.</w:t>
      </w:r>
    </w:p>
    <w:p w14:paraId="128F90EA" w14:textId="77777777" w:rsidR="00CC64CA" w:rsidRDefault="00CC64CA" w:rsidP="00CC64CA">
      <w:pPr>
        <w:pStyle w:val="Textebrut"/>
      </w:pPr>
      <w:r>
        <w:t>Grippe : Augmentation des indicateurs en ville et à l'hôpital dans la plupart des classes d'âge. Trois régions hexagonales en pré épidémie.</w:t>
      </w:r>
    </w:p>
    <w:p w14:paraId="28B70B0B" w14:textId="77777777" w:rsidR="00CC64CA" w:rsidRDefault="00CC64CA" w:rsidP="00CC64CA">
      <w:pPr>
        <w:pStyle w:val="Textebrut"/>
      </w:pPr>
      <w:r>
        <w:t>Bronchiolite : Augmentation de la grande majorité des indicateurs. Cinq régions en pré-épidémie et sept en épidémie dans l'Hexagone. Phase épidémique dans les Antilles et en Guyane.</w:t>
      </w:r>
    </w:p>
    <w:p w14:paraId="112F7B04" w14:textId="77777777" w:rsidR="00CC64CA" w:rsidRDefault="00CC64CA" w:rsidP="00CC64CA">
      <w:pPr>
        <w:pStyle w:val="Textebrut"/>
      </w:pPr>
      <w:r>
        <w:t>COVID-19 : Maintien de la stabilité des indicateurs syndromiques et diminution des indicateurs virologiques</w:t>
      </w:r>
    </w:p>
    <w:p w14:paraId="5E67C6EB" w14:textId="5919E427" w:rsidR="00CC64CA" w:rsidRDefault="00CC64CA" w:rsidP="00CC64CA">
      <w:pPr>
        <w:pStyle w:val="Textebrut"/>
      </w:pPr>
      <w:hyperlink r:id="rId144" w:history="1">
        <w:r w:rsidRPr="00E13FD8">
          <w:rPr>
            <w:rStyle w:val="Lienhypertexte"/>
          </w:rPr>
          <w:t>https://www.santepubliquefrance.fr/maladies-et-traumatismes/maladies-et-infections-respiratoires/grippe/documents/bulletin-national/infections-respiratoires-aigues-grippe-bronchiolite-covid-19-.-bulletin-du-27-novembre-2024</w:t>
        </w:r>
      </w:hyperlink>
    </w:p>
    <w:p w14:paraId="315FEB71" w14:textId="77777777" w:rsidR="00CC64CA" w:rsidRDefault="00CC64CA" w:rsidP="00CC64CA">
      <w:pPr>
        <w:pStyle w:val="Textebrut"/>
      </w:pPr>
    </w:p>
    <w:p w14:paraId="4CE8CEF3" w14:textId="77777777" w:rsidR="00CC64CA" w:rsidRDefault="00CC64CA" w:rsidP="00CC64CA">
      <w:pPr>
        <w:pStyle w:val="Textebrut"/>
      </w:pPr>
      <w:r>
        <w:lastRenderedPageBreak/>
        <w:t>Gastro-entérites aiguës. Bulletin du 28 novembre 2024 (</w:t>
      </w:r>
      <w:proofErr w:type="spellStart"/>
      <w:r>
        <w:t>SpF</w:t>
      </w:r>
      <w:proofErr w:type="spellEnd"/>
      <w:r>
        <w:t>, 28/11/2024).</w:t>
      </w:r>
    </w:p>
    <w:p w14:paraId="1A582AAE" w14:textId="77777777" w:rsidR="00CC64CA" w:rsidRDefault="00CC64CA" w:rsidP="00CC64CA">
      <w:pPr>
        <w:pStyle w:val="Textebrut"/>
      </w:pPr>
      <w:r>
        <w:t>Le taux d’incidence de diarrhée aiguë observé en médecine générale est à un niveau d’activité bas, inférieur à ceux observés à cette période les années précédentes. La proportion de consultations pour GEA pour SOS Médecins est équivalente à la saison précédente et proche des minimums historiques. La proportion de passages aux urgences pour GEA est équivalente à la saison précédente et proche des minimums historiques</w:t>
      </w:r>
    </w:p>
    <w:p w14:paraId="30BDA2F1" w14:textId="3FFE53C0" w:rsidR="00CC64CA" w:rsidRDefault="00CC64CA" w:rsidP="00CC64CA">
      <w:pPr>
        <w:pStyle w:val="Textebrut"/>
      </w:pPr>
      <w:hyperlink r:id="rId145" w:history="1">
        <w:r w:rsidRPr="00E13FD8">
          <w:rPr>
            <w:rStyle w:val="Lienhypertexte"/>
          </w:rPr>
          <w:t>https://www.santepubliquefrance.fr/maladies-et-traumatismes/maladies-infectieuses-d-origine-alimentaire/gastro-enterites-aigues/documents/bulletin-national/gastro-enterites-aigues.-bulletin-du-28-novembre-2024</w:t>
        </w:r>
      </w:hyperlink>
    </w:p>
    <w:p w14:paraId="75E86AFF" w14:textId="77777777" w:rsidR="00CC64CA" w:rsidRDefault="00CC64CA" w:rsidP="00CC64CA">
      <w:pPr>
        <w:pStyle w:val="Textebrut"/>
      </w:pPr>
    </w:p>
    <w:p w14:paraId="66652765" w14:textId="77777777" w:rsidR="00EC6AC8" w:rsidRDefault="00EC6AC8" w:rsidP="00EC6AC8">
      <w:pPr>
        <w:pStyle w:val="Textebrut"/>
      </w:pPr>
      <w:r>
        <w:t xml:space="preserve">Drogues et sexe : ce que l’on sait du </w:t>
      </w:r>
      <w:proofErr w:type="spellStart"/>
      <w:r>
        <w:t>chemsex</w:t>
      </w:r>
      <w:proofErr w:type="spellEnd"/>
      <w:r>
        <w:t xml:space="preserve"> en France (article de Marc </w:t>
      </w:r>
      <w:proofErr w:type="spellStart"/>
      <w:r>
        <w:t>Gozlan</w:t>
      </w:r>
      <w:proofErr w:type="spellEnd"/>
      <w:r>
        <w:t xml:space="preserve"> sur le blog santé du Monde, 28/11/2024)</w:t>
      </w:r>
    </w:p>
    <w:p w14:paraId="3DDF7EC6" w14:textId="6316447A" w:rsidR="00CC64CA" w:rsidRDefault="00EC6AC8" w:rsidP="00EC6AC8">
      <w:pPr>
        <w:pStyle w:val="Textebrut"/>
      </w:pPr>
      <w:hyperlink r:id="rId146" w:history="1">
        <w:r w:rsidRPr="00E13FD8">
          <w:rPr>
            <w:rStyle w:val="Lienhypertexte"/>
          </w:rPr>
          <w:t>https://www.lemonde.fr/blog/realitesbiomedicales/2024/11/28/drogues-et-sexe-ce-que-lon-sait-du-chemsex-en-france/</w:t>
        </w:r>
      </w:hyperlink>
    </w:p>
    <w:p w14:paraId="695062B1" w14:textId="77777777" w:rsidR="00EC6AC8" w:rsidRDefault="00EC6AC8" w:rsidP="00EC6AC8">
      <w:pPr>
        <w:pStyle w:val="Textebrut"/>
      </w:pPr>
    </w:p>
    <w:p w14:paraId="416E662C" w14:textId="77777777" w:rsidR="006771D3" w:rsidRDefault="006771D3" w:rsidP="006771D3">
      <w:pPr>
        <w:pStyle w:val="Textebrut"/>
      </w:pPr>
      <w:proofErr w:type="spellStart"/>
      <w:r>
        <w:t>Déprescription</w:t>
      </w:r>
      <w:proofErr w:type="spellEnd"/>
      <w:r>
        <w:t xml:space="preserve"> : un processus fondé sur la confiance et la coordination (Vidal, 28/11/2024).</w:t>
      </w:r>
    </w:p>
    <w:p w14:paraId="4352842B" w14:textId="77777777" w:rsidR="006771D3" w:rsidRDefault="006771D3" w:rsidP="006771D3">
      <w:pPr>
        <w:pStyle w:val="Textebrut"/>
      </w:pPr>
      <w:r>
        <w:t xml:space="preserve">Gériatre, médecin coordonnateur en </w:t>
      </w:r>
      <w:proofErr w:type="spellStart"/>
      <w:r>
        <w:t>Ehpad</w:t>
      </w:r>
      <w:proofErr w:type="spellEnd"/>
      <w:r>
        <w:t xml:space="preserve">, Sandrine Khalifa raconte comment, étape par étape, l'équipe soignante et les résidents ont adhéré au processus de </w:t>
      </w:r>
      <w:proofErr w:type="spellStart"/>
      <w:r>
        <w:t>déprescription</w:t>
      </w:r>
      <w:proofErr w:type="spellEnd"/>
      <w:r>
        <w:t xml:space="preserve"> médicamenteuse</w:t>
      </w:r>
    </w:p>
    <w:p w14:paraId="0572BC52" w14:textId="2C2F5664" w:rsidR="009012F7" w:rsidRDefault="006771D3" w:rsidP="006771D3">
      <w:pPr>
        <w:pStyle w:val="Textebrut"/>
      </w:pPr>
      <w:hyperlink r:id="rId147" w:history="1">
        <w:r w:rsidRPr="00E13FD8">
          <w:rPr>
            <w:rStyle w:val="Lienhypertexte"/>
          </w:rPr>
          <w:t>https://www.vidal.fr/actualites/31063-deprescription-un-processus-fonde-sur-la-confiance-et-la-coordination.html?at_variant=2200</w:t>
        </w:r>
      </w:hyperlink>
    </w:p>
    <w:p w14:paraId="18D9BE7C" w14:textId="77777777" w:rsidR="006771D3" w:rsidRDefault="006771D3" w:rsidP="006771D3">
      <w:pPr>
        <w:pStyle w:val="Textebrut"/>
      </w:pPr>
    </w:p>
    <w:p w14:paraId="420C9094" w14:textId="77777777" w:rsidR="006771D3" w:rsidRDefault="006771D3" w:rsidP="006771D3">
      <w:pPr>
        <w:pStyle w:val="Textebrut"/>
      </w:pPr>
      <w:r>
        <w:t>Dossier Pharma : lancement de l’application grand public (CNOP, 28/11/2024).</w:t>
      </w:r>
    </w:p>
    <w:p w14:paraId="771365B0" w14:textId="77777777" w:rsidR="006771D3" w:rsidRDefault="006771D3" w:rsidP="006771D3">
      <w:pPr>
        <w:pStyle w:val="Textebrut"/>
      </w:pPr>
      <w:r>
        <w:t>Présentée à l’occasion de la Journée de l’Ordre le 25 novembre, Dossier Pharma est une nouvelle application gratuite proposée par le Conseil national de l’Ordre des pharmaciens, qui permet principalement d’accéder au contenu de son dossier pharmaceutique</w:t>
      </w:r>
    </w:p>
    <w:p w14:paraId="0D6D6EFC" w14:textId="1F5CEB3B" w:rsidR="00F24FB0" w:rsidRDefault="006771D3" w:rsidP="006771D3">
      <w:pPr>
        <w:pStyle w:val="Textebrut"/>
      </w:pPr>
      <w:hyperlink r:id="rId148" w:history="1">
        <w:r w:rsidRPr="00E13FD8">
          <w:rPr>
            <w:rStyle w:val="Lienhypertexte"/>
          </w:rPr>
          <w:t>https://www.ordre.pharmacien.fr/les-communications/focus-sur/les-actualites/dossier-pharma-lancement-de-l-application-grand-public</w:t>
        </w:r>
      </w:hyperlink>
    </w:p>
    <w:p w14:paraId="2AD0AF7E" w14:textId="77777777" w:rsidR="006771D3" w:rsidRDefault="006771D3" w:rsidP="006771D3">
      <w:pPr>
        <w:pStyle w:val="Textebrut"/>
      </w:pPr>
    </w:p>
    <w:p w14:paraId="1E60935E" w14:textId="77777777" w:rsidR="00842F8B" w:rsidRDefault="00842F8B" w:rsidP="00D72556">
      <w:pPr>
        <w:pStyle w:val="Textebrut"/>
      </w:pPr>
    </w:p>
    <w:p w14:paraId="43312918" w14:textId="77777777" w:rsidR="00F6176B" w:rsidRDefault="00F6176B" w:rsidP="00F6176B">
      <w:pPr>
        <w:pStyle w:val="Textebrut"/>
      </w:pPr>
    </w:p>
    <w:p w14:paraId="3EC8ED85" w14:textId="77777777" w:rsidR="00C53717" w:rsidRDefault="00C53717" w:rsidP="00F6176B">
      <w:pPr>
        <w:pStyle w:val="Textebrut"/>
      </w:pPr>
    </w:p>
    <w:p w14:paraId="027ACBC6" w14:textId="77777777" w:rsidR="00C73E01" w:rsidRDefault="00C73E01" w:rsidP="00C73E01">
      <w:pPr>
        <w:pStyle w:val="PEPS"/>
      </w:pPr>
      <w:r>
        <w:t>Rubrique ruptures :</w:t>
      </w:r>
    </w:p>
    <w:p w14:paraId="3BE80ED2"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508D685B" w14:textId="77777777" w:rsidR="005C757B" w:rsidRDefault="005C757B" w:rsidP="00361AD6">
      <w:pPr>
        <w:pStyle w:val="Textebrut"/>
      </w:pPr>
      <w:r>
        <w:t>L’information complète et actualisée de la situation de toutes les spécialités est disponible sur le site de l’ANSM :</w:t>
      </w:r>
    </w:p>
    <w:p w14:paraId="5BE94246" w14:textId="77777777" w:rsidR="00C73E01" w:rsidRDefault="00C53717" w:rsidP="00361AD6">
      <w:pPr>
        <w:pStyle w:val="Textebrut"/>
      </w:pPr>
      <w:hyperlink r:id="rId149" w:history="1">
        <w:r w:rsidR="005C757B" w:rsidRPr="003C18E1">
          <w:rPr>
            <w:rStyle w:val="Lienhypertexte"/>
          </w:rPr>
          <w:t>https://ansm.sante.fr/disponibilites-des-produits-de-sante/medicaments</w:t>
        </w:r>
      </w:hyperlink>
    </w:p>
    <w:p w14:paraId="1EA061C1" w14:textId="77777777" w:rsidR="005C757B" w:rsidRDefault="005C757B" w:rsidP="00361AD6">
      <w:pPr>
        <w:pStyle w:val="Textebrut"/>
      </w:pPr>
    </w:p>
    <w:p w14:paraId="61EEC06D" w14:textId="77777777" w:rsidR="00915353" w:rsidRDefault="00915353" w:rsidP="00915353">
      <w:pPr>
        <w:pStyle w:val="Textebrut"/>
      </w:pPr>
      <w:r>
        <w:t>Plan hivernal (ANSM, actualisation du 22/11/2024)</w:t>
      </w:r>
    </w:p>
    <w:p w14:paraId="4B3AF8E0" w14:textId="28E98AE9" w:rsidR="00915353" w:rsidRDefault="00C53717" w:rsidP="00915353">
      <w:pPr>
        <w:pStyle w:val="Textebrut"/>
      </w:pPr>
      <w:hyperlink r:id="rId150" w:history="1">
        <w:r w:rsidR="00915353" w:rsidRPr="00996A9D">
          <w:rPr>
            <w:rStyle w:val="Lienhypertexte"/>
          </w:rPr>
          <w:t>https://ansm.sante.fr/dossiers-thematiques/plan-hivernal</w:t>
        </w:r>
      </w:hyperlink>
    </w:p>
    <w:p w14:paraId="0F8482CC" w14:textId="77777777" w:rsidR="00915353" w:rsidRDefault="00915353" w:rsidP="00915353">
      <w:pPr>
        <w:pStyle w:val="Textebrut"/>
      </w:pPr>
    </w:p>
    <w:p w14:paraId="37A46981" w14:textId="77777777" w:rsidR="00F55EA7" w:rsidRDefault="00F55EA7" w:rsidP="00F55EA7">
      <w:pPr>
        <w:pStyle w:val="Textebrut"/>
      </w:pPr>
      <w:r>
        <w:t>La plateforme européenne de surveillance des pénuries permet un meilleur suivi des pénuries dans l’UE (EMA, 28/11/2024, anglais).</w:t>
      </w:r>
    </w:p>
    <w:p w14:paraId="39704B16" w14:textId="77777777" w:rsidR="00F55EA7" w:rsidRDefault="00F55EA7" w:rsidP="00F55EA7">
      <w:pPr>
        <w:pStyle w:val="Textebrut"/>
      </w:pPr>
      <w:r>
        <w:t>Les titulaires d'autorisations de mise sur le marché peuvent désormais utiliser la plateforme pour signaler les pénuries de médicaments à usage humain autorisés de manière centralisée</w:t>
      </w:r>
    </w:p>
    <w:p w14:paraId="36D45F8B" w14:textId="25D4DF5E" w:rsidR="00F55EA7" w:rsidRDefault="00C53717" w:rsidP="00F55EA7">
      <w:pPr>
        <w:pStyle w:val="Textebrut"/>
      </w:pPr>
      <w:hyperlink r:id="rId151" w:history="1">
        <w:r w:rsidR="00F55EA7" w:rsidRPr="004539CD">
          <w:rPr>
            <w:rStyle w:val="Lienhypertexte"/>
          </w:rPr>
          <w:t>https://www.ema.europa.eu/en/news/european-shortages-monitoring-platform-enables-better-monitoring-shortages-eu</w:t>
        </w:r>
      </w:hyperlink>
    </w:p>
    <w:p w14:paraId="28D776CD" w14:textId="77777777" w:rsidR="00F55EA7" w:rsidRDefault="00F55EA7" w:rsidP="00F55EA7">
      <w:pPr>
        <w:pStyle w:val="Textebrut"/>
      </w:pPr>
    </w:p>
    <w:p w14:paraId="458A316E" w14:textId="76EB2AC3" w:rsidR="00807DF2" w:rsidRDefault="00807DF2" w:rsidP="00807DF2">
      <w:pPr>
        <w:pStyle w:val="Textebrut"/>
      </w:pPr>
      <w:proofErr w:type="spellStart"/>
      <w:r>
        <w:t>Cyanokit</w:t>
      </w:r>
      <w:proofErr w:type="spellEnd"/>
      <w:r>
        <w:t xml:space="preserve"> 5 g, poudre pour solution pour perfusion – [</w:t>
      </w:r>
      <w:proofErr w:type="spellStart"/>
      <w:r>
        <w:t>hydroxocobalamine</w:t>
      </w:r>
      <w:proofErr w:type="spellEnd"/>
      <w:r>
        <w:t xml:space="preserve">] – Tension d’approvisionnement depuis le 11/10/2024 (ANSM, actualisation du </w:t>
      </w:r>
      <w:r w:rsidR="00056433">
        <w:t>2</w:t>
      </w:r>
      <w:r>
        <w:t>7/11/2024).</w:t>
      </w:r>
    </w:p>
    <w:p w14:paraId="61973349" w14:textId="021F2DD5" w:rsidR="00807DF2" w:rsidRDefault="00807DF2" w:rsidP="00807DF2">
      <w:pPr>
        <w:pStyle w:val="Textebrut"/>
      </w:pPr>
      <w:r>
        <w:t xml:space="preserve">Situation en ville : tension. Situation à l'hôpital : tension. Lettre d’information du laboratoire </w:t>
      </w:r>
      <w:proofErr w:type="spellStart"/>
      <w:r>
        <w:t>Serb</w:t>
      </w:r>
      <w:proofErr w:type="spellEnd"/>
      <w:r>
        <w:t xml:space="preserve"> en date du 31/10/2024 à l'attention des professionnels de santé ayant reçu des lots de </w:t>
      </w:r>
      <w:proofErr w:type="spellStart"/>
      <w:r>
        <w:t>Cyanokit</w:t>
      </w:r>
      <w:proofErr w:type="spellEnd"/>
      <w:r>
        <w:t xml:space="preserve"> 5 g n°2406, 2408 et 2409 </w:t>
      </w:r>
      <w:r>
        <w:lastRenderedPageBreak/>
        <w:t xml:space="preserve">(07/11/2024). </w:t>
      </w:r>
      <w:hyperlink r:id="rId152" w:history="1">
        <w:r w:rsidR="00056433" w:rsidRPr="00056433">
          <w:rPr>
            <w:rStyle w:val="Lienhypertexte"/>
          </w:rPr>
          <w:t>Règles de bon usage dans le contexte actuel de tensions d'approvisionnement</w:t>
        </w:r>
      </w:hyperlink>
      <w:r w:rsidR="00056433" w:rsidRPr="00056433">
        <w:t xml:space="preserve">. </w:t>
      </w:r>
      <w:r>
        <w:t>Date de remise à disposition prévue : 2e trimestre 2025</w:t>
      </w:r>
    </w:p>
    <w:p w14:paraId="003A101C" w14:textId="2E4B2931" w:rsidR="00683E8F" w:rsidRDefault="00C53717" w:rsidP="00683E8F">
      <w:pPr>
        <w:pStyle w:val="Textebrut"/>
      </w:pPr>
      <w:hyperlink r:id="rId153" w:history="1">
        <w:r w:rsidR="00807DF2" w:rsidRPr="00820589">
          <w:rPr>
            <w:rStyle w:val="Lienhypertexte"/>
          </w:rPr>
          <w:t>https://ansm.sante.fr/disponibilites-des-produits-de-sante/medicaments/cyanokit-5-g-poudre-pour-solution-pour-perfusion-hydroxocobalamine</w:t>
        </w:r>
      </w:hyperlink>
    </w:p>
    <w:p w14:paraId="541874F1" w14:textId="77777777" w:rsidR="00056433" w:rsidRDefault="00056433" w:rsidP="007C06F6">
      <w:pPr>
        <w:pStyle w:val="Textebrut"/>
      </w:pPr>
    </w:p>
    <w:p w14:paraId="739B8DEE" w14:textId="5C7D75AE" w:rsidR="007C06F6" w:rsidRDefault="007C06F6" w:rsidP="007C06F6">
      <w:pPr>
        <w:pStyle w:val="Textebrut"/>
      </w:pPr>
      <w:r>
        <w:t>Clarithromycine : recommandations de bon usage pour contribuer à garantir la couverture des besoins des patients (ANSM, actualisation du 12/11/2024).</w:t>
      </w:r>
    </w:p>
    <w:p w14:paraId="31A0D0EF" w14:textId="4F5E8C67" w:rsidR="007C06F6" w:rsidRDefault="007C06F6" w:rsidP="007C06F6">
      <w:pPr>
        <w:pStyle w:val="Textebrut"/>
      </w:pPr>
      <w:r>
        <w:t>Dans le contexte de pénuries locales, nous publions une monographie décrivant les modalités de réalisation de préparations magistrales de clarithromycine en gélules (non destinées à être ouvertes) de 250 mg et 500 mg. Elle permet, à titre exceptionnel et temporaire, et sur prescription médicale d’une telle préparation, d’accompagner la réalisation standardisée de préparations magistrales. Cette monographie peut être utilisée par les officines exerçant l’activité de sous-traitance et autorisées à réaliser des préparations destinées aux enfants de moins de 12 ans</w:t>
      </w:r>
    </w:p>
    <w:p w14:paraId="624A627F" w14:textId="77777777" w:rsidR="00B56274" w:rsidRDefault="00C53717" w:rsidP="00B56274">
      <w:pPr>
        <w:pStyle w:val="Textebrut"/>
      </w:pPr>
      <w:hyperlink r:id="rId154" w:history="1">
        <w:r w:rsidR="00B56274" w:rsidRPr="00097206">
          <w:rPr>
            <w:rStyle w:val="Lienhypertexte"/>
          </w:rPr>
          <w:t>https://ansm.sante.fr/actualites/clarithromycine-recommandations-de-bon-usage-pour-contribuer-a-garantir-la-couverture-des-besoins-des-patients</w:t>
        </w:r>
      </w:hyperlink>
    </w:p>
    <w:p w14:paraId="017C22D7" w14:textId="77777777" w:rsidR="007C06F6" w:rsidRDefault="007C06F6" w:rsidP="007C06F6">
      <w:pPr>
        <w:pStyle w:val="Textebrut"/>
      </w:pPr>
      <w:r>
        <w:t>Consultez la monographie de préparation magistrale de Clarithromycine 250 et 500 mg, gélules</w:t>
      </w:r>
    </w:p>
    <w:p w14:paraId="65FFDE8B" w14:textId="10C2B235" w:rsidR="00B56274" w:rsidRDefault="00C53717" w:rsidP="007C06F6">
      <w:pPr>
        <w:pStyle w:val="Textebrut"/>
      </w:pPr>
      <w:hyperlink r:id="rId155" w:history="1">
        <w:r w:rsidR="00B56274" w:rsidRPr="00097206">
          <w:rPr>
            <w:rStyle w:val="Lienhypertexte"/>
          </w:rPr>
          <w:t>https://ansm.sante.fr/uploads/2024/11/12/20241104-monographie-clarithromycine-gelules-2.pdf</w:t>
        </w:r>
      </w:hyperlink>
    </w:p>
    <w:p w14:paraId="3252601A" w14:textId="77777777" w:rsidR="00B56274" w:rsidRDefault="00B56274" w:rsidP="007C06F6">
      <w:pPr>
        <w:pStyle w:val="Textebrut"/>
      </w:pPr>
    </w:p>
    <w:p w14:paraId="3BE020D6" w14:textId="77777777" w:rsidR="00EE56DA" w:rsidRDefault="00EE56DA" w:rsidP="00EE56DA">
      <w:pPr>
        <w:pStyle w:val="Textebrut"/>
      </w:pPr>
      <w:r>
        <w:t>Tensions d’approvisionnement en clarithromycine 25 mg/ml (suspension buvable) : nos préconisations pour assurer le traitement des plus jeunes enfants (ANSM, 28/11/2024).</w:t>
      </w:r>
    </w:p>
    <w:p w14:paraId="20587AA6" w14:textId="77777777" w:rsidR="00EE56DA" w:rsidRDefault="00EE56DA" w:rsidP="00EE56DA">
      <w:pPr>
        <w:pStyle w:val="Textebrut"/>
      </w:pPr>
      <w:r>
        <w:t>Les tensions en clarithromycine suspension buvable à 25 mg/ml observées sur l’ensemble du territoire depuis plusieurs semaines s’intensifient. Afin d’assurer la continuité de traitement des plus jeunes enfants, nous avons élaboré des préconisations pour les professionnels de santé et les parents. Ainsi, nous demandons de réserver la clarithromycine buvable à 25 mg/ml aux enfants de moins de 4 kg.</w:t>
      </w:r>
    </w:p>
    <w:p w14:paraId="7D660206" w14:textId="77777777" w:rsidR="00EE56DA" w:rsidRDefault="00EE56DA" w:rsidP="00EE56DA">
      <w:pPr>
        <w:pStyle w:val="Textebrut"/>
      </w:pPr>
      <w:r>
        <w:t>En remplacement de la clarithromycine à 25 mg/ml, la clarithromycine à 50 mg/ml ou l’azithromycine à 40 mg/ml sous forme buvable peuvent être prescrites dans le respect des recommandations de bon usage de la clarithromycine</w:t>
      </w:r>
    </w:p>
    <w:p w14:paraId="7057C320" w14:textId="4F048ED2" w:rsidR="00EE56DA" w:rsidRDefault="00C53717" w:rsidP="00EE56DA">
      <w:pPr>
        <w:pStyle w:val="Textebrut"/>
      </w:pPr>
      <w:hyperlink r:id="rId156" w:history="1">
        <w:r w:rsidR="00EE56DA" w:rsidRPr="004539CD">
          <w:rPr>
            <w:rStyle w:val="Lienhypertexte"/>
          </w:rPr>
          <w:t>https://ansm.sante.fr/actualites/tensions-dapprovisionnement-en-clarithromycine-25-mg-ml-suspension-buvable-nos-preconisations-pour-assurer-le-traitement-des-plus-jeunes-enfants</w:t>
        </w:r>
      </w:hyperlink>
    </w:p>
    <w:p w14:paraId="03EBF4D3" w14:textId="77777777" w:rsidR="00EE56DA" w:rsidRDefault="00EE56DA" w:rsidP="00EE56DA">
      <w:pPr>
        <w:pStyle w:val="Textebrut"/>
      </w:pPr>
    </w:p>
    <w:p w14:paraId="6D0E63C3" w14:textId="3D9115EE" w:rsidR="00776165" w:rsidRDefault="00776165" w:rsidP="007C06F6">
      <w:pPr>
        <w:pStyle w:val="Textebrut"/>
      </w:pPr>
      <w:r>
        <w:t>Vitamine B12 injectable et buvable : préférez les comprimés aux ampoules pour l’usage par voie orale (ANSM, actualisation</w:t>
      </w:r>
      <w:r w:rsidR="00404D63">
        <w:t>s</w:t>
      </w:r>
      <w:r>
        <w:t xml:space="preserve"> du 04/11/2024</w:t>
      </w:r>
      <w:r w:rsidR="00404D63">
        <w:t xml:space="preserve"> et du 21/11/2024</w:t>
      </w:r>
      <w:r>
        <w:t>).</w:t>
      </w:r>
    </w:p>
    <w:p w14:paraId="5C1623FA" w14:textId="77777777" w:rsidR="00776165" w:rsidRDefault="00776165" w:rsidP="00776165">
      <w:pPr>
        <w:pStyle w:val="Textebrut"/>
      </w:pPr>
      <w:r>
        <w:t>Nous avons été informés par les laboratoires concernés que les approvisionnements en vitamine B12 injectable et buvable restent insuffisants et que la situation ne s’améliorera pas avant le début de l’année 2025 dans les pharmacies de ville. Dans ce contexte, nous rappelons que l’utilisation de la vitamine B12 injectable et buvable doit être réservée autant que possible aux patients qui ont besoin d’être traités par voie intramusculaire, ou dans le cadre de certaines chimiothérapies.</w:t>
      </w:r>
    </w:p>
    <w:p w14:paraId="586F1CA3" w14:textId="5BB27D5E" w:rsidR="00776165" w:rsidRDefault="00776165" w:rsidP="00776165">
      <w:pPr>
        <w:pStyle w:val="Textebrut"/>
      </w:pPr>
      <w:r>
        <w:t>En lien avec les professionnels de santé, nous avons renforcé la conduite à tenir à destination des pharmaciens et des médecins. Consultez le courrier destiné aux professionnels de santé (04/11/2024)</w:t>
      </w:r>
      <w:r w:rsidR="00404D63">
        <w:t>.</w:t>
      </w:r>
    </w:p>
    <w:p w14:paraId="4A709289" w14:textId="35261B3E" w:rsidR="00404D63" w:rsidRDefault="00C53717" w:rsidP="00776165">
      <w:pPr>
        <w:pStyle w:val="Textebrut"/>
      </w:pPr>
      <w:hyperlink r:id="rId157" w:history="1">
        <w:r w:rsidR="00404D63" w:rsidRPr="00404D63">
          <w:rPr>
            <w:rStyle w:val="Lienhypertexte"/>
          </w:rPr>
          <w:t>Consultez la mise à jour du courrier aux professionnels de santé</w:t>
        </w:r>
      </w:hyperlink>
      <w:r w:rsidR="00404D63">
        <w:t xml:space="preserve"> (21/11/2024)</w:t>
      </w:r>
    </w:p>
    <w:p w14:paraId="1F338DD4" w14:textId="0CA717C9" w:rsidR="00776165" w:rsidRDefault="00C53717" w:rsidP="00776165">
      <w:pPr>
        <w:pStyle w:val="Textebrut"/>
      </w:pPr>
      <w:hyperlink r:id="rId158" w:history="1">
        <w:r w:rsidR="00776165" w:rsidRPr="00B2418E">
          <w:rPr>
            <w:rStyle w:val="Lienhypertexte"/>
          </w:rPr>
          <w:t>https://ansm.sante.fr/actualites/vitamine-b12-injectable-et-buvable-preferez-les-comprimes-aux-ampoules-pour-lusage-par-voie-orale</w:t>
        </w:r>
      </w:hyperlink>
    </w:p>
    <w:p w14:paraId="261722AD" w14:textId="77777777" w:rsidR="00776165" w:rsidRDefault="00776165" w:rsidP="00776165">
      <w:pPr>
        <w:pStyle w:val="Textebrut"/>
      </w:pPr>
    </w:p>
    <w:p w14:paraId="3E33C996" w14:textId="77777777" w:rsidR="00404D63" w:rsidRDefault="00404D63" w:rsidP="00404D63">
      <w:pPr>
        <w:pStyle w:val="Textebrut"/>
      </w:pPr>
      <w:r>
        <w:t>Vitamine B12 Gerda 1000 µg/4 ml, solution injectable (IM) et buvable – [cyanocobalamine] – Tension d’approvisionnement depuis le 03/07/2024 (ANSM, actualisation du 21/11/2024).</w:t>
      </w:r>
    </w:p>
    <w:p w14:paraId="63C94819" w14:textId="77777777" w:rsidR="00404D63" w:rsidRDefault="00404D63" w:rsidP="00404D63">
      <w:pPr>
        <w:pStyle w:val="Textebrut"/>
      </w:pPr>
      <w:r>
        <w:t xml:space="preserve">Tension d'approvisionnement de la spécialité Vitamine B12 Gerda 1000 µg/4 ml, solution injectable (IM) et buvable. Contingentement qualitatif. La distribution depuis le dépositaire vers les hôpitaux reste assurée à hauteur des besoins. Un stock de dépannage </w:t>
      </w:r>
      <w:r w:rsidRPr="00843542">
        <w:rPr>
          <w:b/>
          <w:bCs/>
        </w:rPr>
        <w:t>très limité</w:t>
      </w:r>
      <w:r>
        <w:t xml:space="preserve"> est disponible pour les situations d'urgence correspondant aux indications décrites dans la lettre d'information. Lettre d'information destinée aux pharmaciens d’officine et Pharmaciens des PUI, médecins généralistes et hématologues en date du 20/11/2024. Remise à disposition normale indéterminée. Vitamine B12 injectable et buvable : préférez les comprimés aux ampoules pour l’usage par voie orale</w:t>
      </w:r>
    </w:p>
    <w:p w14:paraId="3BDFC14C" w14:textId="77777777" w:rsidR="00404D63" w:rsidRDefault="00C53717" w:rsidP="00404D63">
      <w:pPr>
        <w:pStyle w:val="Textebrut"/>
      </w:pPr>
      <w:hyperlink r:id="rId159" w:history="1">
        <w:r w:rsidR="00404D63" w:rsidRPr="00112EC1">
          <w:rPr>
            <w:rStyle w:val="Lienhypertexte"/>
          </w:rPr>
          <w:t>https://ansm.sante.fr/disponibilites-des-produits-de-sante/medicaments/vitamine-b12-gerda-1000-ug-4-ml-solution-injectable-im-et-buvable-cyanocobalamine</w:t>
        </w:r>
      </w:hyperlink>
    </w:p>
    <w:p w14:paraId="1A5DF9A8" w14:textId="77777777" w:rsidR="00404D63" w:rsidRDefault="00404D63" w:rsidP="00404D63">
      <w:pPr>
        <w:pStyle w:val="Textebrut"/>
      </w:pPr>
    </w:p>
    <w:p w14:paraId="12074EC3" w14:textId="075D1E3F" w:rsidR="00404D63" w:rsidRDefault="00404D63" w:rsidP="00404D63">
      <w:pPr>
        <w:pStyle w:val="Textebrut"/>
      </w:pPr>
      <w:r>
        <w:t>Vitamine B12 Delagrange 1000 microgrammes/2 ml, solution injectable (IM) et buvable – [cyanocobalamine] – Tension d’approvisionnement depuis le 17/07/2024 (ANSM, actualisation du 21/11/2024).</w:t>
      </w:r>
    </w:p>
    <w:p w14:paraId="3D6553A0" w14:textId="77777777" w:rsidR="00404D63" w:rsidRDefault="00404D63" w:rsidP="00404D63">
      <w:pPr>
        <w:pStyle w:val="Textebrut"/>
      </w:pPr>
      <w:r>
        <w:t>Tension d'approvisionnement de la spécialité Vitamine B12 Delagrange 1000 microgrammes/2 ml, solution injectable (IM) et buvable. Contingentement qualitatif.</w:t>
      </w:r>
    </w:p>
    <w:p w14:paraId="7345F138" w14:textId="77777777" w:rsidR="00404D63" w:rsidRDefault="00404D63" w:rsidP="00404D63">
      <w:pPr>
        <w:pStyle w:val="Textebrut"/>
      </w:pPr>
      <w:r>
        <w:t xml:space="preserve"> La distribution depuis le dépositaire vers les hôpitaux reste assurée à hauteur des besoins. Un stock de dépannage </w:t>
      </w:r>
      <w:r w:rsidRPr="00404D63">
        <w:rPr>
          <w:b/>
          <w:bCs/>
        </w:rPr>
        <w:t>très limité</w:t>
      </w:r>
      <w:r>
        <w:t xml:space="preserve"> est disponible pour les situations d'urgence correspondant aux indications décrites dans la lettre d'information. Lettre d'information destinée aux pharmaciens d’officine et pharmaciens des PUI, médecins généralistes et hématologues en date du 20/11/2024. Remise à disposition normale indéterminée. Vitamine B12 injectable et buvable : préférez les comprimés aux ampoules pour l’usage par voie orale</w:t>
      </w:r>
    </w:p>
    <w:p w14:paraId="5CADFCA9" w14:textId="5D43F837" w:rsidR="00683E8F" w:rsidRDefault="00C53717" w:rsidP="00404D63">
      <w:pPr>
        <w:pStyle w:val="Textebrut"/>
      </w:pPr>
      <w:hyperlink r:id="rId160" w:history="1">
        <w:r w:rsidR="00404D63" w:rsidRPr="00112EC1">
          <w:rPr>
            <w:rStyle w:val="Lienhypertexte"/>
          </w:rPr>
          <w:t>https://ansm.sante.fr/disponibilites-des-produits-de-sante/medicaments/vitamine-b12-delagrange-1000-microgrammes-2-ml-solution-injectable-im-et-buvable-cyanocobalamine</w:t>
        </w:r>
      </w:hyperlink>
    </w:p>
    <w:p w14:paraId="3DC43025" w14:textId="77777777" w:rsidR="00847A83" w:rsidRDefault="00847A83" w:rsidP="00117E20">
      <w:pPr>
        <w:pStyle w:val="Textebrut"/>
      </w:pPr>
    </w:p>
    <w:p w14:paraId="37CFB34C" w14:textId="77777777" w:rsidR="00AB49A5" w:rsidRDefault="00AB49A5" w:rsidP="00AB49A5">
      <w:pPr>
        <w:pStyle w:val="Textebrut"/>
      </w:pPr>
      <w:r>
        <w:t>Difficultés d'approvisionnement en méthylphénidate : l’ANSM publie des recommandations pour les pharmaciens (ANSM, actualisation du 04/11/2024)</w:t>
      </w:r>
    </w:p>
    <w:p w14:paraId="361E3337" w14:textId="77777777" w:rsidR="00AB49A5" w:rsidRDefault="00AB49A5" w:rsidP="00AB49A5">
      <w:pPr>
        <w:pStyle w:val="Textebrut"/>
      </w:pPr>
      <w:r>
        <w:t>Dans le contexte des difficultés d’approvisionnement de Concerta LP et ses génériques (tous dosages), nous mettons à jour notre recommandation permettant le remplacement par les pharmaciens, sans présentation d'une nouvelle ordonnance par le patient</w:t>
      </w:r>
    </w:p>
    <w:p w14:paraId="24F3C24D" w14:textId="35AF2AF5" w:rsidR="00AB49A5" w:rsidRDefault="00C53717" w:rsidP="00361AD6">
      <w:pPr>
        <w:pStyle w:val="Textebrut"/>
      </w:pPr>
      <w:hyperlink r:id="rId161" w:history="1">
        <w:r w:rsidR="00AB49A5" w:rsidRPr="00B2418E">
          <w:rPr>
            <w:rStyle w:val="Lienhypertexte"/>
          </w:rPr>
          <w:t>https://ansm.sante.fr/actualites/difficultes-dapprovisionnement-en-methylphenidate-lansm-publie-des-recommandations-pour-les-pharmaciens</w:t>
        </w:r>
      </w:hyperlink>
    </w:p>
    <w:p w14:paraId="17F2F6B8" w14:textId="77777777" w:rsidR="00AB49A5" w:rsidRDefault="00AB49A5" w:rsidP="00361AD6">
      <w:pPr>
        <w:pStyle w:val="Textebrut"/>
      </w:pPr>
    </w:p>
    <w:p w14:paraId="3AC0FC3B" w14:textId="77777777" w:rsidR="008D2CFF" w:rsidRDefault="008D2CFF" w:rsidP="008D2CFF">
      <w:pPr>
        <w:pStyle w:val="Textebrut"/>
      </w:pPr>
      <w:r>
        <w:t>Concerta LP, comprimé à libération prolongée – [méthylphénidate (chlorhydrate de)] – Tension d’approvisionnement depuis le 09/06/2022 (ANSM, actualisation du 04/11/2024).</w:t>
      </w:r>
    </w:p>
    <w:p w14:paraId="189943DE" w14:textId="77777777" w:rsidR="008D2CFF" w:rsidRDefault="008D2CFF" w:rsidP="008D2CFF">
      <w:pPr>
        <w:pStyle w:val="Textebrut"/>
      </w:pPr>
      <w:r>
        <w:t>Tension d’approvisionnement des spécialités Concerta LP 18 mg, comprimé à libération prolongée et Concerta LP 54 mg, comprimé à libération prolongée avec distribution contingentée en ville. Rupture de stock de la spécialité Concerta LP 36 mg, comprimé à libération prolongée. Remise à disposition normale indéterminée. Consultez les recommandations pour les pharmaciens</w:t>
      </w:r>
    </w:p>
    <w:p w14:paraId="59153140" w14:textId="4F7E857C" w:rsidR="008D2CFF" w:rsidRDefault="00C53717" w:rsidP="008D2CFF">
      <w:pPr>
        <w:pStyle w:val="Textebrut"/>
      </w:pPr>
      <w:hyperlink r:id="rId162" w:history="1">
        <w:r w:rsidR="008D2CFF" w:rsidRPr="00B2418E">
          <w:rPr>
            <w:rStyle w:val="Lienhypertexte"/>
          </w:rPr>
          <w:t>https://ansm.sante.fr/disponibilites-des-produits-de-sante/medicaments/concerta-lp-comprime-a-liberation-prolongee-methylphenidate-chlorhydrate-de</w:t>
        </w:r>
      </w:hyperlink>
    </w:p>
    <w:p w14:paraId="35BFA670" w14:textId="77777777" w:rsidR="008D2CFF" w:rsidRDefault="008D2CFF" w:rsidP="008D2CFF">
      <w:pPr>
        <w:pStyle w:val="Textebrut"/>
      </w:pPr>
      <w:r>
        <w:t>Méthylphénidate Biogaran LP, comprimé à libération prolongée – [méthylphénidate (chlorhydrate de)] – Tension d’approvisionnement depuis le 11/03/2024 (ANSM, actualisation du 04/11/2024).</w:t>
      </w:r>
    </w:p>
    <w:p w14:paraId="1460E524" w14:textId="77777777" w:rsidR="008D2CFF" w:rsidRDefault="008D2CFF" w:rsidP="008D2CFF">
      <w:pPr>
        <w:pStyle w:val="Textebrut"/>
      </w:pPr>
      <w:r>
        <w:t>Remise à disposition de la spécialité Méthylphénidate Biogaran LP 54 mg, comprimé à libération prolongée. Tension d'approvisionnement de la spécialité Méthylphénidate Biogaran LP 36 mg, comprimé à libération prolongée avec distribution contingentée en ville. Rupture de stock de la spécialité Méthylphénidate Biogaran LP 18 mg, comprimé à libération prolongée. Remise à disposition normale fin 2024. Consultez les recommandations pour les pharmaciens</w:t>
      </w:r>
    </w:p>
    <w:p w14:paraId="371DD5FF" w14:textId="025DF70F" w:rsidR="008D2CFF" w:rsidRDefault="00C53717" w:rsidP="008D2CFF">
      <w:pPr>
        <w:pStyle w:val="Textebrut"/>
      </w:pPr>
      <w:hyperlink r:id="rId163" w:history="1">
        <w:r w:rsidR="008D2CFF" w:rsidRPr="00B2418E">
          <w:rPr>
            <w:rStyle w:val="Lienhypertexte"/>
          </w:rPr>
          <w:t>https://ansm.sante.fr/disponibilites-des-produits-de-sante/medicaments/methylphenidate-biogaran-lp-comprime-a-liberation-prolongee-methylphenidate-chlorhydrate-de</w:t>
        </w:r>
      </w:hyperlink>
    </w:p>
    <w:p w14:paraId="511F1DD3" w14:textId="77777777" w:rsidR="008D2CFF" w:rsidRDefault="008D2CFF" w:rsidP="008D2CFF">
      <w:pPr>
        <w:pStyle w:val="Textebrut"/>
      </w:pPr>
    </w:p>
    <w:p w14:paraId="2928E8C3" w14:textId="77777777" w:rsidR="00F6176B" w:rsidRDefault="00F6176B" w:rsidP="00F6176B">
      <w:pPr>
        <w:pStyle w:val="Textebrut"/>
      </w:pPr>
      <w:r>
        <w:t>Méthylphénidate EG LP 18 mg et 54 mg, comprimé à libération prolongée – [méthylphénidate (chlorhydrate de)] – Rupture de stock depuis le 12/11/2024 (ANSM, 14/11/2024).</w:t>
      </w:r>
    </w:p>
    <w:p w14:paraId="21763810" w14:textId="77777777" w:rsidR="00F6176B" w:rsidRDefault="00F6176B" w:rsidP="00F6176B">
      <w:pPr>
        <w:pStyle w:val="Textebrut"/>
      </w:pPr>
      <w:r>
        <w:t>Situation en ville : rupture. Situation à l'hôpital : rupture. Consultez les recommandations pour les pharmaciens. Date de remise à disposition prévue : courant mars 2025</w:t>
      </w:r>
    </w:p>
    <w:p w14:paraId="4F5192A1" w14:textId="77777777" w:rsidR="00F6176B" w:rsidRDefault="00C53717" w:rsidP="00F6176B">
      <w:pPr>
        <w:pStyle w:val="Textebrut"/>
      </w:pPr>
      <w:hyperlink r:id="rId164" w:history="1">
        <w:r w:rsidR="00F6176B" w:rsidRPr="0081582C">
          <w:rPr>
            <w:rStyle w:val="Lienhypertexte"/>
          </w:rPr>
          <w:t>https://ansm.sante.fr/disponibilites-des-produits-de-sante/medicaments/methylphenidate-eg-lp-18-mg-et-54-mg-comprime-a-liberation-prolongee-methylphenidate-chlorhydrate-de</w:t>
        </w:r>
      </w:hyperlink>
    </w:p>
    <w:p w14:paraId="5E52CA54" w14:textId="77777777" w:rsidR="00F6176B" w:rsidRDefault="00F6176B" w:rsidP="008D2CFF">
      <w:pPr>
        <w:pStyle w:val="Textebrut"/>
      </w:pPr>
    </w:p>
    <w:p w14:paraId="5B0E605F" w14:textId="77777777" w:rsidR="00952174" w:rsidRDefault="00952174" w:rsidP="00952174">
      <w:pPr>
        <w:pStyle w:val="Textebrut"/>
      </w:pPr>
      <w:r>
        <w:t>Ritaline LP 40 mg, gélule à libération prolongée – [méthylphénidate (chlorhydrate de)] – Remise à disposition à partir du 25/11/2024 (ANSM, 26/11/2024)</w:t>
      </w:r>
    </w:p>
    <w:p w14:paraId="605CB5BF" w14:textId="426E26B5" w:rsidR="00952174" w:rsidRDefault="00C53717" w:rsidP="00952174">
      <w:pPr>
        <w:pStyle w:val="Textebrut"/>
      </w:pPr>
      <w:hyperlink r:id="rId165" w:history="1">
        <w:r w:rsidR="00952174" w:rsidRPr="00DC2563">
          <w:rPr>
            <w:rStyle w:val="Lienhypertexte"/>
          </w:rPr>
          <w:t>https://ansm.sante.fr/disponibilites-des-produits-de-sante/medicaments/ritaline-lp-40-mg-gelule-a-liberation-prolongee-methylphenidate-chlorhydrate-de</w:t>
        </w:r>
      </w:hyperlink>
    </w:p>
    <w:p w14:paraId="30EE4F9A" w14:textId="77777777" w:rsidR="00952174" w:rsidRDefault="00952174" w:rsidP="00952174">
      <w:pPr>
        <w:pStyle w:val="Textebrut"/>
      </w:pPr>
    </w:p>
    <w:p w14:paraId="2997E532" w14:textId="77777777" w:rsidR="00952174" w:rsidRDefault="00952174" w:rsidP="00952174">
      <w:pPr>
        <w:pStyle w:val="Textebrut"/>
      </w:pPr>
      <w:r>
        <w:t>Méthylphénidate Biogaran LP, comprimé à libération prolongée – [méthylphénidate (chlorhydrate de)] – Tension d’approvisionnement depuis le 11/03/2024 (ANSM, actualisation du 26/11/2024).</w:t>
      </w:r>
    </w:p>
    <w:p w14:paraId="43408435" w14:textId="77777777" w:rsidR="00952174" w:rsidRDefault="00952174" w:rsidP="00952174">
      <w:pPr>
        <w:pStyle w:val="Textebrut"/>
      </w:pPr>
      <w:r>
        <w:t xml:space="preserve">Remise à disposition des spécialités </w:t>
      </w:r>
      <w:proofErr w:type="spellStart"/>
      <w:r>
        <w:t>Méthyphénidate</w:t>
      </w:r>
      <w:proofErr w:type="spellEnd"/>
      <w:r>
        <w:t xml:space="preserve"> Biogaran LP 18 mg, comprimé à libération prolongée et </w:t>
      </w:r>
      <w:proofErr w:type="spellStart"/>
      <w:r>
        <w:t>Méthyphénidate</w:t>
      </w:r>
      <w:proofErr w:type="spellEnd"/>
      <w:r>
        <w:t xml:space="preserve"> Biogaran LP 54 mg, comprimé à libération prolongée. Tension d'approvisionnement de la spécialité </w:t>
      </w:r>
      <w:proofErr w:type="spellStart"/>
      <w:r>
        <w:t>Méthyphénidate</w:t>
      </w:r>
      <w:proofErr w:type="spellEnd"/>
      <w:r>
        <w:t xml:space="preserve"> Biogaran LP 36 mg, comprimé à libération prolongée avec distribution contingentée en ville. Remise à disposition normale premier trimestre 2025. Consultez les recommandations pour les pharmaciens</w:t>
      </w:r>
    </w:p>
    <w:p w14:paraId="31711A15" w14:textId="7EFBD086" w:rsidR="00952174" w:rsidRDefault="00C53717" w:rsidP="00952174">
      <w:pPr>
        <w:pStyle w:val="Textebrut"/>
      </w:pPr>
      <w:hyperlink r:id="rId166" w:history="1">
        <w:r w:rsidR="00952174" w:rsidRPr="00DC2563">
          <w:rPr>
            <w:rStyle w:val="Lienhypertexte"/>
          </w:rPr>
          <w:t>https://ansm.sante.fr/disponibilites-des-produits-de-sante/medicaments/methylphenidate-biogaran-lp-comprime-a-liberation-prolongee-methylphenidate-chlorhydrate-de</w:t>
        </w:r>
      </w:hyperlink>
    </w:p>
    <w:p w14:paraId="3637A3A5" w14:textId="77777777" w:rsidR="00952174" w:rsidRDefault="00952174" w:rsidP="00952174">
      <w:pPr>
        <w:pStyle w:val="Textebrut"/>
      </w:pPr>
    </w:p>
    <w:p w14:paraId="2D4E6E62" w14:textId="77777777" w:rsidR="00952174" w:rsidRDefault="00952174" w:rsidP="00952174">
      <w:pPr>
        <w:pStyle w:val="Textebrut"/>
      </w:pPr>
    </w:p>
    <w:p w14:paraId="5B4DD45C" w14:textId="77777777" w:rsidR="00F6176B" w:rsidRDefault="00F6176B" w:rsidP="00F6176B">
      <w:pPr>
        <w:pStyle w:val="Textebrut"/>
      </w:pPr>
      <w:r>
        <w:t xml:space="preserve">Point de situation sur la disponibilité de </w:t>
      </w:r>
      <w:proofErr w:type="spellStart"/>
      <w:r>
        <w:t>Tsoludose</w:t>
      </w:r>
      <w:proofErr w:type="spellEnd"/>
      <w:r>
        <w:t xml:space="preserve"> (solution buvable en récipient unidose) (ANSM, actualisation du 15/11/2024).</w:t>
      </w:r>
    </w:p>
    <w:p w14:paraId="53D8B01A" w14:textId="77777777" w:rsidR="00F6176B" w:rsidRDefault="00F6176B" w:rsidP="00F6176B">
      <w:pPr>
        <w:pStyle w:val="Textebrut"/>
      </w:pPr>
      <w:r>
        <w:t xml:space="preserve">À partir de mars 2025, le médicament </w:t>
      </w:r>
      <w:proofErr w:type="spellStart"/>
      <w:r>
        <w:t>Tsoludose</w:t>
      </w:r>
      <w:proofErr w:type="spellEnd"/>
      <w:r>
        <w:t xml:space="preserve"> et son équivalent importé </w:t>
      </w:r>
      <w:proofErr w:type="spellStart"/>
      <w:r>
        <w:t>Tirosint</w:t>
      </w:r>
      <w:proofErr w:type="spellEnd"/>
      <w:r>
        <w:t xml:space="preserve"> Solution ne seront plus disponibles en France.</w:t>
      </w:r>
    </w:p>
    <w:p w14:paraId="3AE8B7C0" w14:textId="77777777" w:rsidR="00F6176B" w:rsidRDefault="00F6176B" w:rsidP="00F6176B">
      <w:pPr>
        <w:pStyle w:val="Textebrut"/>
      </w:pPr>
      <w:r>
        <w:t xml:space="preserve">Nous rappelons aux médecins prescripteurs qu’ils ne doivent plus initier de traitement avec </w:t>
      </w:r>
      <w:proofErr w:type="spellStart"/>
      <w:r>
        <w:t>Tsoludose</w:t>
      </w:r>
      <w:proofErr w:type="spellEnd"/>
      <w:r>
        <w:t xml:space="preserve"> ou </w:t>
      </w:r>
      <w:proofErr w:type="spellStart"/>
      <w:r>
        <w:t>Tirosint</w:t>
      </w:r>
      <w:proofErr w:type="spellEnd"/>
      <w:r>
        <w:t xml:space="preserve"> Solution et qu’il est important d’accompagner </w:t>
      </w:r>
      <w:proofErr w:type="gramStart"/>
      <w:r>
        <w:t>les patient</w:t>
      </w:r>
      <w:proofErr w:type="gramEnd"/>
      <w:r>
        <w:t xml:space="preserve"> vers un traitement alternatif à base de lévothyroxine, selon les recommandations publiées ci-dessous. Nous rappelons aux pharmaciens qu’ils doivent conseiller les patients de contacter rapidement leur médecin pour déterminer quelle alternative leur conviendra le mieux.</w:t>
      </w:r>
    </w:p>
    <w:p w14:paraId="0CDE2695" w14:textId="77777777" w:rsidR="00F6176B" w:rsidRDefault="00F6176B" w:rsidP="00F6176B">
      <w:pPr>
        <w:pStyle w:val="Textebrut"/>
      </w:pPr>
      <w:r>
        <w:t>À notre demande, le laboratoire IBSA Pharma transmet une lettre d’information à l’attention des médecins et pharmaciens d’officine</w:t>
      </w:r>
    </w:p>
    <w:p w14:paraId="417ACFD6" w14:textId="77777777" w:rsidR="00F6176B" w:rsidRDefault="00C53717" w:rsidP="00F6176B">
      <w:pPr>
        <w:pStyle w:val="Textebrut"/>
      </w:pPr>
      <w:hyperlink r:id="rId167" w:history="1">
        <w:r w:rsidR="00F6176B" w:rsidRPr="0081582C">
          <w:rPr>
            <w:rStyle w:val="Lienhypertexte"/>
          </w:rPr>
          <w:t>https://ansm.sante.fr/actualites/point-de-situation-sur-la-disponibilite-de-tsoludose-solution-buvable-en-recipient-unidose</w:t>
        </w:r>
      </w:hyperlink>
    </w:p>
    <w:p w14:paraId="511BF6E4" w14:textId="77777777" w:rsidR="008F425E" w:rsidRDefault="008F425E" w:rsidP="008F425E">
      <w:pPr>
        <w:pStyle w:val="Textebrut"/>
      </w:pPr>
      <w:proofErr w:type="spellStart"/>
      <w:r>
        <w:t>Tsoludose</w:t>
      </w:r>
      <w:proofErr w:type="spellEnd"/>
      <w:r>
        <w:t>, solution buvable en récipient unidose – [lévothyroxine] – Arrêt de commercialisation à partir du 01/03/2025 (ANSM, actualisation du 26/11/2024).</w:t>
      </w:r>
    </w:p>
    <w:p w14:paraId="38DB72A1" w14:textId="77777777" w:rsidR="008F425E" w:rsidRDefault="008F425E" w:rsidP="008F425E">
      <w:pPr>
        <w:pStyle w:val="Textebrut"/>
      </w:pPr>
      <w:r>
        <w:t xml:space="preserve">Arrêt de commercialisation des spécialités </w:t>
      </w:r>
      <w:proofErr w:type="spellStart"/>
      <w:r>
        <w:t>Tsoludose</w:t>
      </w:r>
      <w:proofErr w:type="spellEnd"/>
      <w:r>
        <w:t xml:space="preserve">, solution buvable en récipient unidose (30 </w:t>
      </w:r>
      <w:proofErr w:type="spellStart"/>
      <w:r>
        <w:t>monodoses</w:t>
      </w:r>
      <w:proofErr w:type="spellEnd"/>
      <w:r>
        <w:t xml:space="preserve">). Mise à disposition exceptionnelle et transitoire d’unités de la spécialité </w:t>
      </w:r>
      <w:proofErr w:type="spellStart"/>
      <w:r>
        <w:t>Tirosint</w:t>
      </w:r>
      <w:proofErr w:type="spellEnd"/>
      <w:r>
        <w:t xml:space="preserve"> Solution 50 μg/1 ml, initialement destinées au marché suisse depuis le 04/10/2024. Mise à disposition exceptionnelle et transitoire d’unités de la spécialité </w:t>
      </w:r>
      <w:proofErr w:type="spellStart"/>
      <w:r>
        <w:t>Tirosint</w:t>
      </w:r>
      <w:proofErr w:type="spellEnd"/>
      <w:r>
        <w:t xml:space="preserve"> Solution 137 μg/1 ml, initialement destinées au marché suisse à partir du 01/11/2024. Lettre d'information du laboratoire </w:t>
      </w:r>
      <w:proofErr w:type="spellStart"/>
      <w:r>
        <w:t>Ibsa</w:t>
      </w:r>
      <w:proofErr w:type="spellEnd"/>
      <w:r>
        <w:t xml:space="preserve"> Pharma à l'attention des professionnels de santé (octobre 2024). Lettre d'information du laboratoire </w:t>
      </w:r>
      <w:proofErr w:type="spellStart"/>
      <w:r>
        <w:t>Ibsa</w:t>
      </w:r>
      <w:proofErr w:type="spellEnd"/>
      <w:r>
        <w:t xml:space="preserve"> Pharma à l'attention des patients (octobre 2024). Lettre d'information du laboratoire </w:t>
      </w:r>
      <w:proofErr w:type="spellStart"/>
      <w:r>
        <w:t>Ibsa</w:t>
      </w:r>
      <w:proofErr w:type="spellEnd"/>
      <w:r>
        <w:t xml:space="preserve"> Pharma à l'attention des professionnels de santé (novembre 2024)</w:t>
      </w:r>
    </w:p>
    <w:p w14:paraId="0C0D47D5" w14:textId="13FE56B0" w:rsidR="00F6176B" w:rsidRDefault="00C53717" w:rsidP="008F425E">
      <w:pPr>
        <w:pStyle w:val="Textebrut"/>
      </w:pPr>
      <w:hyperlink r:id="rId168" w:history="1">
        <w:r w:rsidR="008F425E" w:rsidRPr="00A868D1">
          <w:rPr>
            <w:rStyle w:val="Lienhypertexte"/>
          </w:rPr>
          <w:t>https://ansm.sante.fr/disponibilites-des-produits-de-sante/medicaments/tsoludose-solution-buvable-en-recipient-unidose-levothyroxine</w:t>
        </w:r>
      </w:hyperlink>
    </w:p>
    <w:p w14:paraId="6CFB7C20" w14:textId="77777777" w:rsidR="008F425E" w:rsidRDefault="008F425E" w:rsidP="008F425E">
      <w:pPr>
        <w:pStyle w:val="Textebrut"/>
      </w:pPr>
    </w:p>
    <w:p w14:paraId="75973C2B" w14:textId="77777777" w:rsidR="0028509C" w:rsidRDefault="0028509C" w:rsidP="0028509C">
      <w:pPr>
        <w:pStyle w:val="Textebrut"/>
      </w:pPr>
      <w:proofErr w:type="spellStart"/>
      <w:r>
        <w:t>Ribarivine</w:t>
      </w:r>
      <w:proofErr w:type="spellEnd"/>
      <w:r>
        <w:t xml:space="preserve"> Biogaran 200 mg/400 mg, comprimé pelliculé – [Ribavirine] – Arrêt de commercialisation depuis le 01/04/2021 (ANSM, actualisation du 31/10/2024).</w:t>
      </w:r>
    </w:p>
    <w:p w14:paraId="45EC3714" w14:textId="77777777" w:rsidR="0028509C" w:rsidRDefault="0028509C" w:rsidP="0028509C">
      <w:pPr>
        <w:pStyle w:val="Textebrut"/>
      </w:pPr>
      <w:r>
        <w:t xml:space="preserve">Mise à disposition à titre exceptionnel et transitoire par </w:t>
      </w:r>
      <w:proofErr w:type="spellStart"/>
      <w:r>
        <w:t>Intsel</w:t>
      </w:r>
      <w:proofErr w:type="spellEnd"/>
      <w:r>
        <w:t xml:space="preserve"> </w:t>
      </w:r>
      <w:proofErr w:type="spellStart"/>
      <w:r>
        <w:t>Chimos</w:t>
      </w:r>
      <w:proofErr w:type="spellEnd"/>
      <w:r>
        <w:t xml:space="preserve"> auprès des pharmacies hospitalières d’unités de la spécialité </w:t>
      </w:r>
      <w:proofErr w:type="spellStart"/>
      <w:r>
        <w:t>Ribavirin</w:t>
      </w:r>
      <w:proofErr w:type="spellEnd"/>
      <w:r>
        <w:t xml:space="preserve"> capsules 200 mg, initialement destinées au marché anglais. Lettre d’information du laboratoire </w:t>
      </w:r>
      <w:proofErr w:type="spellStart"/>
      <w:r>
        <w:t>Intsel</w:t>
      </w:r>
      <w:proofErr w:type="spellEnd"/>
      <w:r>
        <w:t xml:space="preserve"> </w:t>
      </w:r>
      <w:proofErr w:type="spellStart"/>
      <w:r>
        <w:t>Chimos</w:t>
      </w:r>
      <w:proofErr w:type="spellEnd"/>
      <w:r>
        <w:t xml:space="preserve"> en date du 28/04/2022 à l’attention des professionnels de santé (04/05/2022). Lettre d’information du laboratoire </w:t>
      </w:r>
      <w:proofErr w:type="spellStart"/>
      <w:r>
        <w:t>Intsel</w:t>
      </w:r>
      <w:proofErr w:type="spellEnd"/>
      <w:r>
        <w:t xml:space="preserve"> </w:t>
      </w:r>
      <w:proofErr w:type="spellStart"/>
      <w:r>
        <w:t>Chimos</w:t>
      </w:r>
      <w:proofErr w:type="spellEnd"/>
      <w:r>
        <w:t xml:space="preserve"> en date du 28/04/2022 à l’attention des patients (04/05/2022). Arrêt de commercialisation des spécialités de Ribavirine Biogaran 200mg </w:t>
      </w:r>
      <w:proofErr w:type="spellStart"/>
      <w:r>
        <w:t>cp</w:t>
      </w:r>
      <w:proofErr w:type="spellEnd"/>
      <w:r>
        <w:t xml:space="preserve"> et Ribavirine Biogaran 400 mg </w:t>
      </w:r>
      <w:proofErr w:type="spellStart"/>
      <w:r>
        <w:t>cp</w:t>
      </w:r>
      <w:proofErr w:type="spellEnd"/>
      <w:r>
        <w:t xml:space="preserve"> effectif depuis le 30/09/2021. Lettre d’information du laboratoire Biogaran en date du 19/11/2021 à l’attention des professionnels de santé (19/11/2021)</w:t>
      </w:r>
    </w:p>
    <w:p w14:paraId="09D2F94A" w14:textId="7FAFBEE2" w:rsidR="005C757B" w:rsidRDefault="00C53717" w:rsidP="0028509C">
      <w:pPr>
        <w:pStyle w:val="Textebrut"/>
      </w:pPr>
      <w:hyperlink r:id="rId169" w:history="1">
        <w:r w:rsidR="0028509C" w:rsidRPr="00B2418E">
          <w:rPr>
            <w:rStyle w:val="Lienhypertexte"/>
          </w:rPr>
          <w:t>https://ansm.sante.fr/disponibilites-des-produits-de-sante/medicaments/ribarivine-biogaran-200-mg-400-mg-comprime-pellicule-ribavirine</w:t>
        </w:r>
      </w:hyperlink>
    </w:p>
    <w:p w14:paraId="52EF1DBE" w14:textId="77777777" w:rsidR="0028509C" w:rsidRDefault="0028509C" w:rsidP="0028509C">
      <w:pPr>
        <w:pStyle w:val="Textebrut"/>
      </w:pPr>
    </w:p>
    <w:p w14:paraId="4C26A1A1" w14:textId="77777777" w:rsidR="00683E8F" w:rsidRDefault="00683E8F" w:rsidP="00683E8F">
      <w:pPr>
        <w:pStyle w:val="Textebrut"/>
      </w:pPr>
      <w:r>
        <w:t xml:space="preserve">Furosémide </w:t>
      </w:r>
      <w:proofErr w:type="spellStart"/>
      <w:r>
        <w:t>Zentiva</w:t>
      </w:r>
      <w:proofErr w:type="spellEnd"/>
      <w:r>
        <w:t xml:space="preserve"> 500 mg, comprimé sécable – [furosémide] – Tension d’approvisionnement depuis le 22/10/2024 (ANSM, 04/11/2024). Tension d'approvisionnement de la spécialité Furosémide </w:t>
      </w:r>
      <w:proofErr w:type="spellStart"/>
      <w:r>
        <w:t>Zentiva</w:t>
      </w:r>
      <w:proofErr w:type="spellEnd"/>
      <w:r>
        <w:t xml:space="preserve"> 500 mg, comprimé sécable. Distribution contingentée. Remise à disposition normale indéterminée</w:t>
      </w:r>
    </w:p>
    <w:p w14:paraId="01137BC1" w14:textId="77777777" w:rsidR="00683E8F" w:rsidRDefault="00C53717" w:rsidP="00683E8F">
      <w:pPr>
        <w:pStyle w:val="Textebrut"/>
      </w:pPr>
      <w:hyperlink r:id="rId170" w:history="1">
        <w:r w:rsidR="00683E8F" w:rsidRPr="008F6B9A">
          <w:rPr>
            <w:rStyle w:val="Lienhypertexte"/>
          </w:rPr>
          <w:t>https://ansm.sante.fr/disponibilites-des-produits-de-sante/medicaments/furosemide-zentiva-500-mg-comprime-secable-furosemide</w:t>
        </w:r>
      </w:hyperlink>
    </w:p>
    <w:p w14:paraId="637F3B8E" w14:textId="77777777" w:rsidR="00683E8F" w:rsidRDefault="00683E8F" w:rsidP="00683E8F">
      <w:pPr>
        <w:pStyle w:val="Textebrut"/>
      </w:pPr>
    </w:p>
    <w:p w14:paraId="6FD60E3C" w14:textId="77777777" w:rsidR="007F0A18" w:rsidRDefault="007F0A18" w:rsidP="007F0A18">
      <w:pPr>
        <w:pStyle w:val="Textebrut"/>
      </w:pPr>
      <w:proofErr w:type="spellStart"/>
      <w:r>
        <w:t>Abacavir</w:t>
      </w:r>
      <w:proofErr w:type="spellEnd"/>
      <w:r>
        <w:t xml:space="preserve">, </w:t>
      </w:r>
      <w:proofErr w:type="spellStart"/>
      <w:r>
        <w:t>Lamivudine</w:t>
      </w:r>
      <w:proofErr w:type="spellEnd"/>
      <w:r>
        <w:t xml:space="preserve">, Zidovudine </w:t>
      </w:r>
      <w:proofErr w:type="spellStart"/>
      <w:r>
        <w:t>Viatris</w:t>
      </w:r>
      <w:proofErr w:type="spellEnd"/>
      <w:r>
        <w:t xml:space="preserve"> 300 mg/150 mg/300 mg, comprimé pelliculé – [</w:t>
      </w:r>
      <w:proofErr w:type="spellStart"/>
      <w:r>
        <w:t>abacavir</w:t>
      </w:r>
      <w:proofErr w:type="spellEnd"/>
      <w:r>
        <w:t xml:space="preserve"> (sulfate d'), </w:t>
      </w:r>
      <w:proofErr w:type="spellStart"/>
      <w:r>
        <w:t>lamivudine</w:t>
      </w:r>
      <w:proofErr w:type="spellEnd"/>
      <w:r>
        <w:t>, zidovudine] – Remise à disposition à partir du 05/11/2024 (ANSM, 05/11/2024)</w:t>
      </w:r>
    </w:p>
    <w:p w14:paraId="6EDE9712" w14:textId="7C706E45" w:rsidR="007F0A18" w:rsidRDefault="00C53717" w:rsidP="007F0A18">
      <w:pPr>
        <w:pStyle w:val="Textebrut"/>
      </w:pPr>
      <w:hyperlink r:id="rId171" w:history="1">
        <w:r w:rsidR="007F0A18" w:rsidRPr="00A96170">
          <w:rPr>
            <w:rStyle w:val="Lienhypertexte"/>
          </w:rPr>
          <w:t>https://ansm.sante.fr/disponibilites-des-produits-de-sante/medicaments/abacavir-lamivudine-zidovudine-viatris-300-mg-150-mg-300-mg-comprime-pellicule-abacavir-sulfate-d-lamivudine-zidovudine</w:t>
        </w:r>
      </w:hyperlink>
    </w:p>
    <w:p w14:paraId="6935B326" w14:textId="77777777" w:rsidR="00683E8F" w:rsidRDefault="00683E8F" w:rsidP="007F0A18">
      <w:pPr>
        <w:pStyle w:val="Textebrut"/>
      </w:pPr>
    </w:p>
    <w:p w14:paraId="5BA363EC" w14:textId="77777777" w:rsidR="00807DF2" w:rsidRDefault="00807DF2" w:rsidP="00807DF2">
      <w:pPr>
        <w:pStyle w:val="Textebrut"/>
      </w:pPr>
      <w:proofErr w:type="spellStart"/>
      <w:r>
        <w:t>Marsilid</w:t>
      </w:r>
      <w:proofErr w:type="spellEnd"/>
      <w:r>
        <w:t xml:space="preserve"> 50 mg, comprimé sécable – [iproniazide] – Rupture de stock depuis le 15/11/2023 (ANSM, 07/11/2024).</w:t>
      </w:r>
    </w:p>
    <w:p w14:paraId="263D30F9" w14:textId="77777777" w:rsidR="00807DF2" w:rsidRDefault="00807DF2" w:rsidP="00807DF2">
      <w:pPr>
        <w:pStyle w:val="Textebrut"/>
      </w:pPr>
      <w:r>
        <w:t xml:space="preserve">Situation en ville : rupture. Situation à l'hôpital : rupture. Il existe en France un autre antidépresseur de la classe des IMAO qui dispose d'une AMM, la spécialité </w:t>
      </w:r>
      <w:proofErr w:type="spellStart"/>
      <w:r>
        <w:t>Moclamine</w:t>
      </w:r>
      <w:proofErr w:type="spellEnd"/>
      <w:r>
        <w:t xml:space="preserve"> 150mg (</w:t>
      </w:r>
      <w:proofErr w:type="spellStart"/>
      <w:r>
        <w:t>moclobémide</w:t>
      </w:r>
      <w:proofErr w:type="spellEnd"/>
      <w:r>
        <w:t xml:space="preserve">). Pour certains patients, d’autres médicaments de la classe des IMAO sont disponibles, après échec des autres antidépresseurs, dans le cadre d’autorisation d’accès compassionnel (AAC). Ces AAC incluent par exemple les spécialités </w:t>
      </w:r>
      <w:proofErr w:type="spellStart"/>
      <w:r>
        <w:t>Parnate</w:t>
      </w:r>
      <w:proofErr w:type="spellEnd"/>
      <w:r>
        <w:t xml:space="preserve"> (</w:t>
      </w:r>
      <w:proofErr w:type="spellStart"/>
      <w:r>
        <w:t>tranylcypromine</w:t>
      </w:r>
      <w:proofErr w:type="spellEnd"/>
      <w:r>
        <w:t xml:space="preserve">), </w:t>
      </w:r>
      <w:proofErr w:type="spellStart"/>
      <w:r>
        <w:t>Emsam</w:t>
      </w:r>
      <w:proofErr w:type="spellEnd"/>
      <w:r>
        <w:t xml:space="preserve"> (</w:t>
      </w:r>
      <w:proofErr w:type="spellStart"/>
      <w:r>
        <w:t>séléginine</w:t>
      </w:r>
      <w:proofErr w:type="spellEnd"/>
      <w:r>
        <w:t xml:space="preserve">) et </w:t>
      </w:r>
      <w:proofErr w:type="spellStart"/>
      <w:r>
        <w:t>Nardil</w:t>
      </w:r>
      <w:proofErr w:type="spellEnd"/>
      <w:r>
        <w:t xml:space="preserve"> ou </w:t>
      </w:r>
      <w:proofErr w:type="spellStart"/>
      <w:r>
        <w:t>Nardelzine</w:t>
      </w:r>
      <w:proofErr w:type="spellEnd"/>
      <w:r>
        <w:t xml:space="preserve"> (</w:t>
      </w:r>
      <w:proofErr w:type="spellStart"/>
      <w:r>
        <w:t>phénelzine</w:t>
      </w:r>
      <w:proofErr w:type="spellEnd"/>
      <w:r>
        <w:t>). Consulter la liste des spécialités en accès compassionnel. Date de remise à disposition prévue : indéterminée</w:t>
      </w:r>
    </w:p>
    <w:p w14:paraId="20512B0A" w14:textId="07267965" w:rsidR="00807DF2" w:rsidRDefault="00C53717" w:rsidP="00807DF2">
      <w:pPr>
        <w:pStyle w:val="Textebrut"/>
      </w:pPr>
      <w:hyperlink r:id="rId172" w:history="1">
        <w:r w:rsidR="00807DF2" w:rsidRPr="00820589">
          <w:rPr>
            <w:rStyle w:val="Lienhypertexte"/>
          </w:rPr>
          <w:t>https://ansm.sante.fr/disponibilites-des-produits-de-sante/medicaments/marsilid-50-mg-comprime-secable-iproniazide</w:t>
        </w:r>
      </w:hyperlink>
    </w:p>
    <w:p w14:paraId="127502F6" w14:textId="77777777" w:rsidR="00807DF2" w:rsidRDefault="00807DF2" w:rsidP="00807DF2">
      <w:pPr>
        <w:pStyle w:val="Textebrut"/>
      </w:pPr>
    </w:p>
    <w:p w14:paraId="0ECD8E48" w14:textId="77777777" w:rsidR="00847A83" w:rsidRDefault="00847A83" w:rsidP="00847A83">
      <w:pPr>
        <w:pStyle w:val="Textebrut"/>
      </w:pPr>
      <w:proofErr w:type="spellStart"/>
      <w:r>
        <w:t>Fluorouracile</w:t>
      </w:r>
      <w:proofErr w:type="spellEnd"/>
      <w:r>
        <w:t xml:space="preserve"> </w:t>
      </w:r>
      <w:proofErr w:type="spellStart"/>
      <w:r>
        <w:t>Teva</w:t>
      </w:r>
      <w:proofErr w:type="spellEnd"/>
      <w:r>
        <w:t xml:space="preserve"> 50 mg/ml, solution à diluer pour perfusion, flacon de 100 ml – [</w:t>
      </w:r>
      <w:proofErr w:type="spellStart"/>
      <w:r>
        <w:t>fluorouracile</w:t>
      </w:r>
      <w:proofErr w:type="spellEnd"/>
      <w:r>
        <w:t>] – Tension d’approvisionnement depuis le 07/11/2024 (ANSM, actualisation du 07/11/2024).</w:t>
      </w:r>
    </w:p>
    <w:p w14:paraId="7ED8228A" w14:textId="77777777" w:rsidR="00847A83" w:rsidRDefault="00847A83" w:rsidP="00847A83">
      <w:pPr>
        <w:pStyle w:val="Textebrut"/>
      </w:pPr>
      <w:r>
        <w:t>Situation à l'hôpital : tension. Contingentement quantitatif à l'hôpital. Date de remise à disposition prévue : indéterminée</w:t>
      </w:r>
    </w:p>
    <w:p w14:paraId="618F4184" w14:textId="4272B791" w:rsidR="00807DF2" w:rsidRDefault="00C53717" w:rsidP="00847A83">
      <w:pPr>
        <w:pStyle w:val="Textebrut"/>
      </w:pPr>
      <w:hyperlink r:id="rId173" w:history="1">
        <w:r w:rsidR="00847A83" w:rsidRPr="00820589">
          <w:rPr>
            <w:rStyle w:val="Lienhypertexte"/>
          </w:rPr>
          <w:t>https://ansm.sante.fr/disponibilites-des-produits-de-sante/medicaments/fluorouracile-teva-50-mg-ml-solution-a-diluer-pour-perfusion-flacon-de-100-ml-fluorouracile</w:t>
        </w:r>
      </w:hyperlink>
    </w:p>
    <w:p w14:paraId="00A9978D" w14:textId="77777777" w:rsidR="00847A83" w:rsidRDefault="00847A83" w:rsidP="00847A83">
      <w:pPr>
        <w:pStyle w:val="Textebrut"/>
      </w:pPr>
    </w:p>
    <w:p w14:paraId="3287819B" w14:textId="77777777" w:rsidR="00B56274" w:rsidRDefault="00B56274" w:rsidP="00B56274">
      <w:pPr>
        <w:pStyle w:val="Textebrut"/>
      </w:pPr>
      <w:proofErr w:type="spellStart"/>
      <w:r>
        <w:t>Fluorouracile</w:t>
      </w:r>
      <w:proofErr w:type="spellEnd"/>
      <w:r>
        <w:t xml:space="preserve"> Accord 50 mg/ml, solution à diluer pour perfusion, flacon de 5 ml, de 20 ml et 100 ml – [</w:t>
      </w:r>
      <w:proofErr w:type="spellStart"/>
      <w:r>
        <w:t>fluorouracile</w:t>
      </w:r>
      <w:proofErr w:type="spellEnd"/>
      <w:r>
        <w:t>], (ANSM - mis à jour le 12/11/2024)</w:t>
      </w:r>
    </w:p>
    <w:p w14:paraId="1383E3AA" w14:textId="77777777" w:rsidR="00B56274" w:rsidRDefault="00B56274" w:rsidP="00B56274">
      <w:pPr>
        <w:pStyle w:val="Textebrut"/>
      </w:pPr>
      <w:r>
        <w:t>Tension d'approvisionnement depuis le 07/04/2023. Remise à disposition normale du flacon de 20 ml et du flacon de 100 ml.</w:t>
      </w:r>
    </w:p>
    <w:p w14:paraId="45C1A7C1" w14:textId="77777777" w:rsidR="00B56274" w:rsidRDefault="00B56274" w:rsidP="00B56274">
      <w:pPr>
        <w:pStyle w:val="Textebrut"/>
      </w:pPr>
      <w:r>
        <w:t>Rupture de stock du flacon de 5 ml. Remise à disposition normale indéterminée.</w:t>
      </w:r>
    </w:p>
    <w:p w14:paraId="541870A5" w14:textId="430B2A0F" w:rsidR="00B56274" w:rsidRDefault="00C53717" w:rsidP="00B56274">
      <w:pPr>
        <w:pStyle w:val="Textebrut"/>
      </w:pPr>
      <w:hyperlink r:id="rId174" w:history="1">
        <w:r w:rsidR="00B56274" w:rsidRPr="00097206">
          <w:rPr>
            <w:rStyle w:val="Lienhypertexte"/>
          </w:rPr>
          <w:t>https://ansm.sante.fr/disponibilites-des-produits-de-sante/medicaments/fluorouracile-accord-50-mg-ml-solution-a-diluer-pour-perfusion-flacon-de-5-ml-de-20-ml-et-100-ml-fluorouracile</w:t>
        </w:r>
      </w:hyperlink>
    </w:p>
    <w:p w14:paraId="43BB0A4D" w14:textId="77777777" w:rsidR="00B56274" w:rsidRDefault="00B56274" w:rsidP="00B56274">
      <w:pPr>
        <w:pStyle w:val="Textebrut"/>
      </w:pPr>
    </w:p>
    <w:p w14:paraId="58054314" w14:textId="77777777" w:rsidR="00EE3AAA" w:rsidRDefault="00EE3AAA" w:rsidP="00EE3AAA">
      <w:pPr>
        <w:pStyle w:val="Textebrut"/>
      </w:pPr>
      <w:proofErr w:type="spellStart"/>
      <w:r>
        <w:t>Iopamiron</w:t>
      </w:r>
      <w:proofErr w:type="spellEnd"/>
      <w:r>
        <w:t xml:space="preserve"> 370 mg Iode/</w:t>
      </w:r>
      <w:proofErr w:type="spellStart"/>
      <w:r>
        <w:t>mL</w:t>
      </w:r>
      <w:proofErr w:type="spellEnd"/>
      <w:r>
        <w:t xml:space="preserve">, solution injectable en 100-200 et 500 </w:t>
      </w:r>
      <w:proofErr w:type="spellStart"/>
      <w:r>
        <w:t>mL</w:t>
      </w:r>
      <w:proofErr w:type="spellEnd"/>
      <w:r>
        <w:t xml:space="preserve"> – [</w:t>
      </w:r>
      <w:proofErr w:type="spellStart"/>
      <w:r>
        <w:t>iopamidol</w:t>
      </w:r>
      <w:proofErr w:type="spellEnd"/>
      <w:r>
        <w:t>] – Remise à disposition à partir du 09/09/2024 (ANSM, 14/11/2024)</w:t>
      </w:r>
    </w:p>
    <w:p w14:paraId="753A9BA4" w14:textId="28D42BD8" w:rsidR="00EE3AAA" w:rsidRDefault="00C53717" w:rsidP="00EE3AAA">
      <w:pPr>
        <w:pStyle w:val="Textebrut"/>
      </w:pPr>
      <w:hyperlink r:id="rId175" w:history="1">
        <w:r w:rsidR="00EE3AAA" w:rsidRPr="0081582C">
          <w:rPr>
            <w:rStyle w:val="Lienhypertexte"/>
          </w:rPr>
          <w:t>https://ansm.sante.fr/disponibilites-des-produits-de-sante/medicaments/iopamiron-370-mg-iode-ml-solution-injectable-en-100-200-et-500-ml-iopamidol</w:t>
        </w:r>
      </w:hyperlink>
    </w:p>
    <w:p w14:paraId="1016D362" w14:textId="77777777" w:rsidR="00EE3AAA" w:rsidRDefault="00EE3AAA" w:rsidP="00EE3AAA">
      <w:pPr>
        <w:pStyle w:val="Textebrut"/>
      </w:pPr>
    </w:p>
    <w:p w14:paraId="69B042B4" w14:textId="77777777" w:rsidR="00F600F4" w:rsidRDefault="00F600F4" w:rsidP="00F600F4">
      <w:pPr>
        <w:pStyle w:val="Textebrut"/>
      </w:pPr>
      <w:r>
        <w:t xml:space="preserve">Méthotrexate </w:t>
      </w:r>
      <w:proofErr w:type="spellStart"/>
      <w:r>
        <w:t>Teva</w:t>
      </w:r>
      <w:proofErr w:type="spellEnd"/>
      <w:r>
        <w:t xml:space="preserve"> 10 pour cent (5 g/50 </w:t>
      </w:r>
      <w:proofErr w:type="spellStart"/>
      <w:r>
        <w:t>mL</w:t>
      </w:r>
      <w:proofErr w:type="spellEnd"/>
      <w:r>
        <w:t>), solution injectable – [méthotrexate] – Tension d’approvisionnement depuis le 14/11/2024 (ANSM, 15/11/2024).</w:t>
      </w:r>
    </w:p>
    <w:p w14:paraId="29FBE356" w14:textId="77777777" w:rsidR="00F600F4" w:rsidRDefault="00F600F4" w:rsidP="00F600F4">
      <w:pPr>
        <w:pStyle w:val="Textebrut"/>
      </w:pPr>
      <w:r>
        <w:t xml:space="preserve">Tension d'approvisionnement de la spécialité Méthotrexate </w:t>
      </w:r>
      <w:proofErr w:type="spellStart"/>
      <w:r>
        <w:t>Teva</w:t>
      </w:r>
      <w:proofErr w:type="spellEnd"/>
      <w:r>
        <w:t xml:space="preserve"> 10 pour cent (5 g/50 </w:t>
      </w:r>
      <w:proofErr w:type="spellStart"/>
      <w:r>
        <w:t>mL</w:t>
      </w:r>
      <w:proofErr w:type="spellEnd"/>
      <w:r>
        <w:t xml:space="preserve">), solution injectable. Distribution contingentée. Distribution normale des spécialités : Méthotrexate </w:t>
      </w:r>
      <w:proofErr w:type="spellStart"/>
      <w:r>
        <w:t>Teva</w:t>
      </w:r>
      <w:proofErr w:type="spellEnd"/>
      <w:r>
        <w:t xml:space="preserve"> 10 pour cent (1 g/10 </w:t>
      </w:r>
      <w:proofErr w:type="spellStart"/>
      <w:r>
        <w:t>mL</w:t>
      </w:r>
      <w:proofErr w:type="spellEnd"/>
      <w:r>
        <w:t xml:space="preserve">), solution injectable ; Méthotrexate </w:t>
      </w:r>
      <w:proofErr w:type="spellStart"/>
      <w:r>
        <w:t>Teva</w:t>
      </w:r>
      <w:proofErr w:type="spellEnd"/>
      <w:r>
        <w:t xml:space="preserve"> 2,5 pour cent (50 mg/2 </w:t>
      </w:r>
      <w:proofErr w:type="spellStart"/>
      <w:r>
        <w:t>mL</w:t>
      </w:r>
      <w:proofErr w:type="spellEnd"/>
      <w:r>
        <w:t xml:space="preserve">), solution injectable ; Méthotrexate </w:t>
      </w:r>
      <w:proofErr w:type="spellStart"/>
      <w:r>
        <w:t>Teva</w:t>
      </w:r>
      <w:proofErr w:type="spellEnd"/>
      <w:r>
        <w:t xml:space="preserve"> 2,5 pour cent (500 mg/20 </w:t>
      </w:r>
      <w:proofErr w:type="spellStart"/>
      <w:r>
        <w:t>mL</w:t>
      </w:r>
      <w:proofErr w:type="spellEnd"/>
      <w:r>
        <w:t>), solution injectable</w:t>
      </w:r>
    </w:p>
    <w:p w14:paraId="7CF051BA" w14:textId="5FEF6CAB" w:rsidR="00F600F4" w:rsidRDefault="00C53717" w:rsidP="00F600F4">
      <w:pPr>
        <w:pStyle w:val="Textebrut"/>
      </w:pPr>
      <w:hyperlink r:id="rId176" w:history="1">
        <w:r w:rsidR="00F600F4" w:rsidRPr="0081582C">
          <w:rPr>
            <w:rStyle w:val="Lienhypertexte"/>
          </w:rPr>
          <w:t>https://ansm.sante.fr/disponibilites-des-produits-de-sante/medicaments/methotrexate-teva-10-pour-cent-5-g-50-ml-solution-injectable-methotrexate</w:t>
        </w:r>
      </w:hyperlink>
    </w:p>
    <w:p w14:paraId="18FFC192" w14:textId="77777777" w:rsidR="00F600F4" w:rsidRDefault="00F600F4" w:rsidP="00F600F4">
      <w:pPr>
        <w:pStyle w:val="Textebrut"/>
      </w:pPr>
    </w:p>
    <w:p w14:paraId="21293F04" w14:textId="77777777" w:rsidR="00843542" w:rsidRDefault="00843542" w:rsidP="00843542">
      <w:pPr>
        <w:pStyle w:val="Textebrut"/>
      </w:pPr>
      <w:proofErr w:type="spellStart"/>
      <w:r>
        <w:t>Zinnat</w:t>
      </w:r>
      <w:proofErr w:type="spellEnd"/>
      <w:r>
        <w:t xml:space="preserve"> 125 mg/5 ml enfants et nourrissons, granulés pour suspension buvable en flacon de 40 ml – [</w:t>
      </w:r>
      <w:proofErr w:type="spellStart"/>
      <w:r>
        <w:t>céfuroxime</w:t>
      </w:r>
      <w:proofErr w:type="spellEnd"/>
      <w:r>
        <w:t xml:space="preserve"> </w:t>
      </w:r>
      <w:proofErr w:type="spellStart"/>
      <w:r>
        <w:t>axétil</w:t>
      </w:r>
      <w:proofErr w:type="spellEnd"/>
      <w:r>
        <w:t>] – Remise à disposition à partir du 21/11/2024 (ANSM, 21/11/2024)</w:t>
      </w:r>
    </w:p>
    <w:p w14:paraId="07ABC9AD" w14:textId="0FFCDFE3" w:rsidR="00843542" w:rsidRDefault="00C53717" w:rsidP="00843542">
      <w:pPr>
        <w:pStyle w:val="Textebrut"/>
      </w:pPr>
      <w:hyperlink r:id="rId177" w:history="1">
        <w:r w:rsidR="00843542" w:rsidRPr="00112EC1">
          <w:rPr>
            <w:rStyle w:val="Lienhypertexte"/>
          </w:rPr>
          <w:t>https://ansm.sante.fr/disponibilites-des-produits-de-sante/medicaments/zinnat-125-mg-5-ml-enfants-et-nourrissons-granules-pour-suspension-buvable-en-flacon-de-40-ml-cefuroxime-axetil</w:t>
        </w:r>
      </w:hyperlink>
    </w:p>
    <w:p w14:paraId="7CE2A821" w14:textId="77777777" w:rsidR="00843542" w:rsidRDefault="00843542" w:rsidP="00843542">
      <w:pPr>
        <w:pStyle w:val="Textebrut"/>
      </w:pPr>
    </w:p>
    <w:p w14:paraId="34FFD145" w14:textId="77777777" w:rsidR="00843542" w:rsidRDefault="00843542" w:rsidP="00843542">
      <w:pPr>
        <w:pStyle w:val="Textebrut"/>
      </w:pPr>
      <w:r>
        <w:t>Méthylphénidate Biogaran LP, comprimé à libération prolongée – [méthylphénidate (chlorhydrate de)] – Tension d’approvisionnement depuis le 11/03/2024 (ANSM, actualisation du 21/11/2024).</w:t>
      </w:r>
    </w:p>
    <w:p w14:paraId="550C0926" w14:textId="77777777" w:rsidR="00843542" w:rsidRDefault="00843542" w:rsidP="00843542">
      <w:pPr>
        <w:pStyle w:val="Textebrut"/>
      </w:pPr>
      <w:r>
        <w:lastRenderedPageBreak/>
        <w:t>Remise à disposition de la spécialité Méthylphénidate Biogaran LP 54 mg, comprimé à libération prolongée. Tension d'approvisionnement des spécialités Méthylphénidate Biogaran LP 18 mg, comprimé à libération prolongée et Méthylphénidate Biogaran LP 36 mg, comprimé à libération prolongée avec distribution contingentée en ville. Remise à disposition normale premier trimestre 2025. Consultez les recommandations pour les pharmaciens</w:t>
      </w:r>
    </w:p>
    <w:p w14:paraId="093F6433" w14:textId="65E82B2B" w:rsidR="00843542" w:rsidRDefault="00C53717" w:rsidP="00843542">
      <w:pPr>
        <w:pStyle w:val="Textebrut"/>
      </w:pPr>
      <w:hyperlink r:id="rId178" w:history="1">
        <w:r w:rsidR="00843542" w:rsidRPr="00112EC1">
          <w:rPr>
            <w:rStyle w:val="Lienhypertexte"/>
          </w:rPr>
          <w:t>https://ansm.sante.fr/disponibilites-des-produits-de-sante/medicaments/methylphenidate-biogaran-lp-comprime-a-liberation-prolongee-methylphenidate-chlorhydrate-de</w:t>
        </w:r>
      </w:hyperlink>
    </w:p>
    <w:p w14:paraId="4B9B2FCD" w14:textId="58DBA237" w:rsidR="00843542" w:rsidRDefault="00843542" w:rsidP="00404D63">
      <w:pPr>
        <w:pStyle w:val="Textebrut"/>
      </w:pPr>
    </w:p>
    <w:p w14:paraId="1B9AF765" w14:textId="77777777" w:rsidR="00050D56" w:rsidRDefault="00050D56" w:rsidP="00050D56">
      <w:pPr>
        <w:pStyle w:val="Textebrut"/>
      </w:pPr>
      <w:proofErr w:type="spellStart"/>
      <w:r>
        <w:t>Rifamycine</w:t>
      </w:r>
      <w:proofErr w:type="spellEnd"/>
      <w:r>
        <w:t xml:space="preserve"> </w:t>
      </w:r>
      <w:proofErr w:type="spellStart"/>
      <w:r>
        <w:t>Chibret</w:t>
      </w:r>
      <w:proofErr w:type="spellEnd"/>
      <w:r>
        <w:t xml:space="preserve"> 1000 000 UI pour cent, collyre en solution – [</w:t>
      </w:r>
      <w:proofErr w:type="spellStart"/>
      <w:r>
        <w:t>rifamycine</w:t>
      </w:r>
      <w:proofErr w:type="spellEnd"/>
      <w:r>
        <w:t xml:space="preserve"> sodique] – Rupture de stock depuis le 28/02/2024 (ANSM, actualisation du 28/11/2024).</w:t>
      </w:r>
    </w:p>
    <w:p w14:paraId="2311A0E7" w14:textId="77777777" w:rsidR="00050D56" w:rsidRDefault="00050D56" w:rsidP="00050D56">
      <w:pPr>
        <w:pStyle w:val="Textebrut"/>
      </w:pPr>
      <w:r>
        <w:t>Rupture de stock en ville. Stock de dépannage d’urgence uniquement pour les patients en sortie d’hôpital et avec initiation du traitement réalisée à l’hôpital. L’approvisionnement à l’hôpital (métropole et DROM COM) maintenu à la normale. Remise à disposition normale indéterminée</w:t>
      </w:r>
    </w:p>
    <w:p w14:paraId="10B29E3A" w14:textId="74F533B6" w:rsidR="00843542" w:rsidRDefault="00C53717" w:rsidP="00050D56">
      <w:pPr>
        <w:pStyle w:val="Textebrut"/>
      </w:pPr>
      <w:hyperlink r:id="rId179" w:history="1">
        <w:r w:rsidR="00050D56" w:rsidRPr="004539CD">
          <w:rPr>
            <w:rStyle w:val="Lienhypertexte"/>
          </w:rPr>
          <w:t>https://ansm.sante.fr/disponibilites-des-produits-de-sante/medicaments/rifamycine-chibret-1000-000-ui-pour-cent-collyre-en-solution-rifamycine-sodique</w:t>
        </w:r>
      </w:hyperlink>
    </w:p>
    <w:p w14:paraId="1DF97419" w14:textId="77777777" w:rsidR="00050D56" w:rsidRDefault="00050D56" w:rsidP="00050D56">
      <w:pPr>
        <w:pStyle w:val="Textebrut"/>
      </w:pPr>
    </w:p>
    <w:p w14:paraId="60E816B1" w14:textId="77777777" w:rsidR="000970CB" w:rsidRDefault="000970CB" w:rsidP="000970CB">
      <w:pPr>
        <w:pStyle w:val="Textebrut"/>
      </w:pPr>
      <w:proofErr w:type="spellStart"/>
      <w:r>
        <w:t>Zoryon</w:t>
      </w:r>
      <w:proofErr w:type="spellEnd"/>
      <w:r>
        <w:t xml:space="preserve"> gélules et sirop – [chlorhydrate de méthadone] – Arrêt de commercialisation à partir du 28/11/2024 (ANSM, 28/11/2024).</w:t>
      </w:r>
    </w:p>
    <w:p w14:paraId="42BB6FE6" w14:textId="77777777" w:rsidR="000970CB" w:rsidRDefault="000970CB" w:rsidP="000970CB">
      <w:pPr>
        <w:pStyle w:val="Textebrut"/>
      </w:pPr>
      <w:r>
        <w:t xml:space="preserve">Les spécialités </w:t>
      </w:r>
      <w:proofErr w:type="spellStart"/>
      <w:r>
        <w:t>Zoryon</w:t>
      </w:r>
      <w:proofErr w:type="spellEnd"/>
      <w:r>
        <w:t xml:space="preserve"> sont indiquées chez les adultes et les adolescents à partir de 15 ans dans le traitement de fond de douleurs d’origine cancéreuse d’intensité modérée à sévère chez les patients qui ne sont pas soulagés de façon adéquate par d’autres opioïdes, en raison d’une efficacité insuffisante et/ou d’effets indésirables excessifs.</w:t>
      </w:r>
    </w:p>
    <w:p w14:paraId="2BC09E1A" w14:textId="77777777" w:rsidR="000970CB" w:rsidRDefault="000970CB" w:rsidP="000970CB">
      <w:pPr>
        <w:pStyle w:val="Textebrut"/>
      </w:pPr>
      <w:r>
        <w:t xml:space="preserve">Cet arrêt de commercialisation n'est pas lié à une problématique de qualité, de sécurité, ou d'efficacité du médicament. Il fait suite aux difficultés rencontrées pour le référencement de </w:t>
      </w:r>
      <w:proofErr w:type="spellStart"/>
      <w:r>
        <w:t>Zoryon</w:t>
      </w:r>
      <w:proofErr w:type="spellEnd"/>
      <w:r>
        <w:t xml:space="preserve"> dans les structures hospitalières en raison du référencement déjà présent des spécialités Méthadone AP-HP indiquées dans le traitement substitutif des pharmacodépendances majeures aux opioïdes.</w:t>
      </w:r>
    </w:p>
    <w:p w14:paraId="177E133B" w14:textId="77777777" w:rsidR="000970CB" w:rsidRDefault="000970CB" w:rsidP="000970CB">
      <w:pPr>
        <w:pStyle w:val="Textebrut"/>
      </w:pPr>
      <w:r>
        <w:t xml:space="preserve">L’objectif de la commercialisation de </w:t>
      </w:r>
      <w:proofErr w:type="spellStart"/>
      <w:r>
        <w:t>Zoryon</w:t>
      </w:r>
      <w:proofErr w:type="spellEnd"/>
      <w:r>
        <w:t xml:space="preserve"> était de pouvoir dissocier les prescriptions de chlorhydrate de méthadone en fonction de ces deux indications distinctes. Cet objectif n’a pas pu être atteint après quatre années de commercialisation</w:t>
      </w:r>
    </w:p>
    <w:p w14:paraId="4DF0BC30" w14:textId="3D888154" w:rsidR="00050D56" w:rsidRDefault="00C53717" w:rsidP="000970CB">
      <w:pPr>
        <w:pStyle w:val="Textebrut"/>
      </w:pPr>
      <w:hyperlink r:id="rId180" w:history="1">
        <w:r w:rsidR="000970CB" w:rsidRPr="004539CD">
          <w:rPr>
            <w:rStyle w:val="Lienhypertexte"/>
          </w:rPr>
          <w:t>https://ansm.sante.fr/disponibilites-des-produits-de-sante/medicaments/zoryon-gelules-et-sirop-chlorhydrate-de-methadone</w:t>
        </w:r>
      </w:hyperlink>
    </w:p>
    <w:p w14:paraId="65187D28" w14:textId="77777777" w:rsidR="000970CB" w:rsidRDefault="000970CB" w:rsidP="000970CB">
      <w:pPr>
        <w:pStyle w:val="Textebrut"/>
      </w:pPr>
    </w:p>
    <w:p w14:paraId="386EBC6E" w14:textId="77777777" w:rsidR="00324246" w:rsidRDefault="00324246" w:rsidP="00324246">
      <w:pPr>
        <w:pStyle w:val="Textebrut"/>
      </w:pPr>
      <w:r>
        <w:t>Méthotrexate Accord 100 mg/</w:t>
      </w:r>
      <w:proofErr w:type="spellStart"/>
      <w:r>
        <w:t>mL</w:t>
      </w:r>
      <w:proofErr w:type="spellEnd"/>
      <w:r>
        <w:t>, solution à diluer pour perfusion (flacon de 10 ml) – [méthotrexate] – Rupture de stock depuis le 17/01/2023 (ANSM, actualisation du 28/11/2024).</w:t>
      </w:r>
    </w:p>
    <w:p w14:paraId="0B3FA15B" w14:textId="77777777" w:rsidR="00324246" w:rsidRDefault="00324246" w:rsidP="00324246">
      <w:pPr>
        <w:pStyle w:val="Textebrut"/>
      </w:pPr>
      <w:r>
        <w:t>Rupture de stock de la présentation en flacon de 10 ml de Méthotrexate Accord 100 mg/</w:t>
      </w:r>
      <w:proofErr w:type="spellStart"/>
      <w:r>
        <w:t>mL</w:t>
      </w:r>
      <w:proofErr w:type="spellEnd"/>
      <w:r>
        <w:t>, solution à diluer pour perfusion. Remise à disposition normale indéterminée de la présentation en flacon de 10 ml. Remise à disposition normale de la présentation en flacon de 50 ml à compter de fin novembre 2024</w:t>
      </w:r>
    </w:p>
    <w:p w14:paraId="32D75DAE" w14:textId="3DCC6B68" w:rsidR="00324246" w:rsidRDefault="00324246" w:rsidP="00324246">
      <w:pPr>
        <w:pStyle w:val="Textebrut"/>
      </w:pPr>
      <w:hyperlink r:id="rId181" w:history="1">
        <w:r w:rsidRPr="00E13FD8">
          <w:rPr>
            <w:rStyle w:val="Lienhypertexte"/>
          </w:rPr>
          <w:t>https://ansm.sante.fr/disponibilites-des-produits-de-sante/medicaments/methotrexate-accord-100-mg-ml-solution-a-diluer-pour-perfusion-flacon-de-10-ml-methotrexate</w:t>
        </w:r>
      </w:hyperlink>
    </w:p>
    <w:p w14:paraId="2900AB64" w14:textId="77777777" w:rsidR="00324246" w:rsidRDefault="00324246" w:rsidP="00324246">
      <w:pPr>
        <w:pStyle w:val="Textebrut"/>
      </w:pPr>
    </w:p>
    <w:sectPr w:rsidR="00324246" w:rsidSect="004568FE">
      <w:headerReference w:type="even" r:id="rId182"/>
      <w:headerReference w:type="default" r:id="rId183"/>
      <w:footerReference w:type="even" r:id="rId184"/>
      <w:footerReference w:type="default" r:id="rId185"/>
      <w:headerReference w:type="first" r:id="rId186"/>
      <w:footerReference w:type="first" r:id="rId187"/>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22F1CF" w14:textId="77777777" w:rsidR="00BC1372" w:rsidRDefault="00BC1372">
      <w:r>
        <w:separator/>
      </w:r>
    </w:p>
  </w:endnote>
  <w:endnote w:type="continuationSeparator" w:id="0">
    <w:p w14:paraId="1AF8F2DE" w14:textId="77777777" w:rsidR="00BC1372" w:rsidRDefault="00BC1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D1489"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2AD1E" w14:textId="77777777" w:rsidR="00987053" w:rsidRDefault="00987053">
    <w:pPr>
      <w:pStyle w:val="Pieddepage"/>
    </w:pPr>
  </w:p>
  <w:p w14:paraId="6C8825AC" w14:textId="77777777" w:rsidR="008B3189" w:rsidRDefault="008B3189">
    <w:pPr>
      <w:pStyle w:val="Pieddepage"/>
    </w:pPr>
    <w:r>
      <w:t xml:space="preserve">Contact : </w:t>
    </w:r>
    <w:hyperlink r:id="rId1" w:history="1">
      <w:r w:rsidRPr="009D2627">
        <w:rPr>
          <w:rStyle w:val="Lienhypertexte"/>
        </w:rPr>
        <w:t>ars-bfc-peps@ars.sante.fr</w:t>
      </w:r>
    </w:hyperlink>
  </w:p>
  <w:p w14:paraId="3E1A2627" w14:textId="77777777" w:rsidR="008B3189" w:rsidRDefault="008B3189">
    <w:pPr>
      <w:pStyle w:val="Pieddepage"/>
    </w:pPr>
  </w:p>
  <w:p w14:paraId="0C368AF3"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4E7233"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457437" w14:textId="77777777" w:rsidR="00BC1372" w:rsidRDefault="00BC1372">
      <w:r>
        <w:separator/>
      </w:r>
    </w:p>
  </w:footnote>
  <w:footnote w:type="continuationSeparator" w:id="0">
    <w:p w14:paraId="60EDECB1" w14:textId="77777777" w:rsidR="00BC1372" w:rsidRDefault="00BC13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2AF13"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9D1549"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6EC7C"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0F14A99"/>
    <w:multiLevelType w:val="multilevel"/>
    <w:tmpl w:val="4C98C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6"/>
  </w:num>
  <w:num w:numId="2" w16cid:durableId="1892185552">
    <w:abstractNumId w:val="6"/>
  </w:num>
  <w:num w:numId="3" w16cid:durableId="1366295517">
    <w:abstractNumId w:val="0"/>
  </w:num>
  <w:num w:numId="4" w16cid:durableId="1869682685">
    <w:abstractNumId w:val="1"/>
  </w:num>
  <w:num w:numId="5" w16cid:durableId="483862807">
    <w:abstractNumId w:val="12"/>
  </w:num>
  <w:num w:numId="6" w16cid:durableId="106702296">
    <w:abstractNumId w:val="15"/>
  </w:num>
  <w:num w:numId="7" w16cid:durableId="211118289">
    <w:abstractNumId w:val="3"/>
  </w:num>
  <w:num w:numId="8" w16cid:durableId="2127459736">
    <w:abstractNumId w:val="11"/>
  </w:num>
  <w:num w:numId="9" w16cid:durableId="1835490178">
    <w:abstractNumId w:val="2"/>
  </w:num>
  <w:num w:numId="10" w16cid:durableId="358509021">
    <w:abstractNumId w:val="18"/>
  </w:num>
  <w:num w:numId="11" w16cid:durableId="802238835">
    <w:abstractNumId w:val="7"/>
  </w:num>
  <w:num w:numId="12" w16cid:durableId="1119682966">
    <w:abstractNumId w:val="4"/>
  </w:num>
  <w:num w:numId="13" w16cid:durableId="1384252903">
    <w:abstractNumId w:val="21"/>
  </w:num>
  <w:num w:numId="14" w16cid:durableId="624848701">
    <w:abstractNumId w:val="17"/>
  </w:num>
  <w:num w:numId="15" w16cid:durableId="758873685">
    <w:abstractNumId w:val="22"/>
  </w:num>
  <w:num w:numId="16" w16cid:durableId="1294290176">
    <w:abstractNumId w:val="20"/>
  </w:num>
  <w:num w:numId="17" w16cid:durableId="534585621">
    <w:abstractNumId w:val="19"/>
  </w:num>
  <w:num w:numId="18" w16cid:durableId="1675378248">
    <w:abstractNumId w:val="5"/>
  </w:num>
  <w:num w:numId="19" w16cid:durableId="974604461">
    <w:abstractNumId w:val="10"/>
  </w:num>
  <w:num w:numId="20" w16cid:durableId="886448293">
    <w:abstractNumId w:val="8"/>
  </w:num>
  <w:num w:numId="21" w16cid:durableId="2009556170">
    <w:abstractNumId w:val="9"/>
  </w:num>
  <w:num w:numId="22" w16cid:durableId="10105033">
    <w:abstractNumId w:val="13"/>
  </w:num>
  <w:num w:numId="23" w16cid:durableId="803281040">
    <w:abstractNumId w:val="23"/>
  </w:num>
  <w:num w:numId="24" w16cid:durableId="179466969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372"/>
    <w:rsid w:val="0000124D"/>
    <w:rsid w:val="00003243"/>
    <w:rsid w:val="000041FF"/>
    <w:rsid w:val="000100AD"/>
    <w:rsid w:val="000109A8"/>
    <w:rsid w:val="000109BE"/>
    <w:rsid w:val="00010FF1"/>
    <w:rsid w:val="0001329F"/>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1412"/>
    <w:rsid w:val="00044905"/>
    <w:rsid w:val="00045122"/>
    <w:rsid w:val="000468D6"/>
    <w:rsid w:val="00046D24"/>
    <w:rsid w:val="000474C3"/>
    <w:rsid w:val="00047BE1"/>
    <w:rsid w:val="00047CE5"/>
    <w:rsid w:val="0005013A"/>
    <w:rsid w:val="00050D56"/>
    <w:rsid w:val="00051965"/>
    <w:rsid w:val="00051C3F"/>
    <w:rsid w:val="00052663"/>
    <w:rsid w:val="00052F60"/>
    <w:rsid w:val="00052FC0"/>
    <w:rsid w:val="00053858"/>
    <w:rsid w:val="0005411B"/>
    <w:rsid w:val="00055320"/>
    <w:rsid w:val="00055A22"/>
    <w:rsid w:val="00056433"/>
    <w:rsid w:val="00056C53"/>
    <w:rsid w:val="00057490"/>
    <w:rsid w:val="00061ADB"/>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970CB"/>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857"/>
    <w:rsid w:val="000F0C7B"/>
    <w:rsid w:val="000F0F48"/>
    <w:rsid w:val="000F0F8D"/>
    <w:rsid w:val="000F12BF"/>
    <w:rsid w:val="000F145C"/>
    <w:rsid w:val="000F16A3"/>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17E20"/>
    <w:rsid w:val="0012012F"/>
    <w:rsid w:val="00122229"/>
    <w:rsid w:val="001227EE"/>
    <w:rsid w:val="00123F25"/>
    <w:rsid w:val="00124930"/>
    <w:rsid w:val="001255E4"/>
    <w:rsid w:val="001259C3"/>
    <w:rsid w:val="00126647"/>
    <w:rsid w:val="00127F33"/>
    <w:rsid w:val="001313D8"/>
    <w:rsid w:val="00131476"/>
    <w:rsid w:val="0013232E"/>
    <w:rsid w:val="00133883"/>
    <w:rsid w:val="001355D7"/>
    <w:rsid w:val="00136108"/>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91201"/>
    <w:rsid w:val="00193286"/>
    <w:rsid w:val="00193A66"/>
    <w:rsid w:val="00193C1F"/>
    <w:rsid w:val="001940DE"/>
    <w:rsid w:val="00194404"/>
    <w:rsid w:val="001956CE"/>
    <w:rsid w:val="00195AA6"/>
    <w:rsid w:val="001969EA"/>
    <w:rsid w:val="00197CFC"/>
    <w:rsid w:val="001A2213"/>
    <w:rsid w:val="001A5670"/>
    <w:rsid w:val="001B039C"/>
    <w:rsid w:val="001B2FBB"/>
    <w:rsid w:val="001B39CB"/>
    <w:rsid w:val="001B3D9E"/>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25E0"/>
    <w:rsid w:val="001E45D7"/>
    <w:rsid w:val="001E68AC"/>
    <w:rsid w:val="001E75EF"/>
    <w:rsid w:val="001E7D1B"/>
    <w:rsid w:val="001F0206"/>
    <w:rsid w:val="001F02C7"/>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22D50"/>
    <w:rsid w:val="00223320"/>
    <w:rsid w:val="00226826"/>
    <w:rsid w:val="0022726E"/>
    <w:rsid w:val="00231A00"/>
    <w:rsid w:val="00231B3F"/>
    <w:rsid w:val="00232266"/>
    <w:rsid w:val="002329F6"/>
    <w:rsid w:val="00233A04"/>
    <w:rsid w:val="002346B5"/>
    <w:rsid w:val="00234A96"/>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1F16"/>
    <w:rsid w:val="00262145"/>
    <w:rsid w:val="002623F7"/>
    <w:rsid w:val="002624CC"/>
    <w:rsid w:val="0026331A"/>
    <w:rsid w:val="00263E21"/>
    <w:rsid w:val="002640BD"/>
    <w:rsid w:val="002655EF"/>
    <w:rsid w:val="00265642"/>
    <w:rsid w:val="00265C85"/>
    <w:rsid w:val="00266A7A"/>
    <w:rsid w:val="002712B6"/>
    <w:rsid w:val="0027230B"/>
    <w:rsid w:val="00272C95"/>
    <w:rsid w:val="00274B89"/>
    <w:rsid w:val="002750B9"/>
    <w:rsid w:val="00281D23"/>
    <w:rsid w:val="00281ED9"/>
    <w:rsid w:val="00281F56"/>
    <w:rsid w:val="002823AE"/>
    <w:rsid w:val="002823F2"/>
    <w:rsid w:val="0028255C"/>
    <w:rsid w:val="002845D0"/>
    <w:rsid w:val="002849CE"/>
    <w:rsid w:val="0028509C"/>
    <w:rsid w:val="0028547A"/>
    <w:rsid w:val="00285602"/>
    <w:rsid w:val="00285D84"/>
    <w:rsid w:val="0028625A"/>
    <w:rsid w:val="002865E4"/>
    <w:rsid w:val="00286AC8"/>
    <w:rsid w:val="002901C4"/>
    <w:rsid w:val="0029039F"/>
    <w:rsid w:val="00291247"/>
    <w:rsid w:val="00292956"/>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2543"/>
    <w:rsid w:val="002B38DD"/>
    <w:rsid w:val="002B6496"/>
    <w:rsid w:val="002B6B38"/>
    <w:rsid w:val="002B6BD2"/>
    <w:rsid w:val="002B6DE2"/>
    <w:rsid w:val="002B7292"/>
    <w:rsid w:val="002B7941"/>
    <w:rsid w:val="002B7D45"/>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82C"/>
    <w:rsid w:val="002F39C9"/>
    <w:rsid w:val="002F3D2D"/>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4246"/>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57C6"/>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A44"/>
    <w:rsid w:val="003E4D20"/>
    <w:rsid w:val="003E69CF"/>
    <w:rsid w:val="003E6AC7"/>
    <w:rsid w:val="003E7F72"/>
    <w:rsid w:val="003F024E"/>
    <w:rsid w:val="003F1C56"/>
    <w:rsid w:val="003F344A"/>
    <w:rsid w:val="003F37EA"/>
    <w:rsid w:val="003F41F6"/>
    <w:rsid w:val="003F4613"/>
    <w:rsid w:val="003F46CC"/>
    <w:rsid w:val="003F534F"/>
    <w:rsid w:val="003F7F3C"/>
    <w:rsid w:val="00402A72"/>
    <w:rsid w:val="00402BA6"/>
    <w:rsid w:val="00404C93"/>
    <w:rsid w:val="00404D6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3D32"/>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419"/>
    <w:rsid w:val="00467D4C"/>
    <w:rsid w:val="00472AC1"/>
    <w:rsid w:val="004730C8"/>
    <w:rsid w:val="00473978"/>
    <w:rsid w:val="00474007"/>
    <w:rsid w:val="00475175"/>
    <w:rsid w:val="00476D29"/>
    <w:rsid w:val="004776D0"/>
    <w:rsid w:val="00480869"/>
    <w:rsid w:val="00480920"/>
    <w:rsid w:val="00481907"/>
    <w:rsid w:val="004830BB"/>
    <w:rsid w:val="004837F1"/>
    <w:rsid w:val="00484403"/>
    <w:rsid w:val="004849F8"/>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652"/>
    <w:rsid w:val="004A2A43"/>
    <w:rsid w:val="004A2E72"/>
    <w:rsid w:val="004A30CF"/>
    <w:rsid w:val="004A3203"/>
    <w:rsid w:val="004A33A0"/>
    <w:rsid w:val="004A3DB8"/>
    <w:rsid w:val="004A584A"/>
    <w:rsid w:val="004B0AAA"/>
    <w:rsid w:val="004B1C7D"/>
    <w:rsid w:val="004B25BB"/>
    <w:rsid w:val="004B2836"/>
    <w:rsid w:val="004B2F69"/>
    <w:rsid w:val="004B42DD"/>
    <w:rsid w:val="004B706F"/>
    <w:rsid w:val="004B759A"/>
    <w:rsid w:val="004C1F7B"/>
    <w:rsid w:val="004C215D"/>
    <w:rsid w:val="004C250A"/>
    <w:rsid w:val="004C304E"/>
    <w:rsid w:val="004C3B33"/>
    <w:rsid w:val="004C4482"/>
    <w:rsid w:val="004C45F2"/>
    <w:rsid w:val="004C4F28"/>
    <w:rsid w:val="004C5695"/>
    <w:rsid w:val="004C5CD9"/>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249C"/>
    <w:rsid w:val="0050329D"/>
    <w:rsid w:val="0050338F"/>
    <w:rsid w:val="0050482D"/>
    <w:rsid w:val="00504A66"/>
    <w:rsid w:val="00504FE9"/>
    <w:rsid w:val="005066F5"/>
    <w:rsid w:val="0050702A"/>
    <w:rsid w:val="00507105"/>
    <w:rsid w:val="005071FE"/>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432E"/>
    <w:rsid w:val="00525A70"/>
    <w:rsid w:val="00525D98"/>
    <w:rsid w:val="00527381"/>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1EE"/>
    <w:rsid w:val="005652D0"/>
    <w:rsid w:val="005658C5"/>
    <w:rsid w:val="00566A94"/>
    <w:rsid w:val="00567067"/>
    <w:rsid w:val="005675F7"/>
    <w:rsid w:val="00567ABD"/>
    <w:rsid w:val="00570DBC"/>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678"/>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C90"/>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771D3"/>
    <w:rsid w:val="006809EE"/>
    <w:rsid w:val="00680A28"/>
    <w:rsid w:val="00680FDD"/>
    <w:rsid w:val="006812A2"/>
    <w:rsid w:val="0068188A"/>
    <w:rsid w:val="00683E8F"/>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6A6"/>
    <w:rsid w:val="006C4B48"/>
    <w:rsid w:val="006C5101"/>
    <w:rsid w:val="006C6266"/>
    <w:rsid w:val="006C6F13"/>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A44"/>
    <w:rsid w:val="006E5B3E"/>
    <w:rsid w:val="006E76E5"/>
    <w:rsid w:val="006F0FEA"/>
    <w:rsid w:val="006F127C"/>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222"/>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393F"/>
    <w:rsid w:val="00734C00"/>
    <w:rsid w:val="007369F5"/>
    <w:rsid w:val="00740508"/>
    <w:rsid w:val="007414C4"/>
    <w:rsid w:val="00742F0E"/>
    <w:rsid w:val="007439C7"/>
    <w:rsid w:val="00743CD5"/>
    <w:rsid w:val="00743F5B"/>
    <w:rsid w:val="00743F6E"/>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9AF"/>
    <w:rsid w:val="00765CA6"/>
    <w:rsid w:val="0076624D"/>
    <w:rsid w:val="0077001E"/>
    <w:rsid w:val="00771196"/>
    <w:rsid w:val="00771719"/>
    <w:rsid w:val="00772B4F"/>
    <w:rsid w:val="00772C4B"/>
    <w:rsid w:val="00773534"/>
    <w:rsid w:val="00773E07"/>
    <w:rsid w:val="00775AD9"/>
    <w:rsid w:val="00775C18"/>
    <w:rsid w:val="00776165"/>
    <w:rsid w:val="007769E6"/>
    <w:rsid w:val="00776E34"/>
    <w:rsid w:val="007771D7"/>
    <w:rsid w:val="00780D68"/>
    <w:rsid w:val="00781BBA"/>
    <w:rsid w:val="0078207E"/>
    <w:rsid w:val="007827FF"/>
    <w:rsid w:val="00785E09"/>
    <w:rsid w:val="0078631D"/>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06F6"/>
    <w:rsid w:val="007C10B0"/>
    <w:rsid w:val="007C1E7F"/>
    <w:rsid w:val="007C1ED7"/>
    <w:rsid w:val="007C2587"/>
    <w:rsid w:val="007C29F2"/>
    <w:rsid w:val="007C3ACC"/>
    <w:rsid w:val="007C3B77"/>
    <w:rsid w:val="007C4260"/>
    <w:rsid w:val="007C4308"/>
    <w:rsid w:val="007C4395"/>
    <w:rsid w:val="007C4708"/>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D7F8D"/>
    <w:rsid w:val="007E0006"/>
    <w:rsid w:val="007E040A"/>
    <w:rsid w:val="007E1CA3"/>
    <w:rsid w:val="007E366D"/>
    <w:rsid w:val="007E3F23"/>
    <w:rsid w:val="007E5148"/>
    <w:rsid w:val="007E68B6"/>
    <w:rsid w:val="007E72BF"/>
    <w:rsid w:val="007E7D47"/>
    <w:rsid w:val="007F0A18"/>
    <w:rsid w:val="007F0C2E"/>
    <w:rsid w:val="007F0D2F"/>
    <w:rsid w:val="007F182B"/>
    <w:rsid w:val="007F1E7A"/>
    <w:rsid w:val="007F1EF6"/>
    <w:rsid w:val="007F1F08"/>
    <w:rsid w:val="007F216B"/>
    <w:rsid w:val="007F251E"/>
    <w:rsid w:val="007F287F"/>
    <w:rsid w:val="007F440D"/>
    <w:rsid w:val="007F446F"/>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92F"/>
    <w:rsid w:val="00807DF2"/>
    <w:rsid w:val="00810907"/>
    <w:rsid w:val="00810CBE"/>
    <w:rsid w:val="00811FCA"/>
    <w:rsid w:val="008121B9"/>
    <w:rsid w:val="00812724"/>
    <w:rsid w:val="00812AEA"/>
    <w:rsid w:val="00813150"/>
    <w:rsid w:val="008132E9"/>
    <w:rsid w:val="00815D5B"/>
    <w:rsid w:val="00816E98"/>
    <w:rsid w:val="008209C9"/>
    <w:rsid w:val="00820A37"/>
    <w:rsid w:val="00820A74"/>
    <w:rsid w:val="00820BDD"/>
    <w:rsid w:val="00820BF8"/>
    <w:rsid w:val="0082169B"/>
    <w:rsid w:val="00822627"/>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2F8B"/>
    <w:rsid w:val="0084347F"/>
    <w:rsid w:val="00843542"/>
    <w:rsid w:val="00844D22"/>
    <w:rsid w:val="00845514"/>
    <w:rsid w:val="008455F3"/>
    <w:rsid w:val="00845741"/>
    <w:rsid w:val="00845946"/>
    <w:rsid w:val="00845AFA"/>
    <w:rsid w:val="00845D7B"/>
    <w:rsid w:val="0084726E"/>
    <w:rsid w:val="00847729"/>
    <w:rsid w:val="00847A83"/>
    <w:rsid w:val="00850A15"/>
    <w:rsid w:val="00852D6F"/>
    <w:rsid w:val="00852DDC"/>
    <w:rsid w:val="00853AB7"/>
    <w:rsid w:val="008544CC"/>
    <w:rsid w:val="0085453A"/>
    <w:rsid w:val="00854C2E"/>
    <w:rsid w:val="008553BB"/>
    <w:rsid w:val="00856E5F"/>
    <w:rsid w:val="0086054A"/>
    <w:rsid w:val="00861801"/>
    <w:rsid w:val="008649A7"/>
    <w:rsid w:val="00864C8B"/>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46D"/>
    <w:rsid w:val="008C3F4D"/>
    <w:rsid w:val="008C4C9A"/>
    <w:rsid w:val="008C4D7A"/>
    <w:rsid w:val="008C51F8"/>
    <w:rsid w:val="008C5B01"/>
    <w:rsid w:val="008D0D40"/>
    <w:rsid w:val="008D0D41"/>
    <w:rsid w:val="008D1522"/>
    <w:rsid w:val="008D1532"/>
    <w:rsid w:val="008D2CFF"/>
    <w:rsid w:val="008D36C5"/>
    <w:rsid w:val="008D4986"/>
    <w:rsid w:val="008D4C55"/>
    <w:rsid w:val="008D511D"/>
    <w:rsid w:val="008D5586"/>
    <w:rsid w:val="008D5BA8"/>
    <w:rsid w:val="008D7D5A"/>
    <w:rsid w:val="008E076E"/>
    <w:rsid w:val="008E0E8B"/>
    <w:rsid w:val="008E1DA7"/>
    <w:rsid w:val="008E1ED7"/>
    <w:rsid w:val="008E2B9F"/>
    <w:rsid w:val="008E5B52"/>
    <w:rsid w:val="008E6063"/>
    <w:rsid w:val="008E726F"/>
    <w:rsid w:val="008E7598"/>
    <w:rsid w:val="008F0CCC"/>
    <w:rsid w:val="008F0E39"/>
    <w:rsid w:val="008F36F6"/>
    <w:rsid w:val="008F3CD3"/>
    <w:rsid w:val="008F425E"/>
    <w:rsid w:val="008F4681"/>
    <w:rsid w:val="008F5265"/>
    <w:rsid w:val="008F5AEF"/>
    <w:rsid w:val="008F64CD"/>
    <w:rsid w:val="008F7073"/>
    <w:rsid w:val="008F70E1"/>
    <w:rsid w:val="008F7D61"/>
    <w:rsid w:val="008F7D92"/>
    <w:rsid w:val="009012F7"/>
    <w:rsid w:val="00901349"/>
    <w:rsid w:val="00901E6E"/>
    <w:rsid w:val="00902B20"/>
    <w:rsid w:val="009033B3"/>
    <w:rsid w:val="0090370B"/>
    <w:rsid w:val="00903ED4"/>
    <w:rsid w:val="00907078"/>
    <w:rsid w:val="00911771"/>
    <w:rsid w:val="00911F95"/>
    <w:rsid w:val="00912953"/>
    <w:rsid w:val="00914BF5"/>
    <w:rsid w:val="0091527F"/>
    <w:rsid w:val="00915353"/>
    <w:rsid w:val="00916AC7"/>
    <w:rsid w:val="00917A85"/>
    <w:rsid w:val="0092053D"/>
    <w:rsid w:val="00920836"/>
    <w:rsid w:val="0092232C"/>
    <w:rsid w:val="00922B08"/>
    <w:rsid w:val="00922C3B"/>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37163"/>
    <w:rsid w:val="009412D2"/>
    <w:rsid w:val="00942EFC"/>
    <w:rsid w:val="00942F03"/>
    <w:rsid w:val="0094662C"/>
    <w:rsid w:val="00947196"/>
    <w:rsid w:val="009513AC"/>
    <w:rsid w:val="00951B64"/>
    <w:rsid w:val="00952174"/>
    <w:rsid w:val="009528A6"/>
    <w:rsid w:val="00952ABF"/>
    <w:rsid w:val="009543A5"/>
    <w:rsid w:val="00954C6E"/>
    <w:rsid w:val="009550F2"/>
    <w:rsid w:val="009558DB"/>
    <w:rsid w:val="00955F3C"/>
    <w:rsid w:val="0095735D"/>
    <w:rsid w:val="00961C94"/>
    <w:rsid w:val="00961EA1"/>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12A"/>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BF6"/>
    <w:rsid w:val="009F7DB6"/>
    <w:rsid w:val="00A00611"/>
    <w:rsid w:val="00A00764"/>
    <w:rsid w:val="00A03103"/>
    <w:rsid w:val="00A0314D"/>
    <w:rsid w:val="00A03510"/>
    <w:rsid w:val="00A03CEB"/>
    <w:rsid w:val="00A043C8"/>
    <w:rsid w:val="00A04C3F"/>
    <w:rsid w:val="00A07A40"/>
    <w:rsid w:val="00A07C45"/>
    <w:rsid w:val="00A1069E"/>
    <w:rsid w:val="00A1128B"/>
    <w:rsid w:val="00A121F2"/>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365"/>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46D6"/>
    <w:rsid w:val="00AB49A5"/>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D5CC7"/>
    <w:rsid w:val="00AE3C8F"/>
    <w:rsid w:val="00AE5D23"/>
    <w:rsid w:val="00AE614B"/>
    <w:rsid w:val="00AE6FB0"/>
    <w:rsid w:val="00AF17BE"/>
    <w:rsid w:val="00AF21A9"/>
    <w:rsid w:val="00AF3791"/>
    <w:rsid w:val="00AF413D"/>
    <w:rsid w:val="00AF486D"/>
    <w:rsid w:val="00AF6380"/>
    <w:rsid w:val="00AF6DFA"/>
    <w:rsid w:val="00AF7190"/>
    <w:rsid w:val="00AF7FD1"/>
    <w:rsid w:val="00B00452"/>
    <w:rsid w:val="00B01092"/>
    <w:rsid w:val="00B01EF1"/>
    <w:rsid w:val="00B02EDF"/>
    <w:rsid w:val="00B045BB"/>
    <w:rsid w:val="00B05293"/>
    <w:rsid w:val="00B06205"/>
    <w:rsid w:val="00B06463"/>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74E"/>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0430"/>
    <w:rsid w:val="00B521B0"/>
    <w:rsid w:val="00B523B4"/>
    <w:rsid w:val="00B52666"/>
    <w:rsid w:val="00B5323D"/>
    <w:rsid w:val="00B5395A"/>
    <w:rsid w:val="00B55E19"/>
    <w:rsid w:val="00B55F07"/>
    <w:rsid w:val="00B56274"/>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1372"/>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717"/>
    <w:rsid w:val="00C53FE8"/>
    <w:rsid w:val="00C54204"/>
    <w:rsid w:val="00C55DF0"/>
    <w:rsid w:val="00C56CDB"/>
    <w:rsid w:val="00C56E18"/>
    <w:rsid w:val="00C57527"/>
    <w:rsid w:val="00C60325"/>
    <w:rsid w:val="00C61036"/>
    <w:rsid w:val="00C6219E"/>
    <w:rsid w:val="00C63014"/>
    <w:rsid w:val="00C63441"/>
    <w:rsid w:val="00C634FB"/>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69F"/>
    <w:rsid w:val="00C95F9A"/>
    <w:rsid w:val="00C97FD9"/>
    <w:rsid w:val="00CA00DC"/>
    <w:rsid w:val="00CA0A55"/>
    <w:rsid w:val="00CA1440"/>
    <w:rsid w:val="00CA1811"/>
    <w:rsid w:val="00CA1EC9"/>
    <w:rsid w:val="00CA2784"/>
    <w:rsid w:val="00CA4A5C"/>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64CA"/>
    <w:rsid w:val="00CC7481"/>
    <w:rsid w:val="00CC79B0"/>
    <w:rsid w:val="00CD0076"/>
    <w:rsid w:val="00CD0724"/>
    <w:rsid w:val="00CD12E6"/>
    <w:rsid w:val="00CD37D6"/>
    <w:rsid w:val="00CD4A21"/>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6"/>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A779A"/>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40A1"/>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E782F"/>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1BA6"/>
    <w:rsid w:val="00E235B3"/>
    <w:rsid w:val="00E23AAE"/>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9E"/>
    <w:rsid w:val="00E544CD"/>
    <w:rsid w:val="00E5668B"/>
    <w:rsid w:val="00E60275"/>
    <w:rsid w:val="00E60F6E"/>
    <w:rsid w:val="00E620B5"/>
    <w:rsid w:val="00E63307"/>
    <w:rsid w:val="00E65B57"/>
    <w:rsid w:val="00E65B7A"/>
    <w:rsid w:val="00E6620B"/>
    <w:rsid w:val="00E6713E"/>
    <w:rsid w:val="00E67905"/>
    <w:rsid w:val="00E705F6"/>
    <w:rsid w:val="00E71A1A"/>
    <w:rsid w:val="00E71B35"/>
    <w:rsid w:val="00E71D85"/>
    <w:rsid w:val="00E72D64"/>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AC8"/>
    <w:rsid w:val="00EC6FE8"/>
    <w:rsid w:val="00EC7BB1"/>
    <w:rsid w:val="00EC7CB4"/>
    <w:rsid w:val="00ED0184"/>
    <w:rsid w:val="00ED0E70"/>
    <w:rsid w:val="00ED28B3"/>
    <w:rsid w:val="00ED2E7C"/>
    <w:rsid w:val="00ED33D3"/>
    <w:rsid w:val="00ED3F32"/>
    <w:rsid w:val="00ED4EE8"/>
    <w:rsid w:val="00EE039A"/>
    <w:rsid w:val="00EE185C"/>
    <w:rsid w:val="00EE24C1"/>
    <w:rsid w:val="00EE3AAA"/>
    <w:rsid w:val="00EE475F"/>
    <w:rsid w:val="00EE48F5"/>
    <w:rsid w:val="00EE4D91"/>
    <w:rsid w:val="00EE56DA"/>
    <w:rsid w:val="00EE688D"/>
    <w:rsid w:val="00EE779C"/>
    <w:rsid w:val="00EF1337"/>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431"/>
    <w:rsid w:val="00F20BD9"/>
    <w:rsid w:val="00F23570"/>
    <w:rsid w:val="00F24AA7"/>
    <w:rsid w:val="00F24EE1"/>
    <w:rsid w:val="00F24F76"/>
    <w:rsid w:val="00F24FB0"/>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077"/>
    <w:rsid w:val="00F537F3"/>
    <w:rsid w:val="00F539DB"/>
    <w:rsid w:val="00F556E5"/>
    <w:rsid w:val="00F55EA7"/>
    <w:rsid w:val="00F55EC0"/>
    <w:rsid w:val="00F57B62"/>
    <w:rsid w:val="00F57E53"/>
    <w:rsid w:val="00F600F4"/>
    <w:rsid w:val="00F60D9E"/>
    <w:rsid w:val="00F6176B"/>
    <w:rsid w:val="00F61A12"/>
    <w:rsid w:val="00F62122"/>
    <w:rsid w:val="00F622C2"/>
    <w:rsid w:val="00F62559"/>
    <w:rsid w:val="00F6482A"/>
    <w:rsid w:val="00F64B91"/>
    <w:rsid w:val="00F64E30"/>
    <w:rsid w:val="00F64F37"/>
    <w:rsid w:val="00F651D7"/>
    <w:rsid w:val="00F67102"/>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3688"/>
    <w:rsid w:val="00F94E5B"/>
    <w:rsid w:val="00F97771"/>
    <w:rsid w:val="00FA43AC"/>
    <w:rsid w:val="00FA4972"/>
    <w:rsid w:val="00FA5457"/>
    <w:rsid w:val="00FA678D"/>
    <w:rsid w:val="00FA6869"/>
    <w:rsid w:val="00FA6C60"/>
    <w:rsid w:val="00FA6F4B"/>
    <w:rsid w:val="00FB03A2"/>
    <w:rsid w:val="00FB0EA6"/>
    <w:rsid w:val="00FB1DE7"/>
    <w:rsid w:val="00FB1E49"/>
    <w:rsid w:val="00FB2890"/>
    <w:rsid w:val="00FB2970"/>
    <w:rsid w:val="00FB2B33"/>
    <w:rsid w:val="00FB37C7"/>
    <w:rsid w:val="00FB42F0"/>
    <w:rsid w:val="00FB45E4"/>
    <w:rsid w:val="00FB5818"/>
    <w:rsid w:val="00FB5915"/>
    <w:rsid w:val="00FB65C7"/>
    <w:rsid w:val="00FC001D"/>
    <w:rsid w:val="00FC0861"/>
    <w:rsid w:val="00FC14BE"/>
    <w:rsid w:val="00FC2116"/>
    <w:rsid w:val="00FC265C"/>
    <w:rsid w:val="00FC283E"/>
    <w:rsid w:val="00FC3DAA"/>
    <w:rsid w:val="00FC5165"/>
    <w:rsid w:val="00FC542F"/>
    <w:rsid w:val="00FC5505"/>
    <w:rsid w:val="00FC6F03"/>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CBA"/>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81423E"/>
  <w15:chartTrackingRefBased/>
  <w15:docId w15:val="{4C15A174-5C5D-4D57-A258-261468E9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3746124">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1654980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8609550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347138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3136172">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0801360">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367029">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2125734">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ordre.pharmacien.fr/les-communications/focus-sur/les-actualites/semaine-mondiale-de-sensibilisation-a-la-resistance-aux-antimicrobiens" TargetMode="External"/><Relationship Id="rId21" Type="http://schemas.openxmlformats.org/officeDocument/2006/relationships/hyperlink" Target="https://www.legifrance.gouv.fr/dossierlegislatif/JORFDOLE000050427907/" TargetMode="External"/><Relationship Id="rId42" Type="http://schemas.openxmlformats.org/officeDocument/2006/relationships/hyperlink" Target="https://www.lemonde.fr/les-decodeurs/article/2024/11/26/le-fragile-temoignage-de-connor-reed-l-homme-qui-aurait-attrape-le-covid-19-avant-tout-le-monde_6414733_4355770.html" TargetMode="External"/><Relationship Id="rId63" Type="http://schemas.openxmlformats.org/officeDocument/2006/relationships/hyperlink" Target="https://www.ameli.fr/assure/actualites/qu-est-ce-qu-un-medicament-hybride" TargetMode="External"/><Relationship Id="rId84" Type="http://schemas.openxmlformats.org/officeDocument/2006/relationships/hyperlink" Target="https://www.epi-phare.fr/rapports-detudes-et-publications/vaccination-coqueluche-femmes-enceintes/" TargetMode="External"/><Relationship Id="rId138" Type="http://schemas.openxmlformats.org/officeDocument/2006/relationships/hyperlink" Target="https://ansm.sante.fr/actualites/therapie-illegale-dans-le-traitement-du-cancer-nous-prenons-des-decisions-de-police-sanitaire-a-lencontre-de-trois-societes-promouvant-des-therapies-cellulaires-dendritiques-non-autorisees-en-france" TargetMode="External"/><Relationship Id="rId159" Type="http://schemas.openxmlformats.org/officeDocument/2006/relationships/hyperlink" Target="https://ansm.sante.fr/disponibilites-des-produits-de-sante/medicaments/vitamine-b12-gerda-1000-ug-4-ml-solution-injectable-im-et-buvable-cyanocobalamine" TargetMode="External"/><Relationship Id="rId170" Type="http://schemas.openxmlformats.org/officeDocument/2006/relationships/hyperlink" Target="https://ansm.sante.fr/disponibilites-des-produits-de-sante/medicaments/furosemide-zentiva-500-mg-comprime-secable-furosemide" TargetMode="External"/><Relationship Id="rId191" Type="http://schemas.openxmlformats.org/officeDocument/2006/relationships/customXml" Target="../customXml/item2.xml"/><Relationship Id="rId107" Type="http://schemas.openxmlformats.org/officeDocument/2006/relationships/hyperlink" Target="https://www.asn.fr/l-asn-reglemente/guides-de-l-asn/principales-dispositions-reglementaires-de-radioprotection-applicables-en-radiologie-medicale-et-dentaire" TargetMode="External"/><Relationship Id="rId11" Type="http://schemas.openxmlformats.org/officeDocument/2006/relationships/hyperlink" Target="file:///C:\Users\pascal.pichon\OneDrive%20-%20Minist%C3%A8res%20sociaux\Admin\themes\subst_ven\subst.html" TargetMode="External"/><Relationship Id="rId32" Type="http://schemas.openxmlformats.org/officeDocument/2006/relationships/hyperlink" Target="https://www.legifrance.gouv.fr/jorf/id/JORFTEXT000050668053" TargetMode="External"/><Relationship Id="rId53" Type="http://schemas.openxmlformats.org/officeDocument/2006/relationships/hyperlink" Target="https://www.sdbio.eu/actualites/fil-d-infos/interdiction-des-prelevements-par-les-techniciens-de-laboratoire-la-dgos-repond-au-courrier-du-sdbio" TargetMode="External"/><Relationship Id="rId74" Type="http://schemas.openxmlformats.org/officeDocument/2006/relationships/hyperlink" Target="https://www.service-public.fr/particuliers/actualites/A16705" TargetMode="External"/><Relationship Id="rId128" Type="http://schemas.openxmlformats.org/officeDocument/2006/relationships/hyperlink" Target="https://peps.sante.gouv.fr/actu/2024/24_prescrire_prevenar20-vs-prevenar13_15112024.pdf" TargetMode="External"/><Relationship Id="rId149" Type="http://schemas.openxmlformats.org/officeDocument/2006/relationships/hyperlink" Target="https://ansm.sante.fr/disponibilites-des-produits-de-sante/medicaments" TargetMode="External"/><Relationship Id="rId5" Type="http://schemas.openxmlformats.org/officeDocument/2006/relationships/footnotes" Target="footnotes.xml"/><Relationship Id="rId95" Type="http://schemas.openxmlformats.org/officeDocument/2006/relationships/hyperlink" Target="https://www.academie-medecine.fr/wp-content/uploads/2024/11/Rapport-Offre-de-soins-en-cancerologie-apres-vote-pleniere.pdf" TargetMode="External"/><Relationship Id="rId160" Type="http://schemas.openxmlformats.org/officeDocument/2006/relationships/hyperlink" Target="https://ansm.sante.fr/disponibilites-des-produits-de-sante/medicaments/vitamine-b12-delagrange-1000-microgrammes-2-ml-solution-injectable-im-et-buvable-cyanocobalamine" TargetMode="External"/><Relationship Id="rId181" Type="http://schemas.openxmlformats.org/officeDocument/2006/relationships/hyperlink" Target="https://ansm.sante.fr/disponibilites-des-produits-de-sante/medicaments/methotrexate-accord-100-mg-ml-solution-a-diluer-pour-perfusion-flacon-de-10-ml-methotrexate" TargetMode="External"/><Relationship Id="rId22" Type="http://schemas.openxmlformats.org/officeDocument/2006/relationships/hyperlink" Target="https://www.conseil-etat.fr/avis-consultatifs/derniers-avis-rendus/au-gouvernement/avis-sur-un-projet-de-loi-portant-diverses-dispositions-d-adaptation-au-droit-de-l-union-europeenne-en-matiere-economique-financiere-environnemen" TargetMode="External"/><Relationship Id="rId43" Type="http://schemas.openxmlformats.org/officeDocument/2006/relationships/hyperlink" Target="https://www.santepubliquefrance.fr/maladies-et-traumatismes/maladies-et-infections-respiratoires/grippe/documents/bulletin-national/infections-respiratoires-aigues-grippe-bronchiolite-covid-19-.-bulletin-du-27-novembre-2024" TargetMode="External"/><Relationship Id="rId64" Type="http://schemas.openxmlformats.org/officeDocument/2006/relationships/hyperlink" Target="https://www.has-sante.fr/jcms/p_3285576/fr/depistage-neonatal-s-informer-pour-decider" TargetMode="External"/><Relationship Id="rId118" Type="http://schemas.openxmlformats.org/officeDocument/2006/relationships/hyperlink" Target="https://www.ordre.pharmacien.fr/les-communications/focus-sur/les-actualites/consommation-d-antibiotiques-poursuivre-dans-la-bonne-dynamique" TargetMode="External"/><Relationship Id="rId139" Type="http://schemas.openxmlformats.org/officeDocument/2006/relationships/hyperlink" Target="https://www.conseil-etat.fr/actualites/pma-post-mortem-l-interdiction-posee-par-la-loi-francaise-n-est-pas-incompatible-avec-la-convention-europeenne-des-droits-de-l-homme" TargetMode="External"/><Relationship Id="rId85" Type="http://schemas.openxmlformats.org/officeDocument/2006/relationships/hyperlink" Target="https://esante.gouv.fr/actualites/tout-savoir-sur-letat-des-menaces-cyber-en-sante" TargetMode="External"/><Relationship Id="rId150" Type="http://schemas.openxmlformats.org/officeDocument/2006/relationships/hyperlink" Target="https://ansm.sante.fr/dossiers-thematiques/plan-hivernal" TargetMode="External"/><Relationship Id="rId171" Type="http://schemas.openxmlformats.org/officeDocument/2006/relationships/hyperlink" Target="https://ansm.sante.fr/disponibilites-des-produits-de-sante/medicaments/abacavir-lamivudine-zidovudine-viatris-300-mg-150-mg-300-mg-comprime-pellicule-abacavir-sulfate-d-lamivudine-zidovudine" TargetMode="External"/><Relationship Id="rId192" Type="http://schemas.openxmlformats.org/officeDocument/2006/relationships/customXml" Target="../customXml/item3.xml"/><Relationship Id="rId12" Type="http://schemas.openxmlformats.org/officeDocument/2006/relationships/hyperlink" Target="file:///C:\Users\pascal.pichon\OneDrive%20-%20Minist%C3%A8res%20sociaux\Admin\themes\subst_ven\subst.html" TargetMode="External"/><Relationship Id="rId33" Type="http://schemas.openxmlformats.org/officeDocument/2006/relationships/hyperlink" Target="https://www.legifrance.gouv.fr/jorf/id/JORFTEXT000050668059" TargetMode="External"/><Relationship Id="rId108" Type="http://schemas.openxmlformats.org/officeDocument/2006/relationships/hyperlink" Target="https://ansm.sante.fr/informations-de-securite/acetate-de-medroxyprogesterone-en-suspension-injectable-depo-prodasone-500-mg-risque-de-meningiome-et-mesures-de-reduction-du-risque" TargetMode="External"/><Relationship Id="rId129" Type="http://schemas.openxmlformats.org/officeDocument/2006/relationships/hyperlink" Target="https://www.assurance-maladie.ameli.fr/presse/2024-11-26-cp-depenses-fin-octobre-2024" TargetMode="External"/><Relationship Id="rId54" Type="http://schemas.openxmlformats.org/officeDocument/2006/relationships/hyperlink" Target="https://lesbiologistesmedicaux.fr/communiques/communiques/alerte-des-biologistes-medicaux-pour-la-survie-des-laboratoires-de-proximite-explications" TargetMode="External"/><Relationship Id="rId75" Type="http://schemas.openxmlformats.org/officeDocument/2006/relationships/hyperlink" Target="https://www.acadpharm.org/dos_public/OB70.PDF" TargetMode="External"/><Relationship Id="rId96" Type="http://schemas.openxmlformats.org/officeDocument/2006/relationships/hyperlink" Target="https://www.anses.fr/fr/content/antibioresistance-sante-animale-vente-antibiotiques-veterinaire-bilan-2023" TargetMode="External"/><Relationship Id="rId140" Type="http://schemas.openxmlformats.org/officeDocument/2006/relationships/hyperlink" Target="https://igas.gouv.fr/la-prise-en-compte-des-preuves-scientifiques-dans-les-actions-de-prevention-et-de-promotion-sante" TargetMode="External"/><Relationship Id="rId161" Type="http://schemas.openxmlformats.org/officeDocument/2006/relationships/hyperlink" Target="https://ansm.sante.fr/actualites/difficultes-dapprovisionnement-en-methylphenidate-lansm-publie-des-recommandations-pour-les-pharmaciens" TargetMode="External"/><Relationship Id="rId182" Type="http://schemas.openxmlformats.org/officeDocument/2006/relationships/header" Target="header1.xml"/><Relationship Id="rId6" Type="http://schemas.openxmlformats.org/officeDocument/2006/relationships/endnotes" Target="endnotes.xml"/><Relationship Id="rId23" Type="http://schemas.openxmlformats.org/officeDocument/2006/relationships/hyperlink" Target="https://peps.sante.gouv.fr/outils/docu/texto.xlsm" TargetMode="External"/><Relationship Id="rId119" Type="http://schemas.openxmlformats.org/officeDocument/2006/relationships/hyperlink" Target="https://www.ordre.pharmacien.fr/mediatheque/fichiers/documents-pages/rapport-d-activite-daj-2023" TargetMode="External"/><Relationship Id="rId44" Type="http://schemas.openxmlformats.org/officeDocument/2006/relationships/hyperlink" Target="http://peps.intranet.sante.gouv.fr/actu/actualites.html" TargetMode="External"/><Relationship Id="rId65" Type="http://schemas.openxmlformats.org/officeDocument/2006/relationships/hyperlink" Target="https://www.epi-phare.fr/rapports-detudes-et-publications/chlormadinone-meningiome/" TargetMode="External"/><Relationship Id="rId86" Type="http://schemas.openxmlformats.org/officeDocument/2006/relationships/hyperlink" Target="https://esante.gouv.fr/etat-de-la-menace-informatique-du-secteur-de-la-sante-par-lanssi" TargetMode="External"/><Relationship Id="rId130" Type="http://schemas.openxmlformats.org/officeDocument/2006/relationships/hyperlink" Target="https://ansm.sante.fr/actualites/fibrinogene-humain-lansm-a-elabore-un-guide-pratique-pour-favoriser-le-bon-usage-des-produits-disponibles" TargetMode="External"/><Relationship Id="rId151" Type="http://schemas.openxmlformats.org/officeDocument/2006/relationships/hyperlink" Target="https://www.ema.europa.eu/en/news/european-shortages-monitoring-platform-enables-better-monitoring-shortages-eu" TargetMode="External"/><Relationship Id="rId172" Type="http://schemas.openxmlformats.org/officeDocument/2006/relationships/hyperlink" Target="https://ansm.sante.fr/disponibilites-des-produits-de-sante/medicaments/marsilid-50-mg-comprime-secable-iproniazide" TargetMode="External"/><Relationship Id="rId13" Type="http://schemas.openxmlformats.org/officeDocument/2006/relationships/hyperlink" Target="file:///C:\Users\pascal.pichon\OneDrive%20-%20Minist%C3%A8res%20sociaux\Admin\themes\subst_ven\subst.html" TargetMode="External"/><Relationship Id="rId18" Type="http://schemas.openxmlformats.org/officeDocument/2006/relationships/hyperlink" Target="file:///C:\Users\pascal.pichon\OneDrive%20-%20Minist%C3%A8res%20sociaux\Admin\themes\subst_ven\subst.html" TargetMode="External"/><Relationship Id="rId39" Type="http://schemas.openxmlformats.org/officeDocument/2006/relationships/hyperlink" Target="https://peps.sante.gouv.fr/actu/ncov/actus_2019-ncov.html" TargetMode="External"/><Relationship Id="rId109" Type="http://schemas.openxmlformats.org/officeDocument/2006/relationships/hyperlink" Target="https://www.ameli.fr/pharmacien/actualites/consommation-d-antibiotiques-et-lutte-contre-l-antibioresistance-l-etat-des-lieux-2024" TargetMode="External"/><Relationship Id="rId34" Type="http://schemas.openxmlformats.org/officeDocument/2006/relationships/hyperlink" Target="https://www.legifrance.gouv.fr/jorf/id/JORFTEXT000050668079" TargetMode="External"/><Relationship Id="rId50" Type="http://schemas.openxmlformats.org/officeDocument/2006/relationships/hyperlink" Target="https://www.santepubliquefrance.fr/maladies-et-traumatismes/maladies-transmissibles-de-l-animal-a-l-homme/mpox/documents/bulletin-national/cas-de-mpox-en-france.-1er-janvier-26-novembre-2024" TargetMode="External"/><Relationship Id="rId55" Type="http://schemas.openxmlformats.org/officeDocument/2006/relationships/hyperlink" Target="https://reperes.irsn.fr/dossier/dossier-quelle-reponse-sanitaire-et-medicale-un-accident-nucleaire-ou-radiologique" TargetMode="External"/><Relationship Id="rId76" Type="http://schemas.openxmlformats.org/officeDocument/2006/relationships/hyperlink" Target="https://www.quechoisir.org/actualite-medicaments-un-gaspillage-qui-coute-cher-n132254/" TargetMode="External"/><Relationship Id="rId97" Type="http://schemas.openxmlformats.org/officeDocument/2006/relationships/hyperlink" Target="https://www.has-sante.fr/jcms/p_3285341/fr/antibioresistance" TargetMode="External"/><Relationship Id="rId104" Type="http://schemas.openxmlformats.org/officeDocument/2006/relationships/hyperlink" Target="https://www.agence-biomedecine.fr/Modele-de-recueil-des-donnees-des-activites-cliniques-et-biologiques" TargetMode="External"/><Relationship Id="rId120" Type="http://schemas.openxmlformats.org/officeDocument/2006/relationships/hyperlink" Target="https://ansm.sante.fr/informations-de-securite/desinfectant-aniospray-surf-29-laboratoires-anios" TargetMode="External"/><Relationship Id="rId125" Type="http://schemas.openxmlformats.org/officeDocument/2006/relationships/hyperlink" Target="https://www.has-sante.fr/jcms/p_3058431/fr/infection-par-le-vih" TargetMode="External"/><Relationship Id="rId141" Type="http://schemas.openxmlformats.org/officeDocument/2006/relationships/hyperlink" Target="https://www.ordre.pharmacien.fr/les-communications/focus-sur/les-actualites/mon-test-ist-les-personnes-mineures-peuvent-elles-beneficier-du-dispositif" TargetMode="External"/><Relationship Id="rId146" Type="http://schemas.openxmlformats.org/officeDocument/2006/relationships/hyperlink" Target="https://www.lemonde.fr/blog/realitesbiomedicales/2024/11/28/drogues-et-sexe-ce-que-lon-sait-du-chemsex-en-france/" TargetMode="External"/><Relationship Id="rId167" Type="http://schemas.openxmlformats.org/officeDocument/2006/relationships/hyperlink" Target="https://ansm.sante.fr/actualites/point-de-situation-sur-la-disponibilite-de-tsoludose-solution-buvable-en-recipient-unidose" TargetMode="External"/><Relationship Id="rId188" Type="http://schemas.openxmlformats.org/officeDocument/2006/relationships/fontTable" Target="fontTable.xml"/><Relationship Id="rId7" Type="http://schemas.openxmlformats.org/officeDocument/2006/relationships/image" Target="media/image1.jpeg"/><Relationship Id="rId71" Type="http://schemas.openxmlformats.org/officeDocument/2006/relationships/hyperlink" Target="https://www.ordre.pharmacien.fr/les-communications/focus-sur/les-actualites/derives-sectaires-les-cles-pour-observer-prevenir-et-aider-les-patients" TargetMode="External"/><Relationship Id="rId92" Type="http://schemas.openxmlformats.org/officeDocument/2006/relationships/hyperlink" Target="https://www.inrs.fr/media.html?refINRS=ED%20157" TargetMode="External"/><Relationship Id="rId162" Type="http://schemas.openxmlformats.org/officeDocument/2006/relationships/hyperlink" Target="https://ansm.sante.fr/disponibilites-des-produits-de-sante/medicaments/concerta-lp-comprime-a-liberation-prolongee-methylphenidate-chlorhydrate-de" TargetMode="External"/><Relationship Id="rId183" Type="http://schemas.openxmlformats.org/officeDocument/2006/relationships/header" Target="header2.xml"/><Relationship Id="rId2" Type="http://schemas.openxmlformats.org/officeDocument/2006/relationships/styles" Target="styles.xml"/><Relationship Id="rId29" Type="http://schemas.openxmlformats.org/officeDocument/2006/relationships/hyperlink" Target="https://www.legifrance.gouv.fr/jorf/id/JORFTEXT000050659873" TargetMode="External"/><Relationship Id="rId24" Type="http://schemas.openxmlformats.org/officeDocument/2006/relationships/hyperlink" Target="https://www.legifrance.gouv.fr/jorf/id/JORFTEXT000050429728" TargetMode="External"/><Relationship Id="rId40" Type="http://schemas.openxmlformats.org/officeDocument/2006/relationships/hyperlink" Target="https://www.santepubliquefrance.fr/maladies-et-traumatismes/maladies-et-infections-respiratoires/covid-19/documents/magazines-revues/bulletin-epidemiologique-hebdomadaire-5-novembre-2024-n-20-21-les-systemes-d-information-au-service-de-la-surveillance-epidemiologique-enjeux-e" TargetMode="External"/><Relationship Id="rId45" Type="http://schemas.openxmlformats.org/officeDocument/2006/relationships/hyperlink" Target="https://peps.sante.gouv.fr/actu/mpx/actus_mpx.html" TargetMode="External"/><Relationship Id="rId66" Type="http://schemas.openxmlformats.org/officeDocument/2006/relationships/hyperlink" Target="https://www.santepubliquefrance.fr/presse/2024/consommation-d-antibiotiques-en-secteur-de-ville-en-france-tendance-a-la-baisse-en-2023" TargetMode="External"/><Relationship Id="rId87" Type="http://schemas.openxmlformats.org/officeDocument/2006/relationships/hyperlink" Target="https://cert.ssi.gouv.fr/uploads/CERTFR-2024-CTI-010.pdf" TargetMode="External"/><Relationship Id="rId110" Type="http://schemas.openxmlformats.org/officeDocument/2006/relationships/hyperlink" Target="https://drees.solidarites-sante.gouv.fr/publications-communique-de-presse-documents-de-reference/panoramas-de-la-drees/241120-Panorama-CNS24" TargetMode="External"/><Relationship Id="rId115" Type="http://schemas.openxmlformats.org/officeDocument/2006/relationships/hyperlink" Target="https://www.epi-phare.fr/rapports-detudes-et-publications/biosimilaires-adalimumab-psoriasis/" TargetMode="External"/><Relationship Id="rId131" Type="http://schemas.openxmlformats.org/officeDocument/2006/relationships/hyperlink" Target="https://www.ordre.pharmacien.fr/les-communications/focus-sur/les-actualites/violences-faites-aux-femmes-nouvelles-mesures-plateforme-nationale-sur-la-soumission-chimique" TargetMode="External"/><Relationship Id="rId136" Type="http://schemas.openxmlformats.org/officeDocument/2006/relationships/hyperlink" Target="https://sante.gouv.fr/IMG/pdf/dgs_urgent_no2024_21_ira.pdf" TargetMode="External"/><Relationship Id="rId157" Type="http://schemas.openxmlformats.org/officeDocument/2006/relationships/hyperlink" Target="https://ansm.sante.fr/uploads/2024/11/21/20241121-rs-vitamine-b12-courrier-professionnels-sante-20-11-2024-2.pdf" TargetMode="External"/><Relationship Id="rId178" Type="http://schemas.openxmlformats.org/officeDocument/2006/relationships/hyperlink" Target="https://ansm.sante.fr/disponibilites-des-produits-de-sante/medicaments/methylphenidate-biogaran-lp-comprime-a-liberation-prolongee-methylphenidate-chlorhydrate-de" TargetMode="External"/><Relationship Id="rId61" Type="http://schemas.openxmlformats.org/officeDocument/2006/relationships/hyperlink" Target="https://www.infectiologie.com/UserFiles/File/grand-public/reportage-25-infectiologie-quels-relais-pour-les-medecins.pdf" TargetMode="External"/><Relationship Id="rId82" Type="http://schemas.openxmlformats.org/officeDocument/2006/relationships/hyperlink" Target="https://www.has-sante.fr/jcms/p_3470178/fr/acces-precoce-des-medicaments-un-bilan-positif-apres-deux-ans-de-mise-en-place-du-dispositif" TargetMode="External"/><Relationship Id="rId152" Type="http://schemas.openxmlformats.org/officeDocument/2006/relationships/hyperlink" Target="https://sfar.org/cyanokit/" TargetMode="External"/><Relationship Id="rId173" Type="http://schemas.openxmlformats.org/officeDocument/2006/relationships/hyperlink" Target="https://ansm.sante.fr/disponibilites-des-produits-de-sante/medicaments/fluorouracile-teva-50-mg-ml-solution-a-diluer-pour-perfusion-flacon-de-100-ml-fluorouracile" TargetMode="External"/><Relationship Id="rId19" Type="http://schemas.openxmlformats.org/officeDocument/2006/relationships/hyperlink" Target="https://peps.sante.gouv.fr/outils/guide_proced/guide.html" TargetMode="External"/><Relationship Id="rId14" Type="http://schemas.openxmlformats.org/officeDocument/2006/relationships/hyperlink" Target="file:///C:\Users\pascal.pichon\OneDrive%20-%20Minist%C3%A8res%20sociaux\Admin\themes\subst_ven\subst.html" TargetMode="External"/><Relationship Id="rId30" Type="http://schemas.openxmlformats.org/officeDocument/2006/relationships/hyperlink" Target="https://www.legifrance.gouv.fr/jorf/id/JORFTEXT000050663463" TargetMode="External"/><Relationship Id="rId35" Type="http://schemas.openxmlformats.org/officeDocument/2006/relationships/hyperlink" Target="https://ansm.sante.fr/actualites/decision-du-24-09-2024-portant-inscription-sur-les-listes-i-et-ii-des-substances-veneneuses-definies-a-larticle-l-5132-6-du-code-de-la-sante-publique" TargetMode="External"/><Relationship Id="rId56" Type="http://schemas.openxmlformats.org/officeDocument/2006/relationships/hyperlink" Target="https://www.ordre-chirurgiens-dentistes.fr/actualites/desinfection-et-decontamination-nouvelle-reglementation-pour-les-produits-biocides/" TargetMode="External"/><Relationship Id="rId77" Type="http://schemas.openxmlformats.org/officeDocument/2006/relationships/hyperlink" Target="https://www.has-sante.fr/jcms/p_3555639/fr/qalsody-mise-au-point-de-la-has" TargetMode="External"/><Relationship Id="rId100" Type="http://schemas.openxmlformats.org/officeDocument/2006/relationships/hyperlink" Target="https://theconversation.com/antibiotiques-et-antibioresistance-une-situation-qui-varie-selon-lendroit-ou-lon-est-225911" TargetMode="External"/><Relationship Id="rId105" Type="http://schemas.openxmlformats.org/officeDocument/2006/relationships/hyperlink" Target="https://www.asn.fr/l-asn-informe/actualites/premier-avis-du-canpri-et-position-sur-l-installation-et-l-utilisation-de-la-plateforme-zap-x-R" TargetMode="External"/><Relationship Id="rId126" Type="http://schemas.openxmlformats.org/officeDocument/2006/relationships/hyperlink" Target="https://www.prescrire.org/medicaments-et-evaluations/medicaments-a-ecarter" TargetMode="External"/><Relationship Id="rId147" Type="http://schemas.openxmlformats.org/officeDocument/2006/relationships/hyperlink" Target="https://www.vidal.fr/actualites/31063-deprescription-un-processus-fonde-sur-la-confiance-et-la-coordination.html?at_variant=2200" TargetMode="External"/><Relationship Id="rId168" Type="http://schemas.openxmlformats.org/officeDocument/2006/relationships/hyperlink" Target="https://ansm.sante.fr/disponibilites-des-produits-de-sante/medicaments/tsoludose-solution-buvable-en-recipient-unidose-levothyroxine" TargetMode="External"/><Relationship Id="rId8" Type="http://schemas.openxmlformats.org/officeDocument/2006/relationships/image" Target="media/image2.png"/><Relationship Id="rId51" Type="http://schemas.openxmlformats.org/officeDocument/2006/relationships/hyperlink" Target="http://peps.intranet.sante.gouv.fr/actu/actualites.html" TargetMode="External"/><Relationship Id="rId72" Type="http://schemas.openxmlformats.org/officeDocument/2006/relationships/hyperlink" Target="https://www.ordre.pharmacien.fr/mediatheque/fichiers/communiques-de-presse/cp-donner-les-cles-aux-pharmaciens-pour-observer-prevenir-et-aider-les-patients-convention-de-partenariat-entre-l-ordre-national-des-pharmacie" TargetMode="External"/><Relationship Id="rId93" Type="http://schemas.openxmlformats.org/officeDocument/2006/relationships/hyperlink" Target="https://www.defenseurdesdroits.fr/les-droits-des-usagers-des-services-publics-face-aux-algorithmes-et-aux-systemes-dia-749" TargetMode="External"/><Relationship Id="rId98" Type="http://schemas.openxmlformats.org/officeDocument/2006/relationships/hyperlink" Target="https://ansm.sante.fr/actualites/semaine-mondiale-de-sensibilisation-a-la-resistance-aux-antimicrobiens" TargetMode="External"/><Relationship Id="rId121" Type="http://schemas.openxmlformats.org/officeDocument/2006/relationships/hyperlink" Target="https://www.lemoniteurdespharmacies.fr/nouvelles-missions/prevention/antibioresistance-comment-les-pharmaciens-devront-participer-a-cette-lutte" TargetMode="External"/><Relationship Id="rId142" Type="http://schemas.openxmlformats.org/officeDocument/2006/relationships/hyperlink" Target="https://www.epi-phare.fr/rapports-detudes-et-publications/prep-vih-2024/" TargetMode="External"/><Relationship Id="rId163" Type="http://schemas.openxmlformats.org/officeDocument/2006/relationships/hyperlink" Target="https://ansm.sante.fr/disponibilites-des-produits-de-sante/medicaments/methylphenidate-biogaran-lp-comprime-a-liberation-prolongee-methylphenidate-chlorhydrate-de" TargetMode="External"/><Relationship Id="rId184" Type="http://schemas.openxmlformats.org/officeDocument/2006/relationships/footer" Target="footer1.xml"/><Relationship Id="rId189"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hyperlink" Target="https://portail.tessadoc.social.gouv.fr/recherche/viewnotice/id/967630" TargetMode="External"/><Relationship Id="rId46" Type="http://schemas.openxmlformats.org/officeDocument/2006/relationships/hyperlink" Target="https://solidarites-sante.gouv.fr/soins-et-maladies/maladies/maladies-infectieuses/monkeypox/article/monkeypox-variole-du-singe-questions-reponses" TargetMode="External"/><Relationship Id="rId67" Type="http://schemas.openxmlformats.org/officeDocument/2006/relationships/hyperlink" Target="https://www.lemoniteurdespharmacies.fr/actu/actualites/actus-medicaments/consommation-d-antibiotiques-du-mieux-mais.html" TargetMode="External"/><Relationship Id="rId116" Type="http://schemas.openxmlformats.org/officeDocument/2006/relationships/hyperlink" Target="https://www.has-sante.fr/jcms/p_3557049/fr/interet-des-techniques-d-amplifications-des-acides-nucleiques-taan-multiplex-dans-la-prise-en-charge-medicale-des-infections-gastro-intestinales" TargetMode="External"/><Relationship Id="rId137" Type="http://schemas.openxmlformats.org/officeDocument/2006/relationships/hyperlink" Target="https://sante.gouv.fr/actualites/presse/communiques-de-presse/article/vaccination-contre-la-grippe-saisonniere-et-le-covid-19-le-ministere-de-la" TargetMode="External"/><Relationship Id="rId158" Type="http://schemas.openxmlformats.org/officeDocument/2006/relationships/hyperlink" Target="https://ansm.sante.fr/actualites/vitamine-b12-injectable-et-buvable-preferez-les-comprimes-aux-ampoules-pour-lusage-par-voie-orale" TargetMode="External"/><Relationship Id="rId20" Type="http://schemas.openxmlformats.org/officeDocument/2006/relationships/hyperlink" Target="https://peps.sante.gouv.fr/textes_projets/projets.html" TargetMode="External"/><Relationship Id="rId41" Type="http://schemas.openxmlformats.org/officeDocument/2006/relationships/hyperlink" Target="https://www.lequotidiendupharmacien.fr/exercice-pro/quelle-est-la-duree-de-conservation-du-vaccin-comirnaty" TargetMode="External"/><Relationship Id="rId62" Type="http://schemas.openxmlformats.org/officeDocument/2006/relationships/hyperlink" Target="https://www.ameli.fr/pharmacien/actualites/substitution-medicaments-hybrides-conditions-et-champ-d-application" TargetMode="External"/><Relationship Id="rId83" Type="http://schemas.openxmlformats.org/officeDocument/2006/relationships/hyperlink" Target="https://www.infectiologie.com/UserFiles/File/grand-public/semaine-bua-2024.pdf" TargetMode="External"/><Relationship Id="rId88" Type="http://schemas.openxmlformats.org/officeDocument/2006/relationships/hyperlink" Target="https://www.ema.europa.eu/en/news/leqembi-recommended-treatment-early-alzheimers-disease" TargetMode="External"/><Relationship Id="rId111" Type="http://schemas.openxmlformats.org/officeDocument/2006/relationships/hyperlink" Target="https://ansm.sante.fr/actualites/rappel-dun-lot-datorvastatine-en-raison-de-la-presence-dun-comprime-de-gliclazide-dans-un-flacon" TargetMode="External"/><Relationship Id="rId132" Type="http://schemas.openxmlformats.org/officeDocument/2006/relationships/hyperlink" Target="https://peps.sante.gouv.fr/actu/2024/24_prescrire_ia-esprit-critique_20112024.pdf" TargetMode="External"/><Relationship Id="rId153" Type="http://schemas.openxmlformats.org/officeDocument/2006/relationships/hyperlink" Target="https://ansm.sante.fr/disponibilites-des-produits-de-sante/medicaments/cyanokit-5-g-poudre-pour-solution-pour-perfusion-hydroxocobalamine" TargetMode="External"/><Relationship Id="rId174" Type="http://schemas.openxmlformats.org/officeDocument/2006/relationships/hyperlink" Target="https://ansm.sante.fr/disponibilites-des-produits-de-sante/medicaments/fluorouracile-accord-50-mg-ml-solution-a-diluer-pour-perfusion-flacon-de-5-ml-de-20-ml-et-100-ml-fluorouracile" TargetMode="External"/><Relationship Id="rId179" Type="http://schemas.openxmlformats.org/officeDocument/2006/relationships/hyperlink" Target="https://ansm.sante.fr/disponibilites-des-produits-de-sante/medicaments/rifamycine-chibret-1000-000-ui-pour-cent-collyre-en-solution-rifamycine-sodique" TargetMode="External"/><Relationship Id="rId190" Type="http://schemas.openxmlformats.org/officeDocument/2006/relationships/customXml" Target="../customXml/item1.xml"/><Relationship Id="rId15" Type="http://schemas.openxmlformats.org/officeDocument/2006/relationships/hyperlink" Target="file:///C:\Users\pascal.pichon\OneDrive%20-%20Minist%C3%A8res%20sociaux\Admin\themes\subst_ven\subst.html" TargetMode="External"/><Relationship Id="rId36" Type="http://schemas.openxmlformats.org/officeDocument/2006/relationships/hyperlink" Target="https://ansm.sante.fr/actualites/decision-du-27-11-2024-modifiant-la-decision-du-24-09-2024-portant-application-dune-partie-de-la-reglementation-des-stupefiants-aux-medicaments-contenant-du-tramadol-et-aux-medicaments-contenant-de-la-codeine-ou-de-la-dihydrocodeine" TargetMode="External"/><Relationship Id="rId57" Type="http://schemas.openxmlformats.org/officeDocument/2006/relationships/hyperlink" Target="https://certibiocide.din.developpement-durable.gouv.fr/assets/images/notice-explicative-certibiocide-janvier-2024.pdf" TargetMode="External"/><Relationship Id="rId106" Type="http://schemas.openxmlformats.org/officeDocument/2006/relationships/hyperlink" Target="https://www.irsn.fr/actualites/radiotherapie-recommandations-radioprotection-pour-dispositif-zap-xr" TargetMode="External"/><Relationship Id="rId127" Type="http://schemas.openxmlformats.org/officeDocument/2006/relationships/hyperlink" Target="https://peps.sante.gouv.fr/actu/2024/24_prescrire_vaccination-meningo-tetravalent_28102024.pdf" TargetMode="External"/><Relationship Id="rId10" Type="http://schemas.openxmlformats.org/officeDocument/2006/relationships/hyperlink" Target="file:///C:\Users\pascal.pichon\OneDrive%20-%20Minist%C3%A8res%20sociaux\Admin\themes\subst_ven\subst.html" TargetMode="External"/><Relationship Id="rId31" Type="http://schemas.openxmlformats.org/officeDocument/2006/relationships/hyperlink" Target="https://www.legifrance.gouv.fr/jorf/id/JORFTEXT000050668009" TargetMode="External"/><Relationship Id="rId52" Type="http://schemas.openxmlformats.org/officeDocument/2006/relationships/hyperlink" Target="https://peps.sante.gouv.fr/actu/actualites.html" TargetMode="External"/><Relationship Id="rId73" Type="http://schemas.openxmlformats.org/officeDocument/2006/relationships/hyperlink" Target="https://www.ordre.pharmacien.fr/les-communications/focus-sur/les-actualites/troisieme-groupe-biologique-similaire-substituable-par-le-pharmacien-d-officine-ranibizumab-lucentis-R-et-ses-biosimilaires" TargetMode="External"/><Relationship Id="rId78" Type="http://schemas.openxmlformats.org/officeDocument/2006/relationships/hyperlink" Target="https://www.ameli.fr/bouches-du-rhone/assure/actualites/le-bon-traitement-c-est-pas-forcement-un-medicament" TargetMode="External"/><Relationship Id="rId94" Type="http://schemas.openxmlformats.org/officeDocument/2006/relationships/hyperlink" Target="https://ansm.sante.fr/actualites/reglement-europeen-relatif-aux-essais-cliniques-de-medicaments-fin-de-la-periode-de-transition" TargetMode="External"/><Relationship Id="rId99" Type="http://schemas.openxmlformats.org/officeDocument/2006/relationships/hyperlink" Target="https://www.santepubliquefrance.fr/maladies-et-traumatismes/infections-associees-aux-soins-et-resistance-aux-antibiotiques/resistance-aux-antibiotiques/documents/rapport-synthese/prevention-de-la-resistance-aux-antibiotiques-une-demarche-une-seule-sante-.-novembre-2024" TargetMode="External"/><Relationship Id="rId101" Type="http://schemas.openxmlformats.org/officeDocument/2006/relationships/hyperlink" Target="https://drees.solidarites-sante.gouv.fr/communique-de-presse-datavisualisation/241128_Dataviz_Antibioresistance" TargetMode="External"/><Relationship Id="rId122" Type="http://schemas.openxmlformats.org/officeDocument/2006/relationships/hyperlink" Target="https://www.sdbio.eu/component/acym/archive/2224-sdbio-nl-25-11-2024-mobilisation-kit-de-preparation-du-shutdown" TargetMode="External"/><Relationship Id="rId143" Type="http://schemas.openxmlformats.org/officeDocument/2006/relationships/hyperlink" Target="https://www.infectiologie.com/UserFiles/File/grand-public/reportage-26-vih.pdf" TargetMode="External"/><Relationship Id="rId148" Type="http://schemas.openxmlformats.org/officeDocument/2006/relationships/hyperlink" Target="https://www.ordre.pharmacien.fr/les-communications/focus-sur/les-actualites/dossier-pharma-lancement-de-l-application-grand-public" TargetMode="External"/><Relationship Id="rId164" Type="http://schemas.openxmlformats.org/officeDocument/2006/relationships/hyperlink" Target="https://ansm.sante.fr/disponibilites-des-produits-de-sante/medicaments/methylphenidate-eg-lp-18-mg-et-54-mg-comprime-a-liberation-prolongee-methylphenidate-chlorhydrate-de" TargetMode="External"/><Relationship Id="rId169" Type="http://schemas.openxmlformats.org/officeDocument/2006/relationships/hyperlink" Target="https://ansm.sante.fr/disponibilites-des-produits-de-sante/medicaments/ribarivine-biogaran-200-mg-400-mg-comprime-pellicule-ribavirine" TargetMode="External"/><Relationship Id="rId185"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zoryon-gelules-et-sirop-chlorhydrate-de-methadone" TargetMode="External"/><Relationship Id="rId26" Type="http://schemas.openxmlformats.org/officeDocument/2006/relationships/hyperlink" Target="https://www.legifrance.gouv.fr/jorf/id/JORFTEXT000050489316" TargetMode="External"/><Relationship Id="rId47" Type="http://schemas.openxmlformats.org/officeDocument/2006/relationships/hyperlink" Target="https://solidarites-sante.gouv.fr/soins-et-maladies/maladies/maladies-infectieuses/monkeypox/cas-groupes-d-infection-par-le-virus-monkeypox" TargetMode="External"/><Relationship Id="rId68" Type="http://schemas.openxmlformats.org/officeDocument/2006/relationships/hyperlink" Target="https://657gg.r.a.d.sendibm1.com/mk/mr/sh/SMJz09SDriOHWPUdu9ZxkroEZuAV/h3EoiPImYnXI" TargetMode="External"/><Relationship Id="rId89" Type="http://schemas.openxmlformats.org/officeDocument/2006/relationships/hyperlink" Target="https://www.ordre.pharmacien.fr/les-communications/focus-sur/les-actualites/renforcement-de-la-pertinence-des-prescriptions-medicales-publication-du-decret" TargetMode="External"/><Relationship Id="rId112" Type="http://schemas.openxmlformats.org/officeDocument/2006/relationships/hyperlink" Target="https://www.anses.fr/fr/content/virus-influenza-grippe-du-porc-eviter-la-transmission-entre-animaux-et-humains" TargetMode="External"/><Relationship Id="rId133" Type="http://schemas.openxmlformats.org/officeDocument/2006/relationships/hyperlink" Target="https://www.ccomptes.fr/fr/publications/lallongement-de-la-vie-professionnelle-des-agents-dans-une-fonction-publique-detat" TargetMode="External"/><Relationship Id="rId154" Type="http://schemas.openxmlformats.org/officeDocument/2006/relationships/hyperlink" Target="https://ansm.sante.fr/actualites/clarithromycine-recommandations-de-bon-usage-pour-contribuer-a-garantir-la-couverture-des-besoins-des-patients" TargetMode="External"/><Relationship Id="rId175" Type="http://schemas.openxmlformats.org/officeDocument/2006/relationships/hyperlink" Target="https://ansm.sante.fr/disponibilites-des-produits-de-sante/medicaments/iopamiron-370-mg-iode-ml-solution-injectable-en-100-200-et-500-ml-iopamidol" TargetMode="External"/><Relationship Id="rId16" Type="http://schemas.openxmlformats.org/officeDocument/2006/relationships/hyperlink" Target="file:///C:\Users\pascal.pichon\OneDrive%20-%20Minist%C3%A8res%20sociaux\Admin\themes\subst_ven\subst.html" TargetMode="External"/><Relationship Id="rId37" Type="http://schemas.openxmlformats.org/officeDocument/2006/relationships/hyperlink" Target="https://www.legifrance.gouv.fr/jorf/id/JORFTEXT000050674764" TargetMode="External"/><Relationship Id="rId58" Type="http://schemas.openxmlformats.org/officeDocument/2006/relationships/hyperlink" Target="https://www.sdbio.eu/component/acym/archive/2218-mobilisation-generale-appel-a-tous-les-biologistes-de-terrain" TargetMode="External"/><Relationship Id="rId79" Type="http://schemas.openxmlformats.org/officeDocument/2006/relationships/hyperlink" Target="https://ansm.sante.fr/actualites/lansm-publie-son-rapport-dhemovigilance-de-lannee-2023" TargetMode="External"/><Relationship Id="rId102" Type="http://schemas.openxmlformats.org/officeDocument/2006/relationships/hyperlink" Target="https://peps.sante.gouv.fr/actu/2024/24_ansm-urgent_2024-02_vit-b12.pdf" TargetMode="External"/><Relationship Id="rId123" Type="http://schemas.openxmlformats.org/officeDocument/2006/relationships/hyperlink" Target="https://ansm.sante.fr/actualites/tramadol-et-codeine-devront-etre-prescrits-sur-une-ordonnance-securisee-des-le-1er-decembre" TargetMode="External"/><Relationship Id="rId144" Type="http://schemas.openxmlformats.org/officeDocument/2006/relationships/hyperlink" Target="https://www.santepubliquefrance.fr/maladies-et-traumatismes/maladies-et-infections-respiratoires/grippe/documents/bulletin-national/infections-respiratoires-aigues-grippe-bronchiolite-covid-19-.-bulletin-du-27-novembre-2024" TargetMode="External"/><Relationship Id="rId90" Type="http://schemas.openxmlformats.org/officeDocument/2006/relationships/hyperlink" Target="https://www.assurance-maladie.ameli.fr/presse/2024-11-14-dp-medicaments" TargetMode="External"/><Relationship Id="rId165" Type="http://schemas.openxmlformats.org/officeDocument/2006/relationships/hyperlink" Target="https://ansm.sante.fr/disponibilites-des-produits-de-sante/medicaments/ritaline-lp-40-mg-gelule-a-liberation-prolongee-methylphenidate-chlorhydrate-de" TargetMode="External"/><Relationship Id="rId186" Type="http://schemas.openxmlformats.org/officeDocument/2006/relationships/header" Target="header3.xml"/><Relationship Id="rId27" Type="http://schemas.openxmlformats.org/officeDocument/2006/relationships/hyperlink" Target="https://www.legifrance.gouv.fr/jorf/id/JORFTEXT000050510977" TargetMode="External"/><Relationship Id="rId48" Type="http://schemas.openxmlformats.org/officeDocument/2006/relationships/hyperlink" Target="https://www.service-public.fr/particuliers/actualites/A17787" TargetMode="External"/><Relationship Id="rId69" Type="http://schemas.openxmlformats.org/officeDocument/2006/relationships/hyperlink" Target="https://www.ccomptes.fr/fr/publications/la-situation-financiere-de-la-securite-sociale" TargetMode="External"/><Relationship Id="rId113" Type="http://schemas.openxmlformats.org/officeDocument/2006/relationships/hyperlink" Target="https://www.assurance-maladie.ameli.fr/presse/2024-11-21-infopresse-data-professionnels-de-sante-liberaux" TargetMode="External"/><Relationship Id="rId134" Type="http://schemas.openxmlformats.org/officeDocument/2006/relationships/hyperlink" Target="https://www.santepubliquefrance.fr/maladies-et-traumatismes/maladies-a-transmission-vectorielle/chikungunya/articles/donnees-en-france-metropolitaine/chikungunya-dengue-et-zika-donnees-de-la-surveillance-renforcee-en-france-hexagonale-2024" TargetMode="External"/><Relationship Id="rId80" Type="http://schemas.openxmlformats.org/officeDocument/2006/relationships/hyperlink" Target="https://www.hcsp.fr/Explore.cgi/avisrapportsdomaine?clefr=1401" TargetMode="External"/><Relationship Id="rId155" Type="http://schemas.openxmlformats.org/officeDocument/2006/relationships/hyperlink" Target="https://ansm.sante.fr/uploads/2024/11/12/20241104-monographie-clarithromycine-gelules-2.pdf" TargetMode="External"/><Relationship Id="rId176" Type="http://schemas.openxmlformats.org/officeDocument/2006/relationships/hyperlink" Target="https://ansm.sante.fr/disponibilites-des-produits-de-sante/medicaments/methotrexate-teva-10-pour-cent-5-g-50-ml-solution-injectable-methotrexate" TargetMode="External"/><Relationship Id="rId17" Type="http://schemas.openxmlformats.org/officeDocument/2006/relationships/hyperlink" Target="file:///C:\Users\pascal.pichon\OneDrive%20-%20Minist%C3%A8res%20sociaux\Admin\themes\subst_ven\subst.html" TargetMode="External"/><Relationship Id="rId38" Type="http://schemas.openxmlformats.org/officeDocument/2006/relationships/hyperlink" Target="http://peps.intranet.sante.gouv.fr/actu/actualites.html" TargetMode="External"/><Relationship Id="rId59" Type="http://schemas.openxmlformats.org/officeDocument/2006/relationships/hyperlink" Target="https://ansm.sante.fr/actualites/point-de-situation-sur-les-traitements-par-fluoropyrimidines-et-la-recherche-obligatoire-dun-deficit-en-dpd" TargetMode="External"/><Relationship Id="rId103" Type="http://schemas.openxmlformats.org/officeDocument/2006/relationships/hyperlink" Target="https://ansm.sante.fr/actualites/les-mesures-de-saturation-en-carboxyhemoglobine-spco-des-moniteurs-multiparametriques-doivent-etre-interpretees-avec-prudence" TargetMode="External"/><Relationship Id="rId124" Type="http://schemas.openxmlformats.org/officeDocument/2006/relationships/hyperlink" Target="http://beh.santepubliquefrance.fr/beh/2024/23-24/index.html" TargetMode="External"/><Relationship Id="rId70" Type="http://schemas.openxmlformats.org/officeDocument/2006/relationships/hyperlink" Target="https://www.ordre.pharmacien.fr/les-communications/focus-sur/les-actualites/programme-national-de-depistage-neonatal-detecter-et-prendre-en-charge-precocement-13-maladies-graves-de-l-enfant" TargetMode="External"/><Relationship Id="rId91" Type="http://schemas.openxmlformats.org/officeDocument/2006/relationships/hyperlink" Target="https://www.assurance-maladie.ameli.fr/sites/default/files/2024-11-14-DP-medicaments.pdf" TargetMode="External"/><Relationship Id="rId145" Type="http://schemas.openxmlformats.org/officeDocument/2006/relationships/hyperlink" Target="https://www.santepubliquefrance.fr/maladies-et-traumatismes/maladies-infectieuses-d-origine-alimentaire/gastro-enterites-aigues/documents/bulletin-national/gastro-enterites-aigues.-bulletin-du-28-novembre-2024" TargetMode="External"/><Relationship Id="rId166" Type="http://schemas.openxmlformats.org/officeDocument/2006/relationships/hyperlink" Target="https://ansm.sante.fr/disponibilites-des-produits-de-sante/medicaments/methylphenidate-biogaran-lp-comprime-a-liberation-prolongee-methylphenidate-chlorhydrate-de" TargetMode="External"/><Relationship Id="rId187" Type="http://schemas.openxmlformats.org/officeDocument/2006/relationships/footer" Target="footer3.xml"/><Relationship Id="rId1" Type="http://schemas.openxmlformats.org/officeDocument/2006/relationships/numbering" Target="numbering.xml"/><Relationship Id="rId28" Type="http://schemas.openxmlformats.org/officeDocument/2006/relationships/hyperlink" Target="https://www.legifrance.gouv.fr/jorf/id/JORFTEXT000050655591" TargetMode="External"/><Relationship Id="rId49" Type="http://schemas.openxmlformats.org/officeDocument/2006/relationships/hyperlink" Target="https://www.lemonde.fr/sante/article/2024/11/20/virus-mpox-l-oms-approuve-un-second-vaccin-fabrique-par-une-societe-pharmaceutique-japonaise_6403895_1651302.html" TargetMode="External"/><Relationship Id="rId114" Type="http://schemas.openxmlformats.org/officeDocument/2006/relationships/hyperlink" Target="https://data.ameli.fr/pages/data-professionnels-sante-liberaux/" TargetMode="External"/><Relationship Id="rId60" Type="http://schemas.openxmlformats.org/officeDocument/2006/relationships/hyperlink" Target="https://ansm.sante.fr/informations-de-securite/medicaments-a-base-de-5-fluorouracile-iv-en-cas-dinsuffisance-renale-moderee-ou-severe-le-test-de-depistage-du-deficit-en-dihydropyrimidine-deshydrogenase-dpd-par-mesure-des-taux-sanguins-duracile-doit-etre-interprete-avec-prudence" TargetMode="External"/><Relationship Id="rId81" Type="http://schemas.openxmlformats.org/officeDocument/2006/relationships/hyperlink" Target="https://ansm.sante.fr/actualites/analogues-du-glp-1-et-obesite-nous-prenons-des-mesures-pour-securiser-leur-utilisation-en-france" TargetMode="External"/><Relationship Id="rId135" Type="http://schemas.openxmlformats.org/officeDocument/2006/relationships/hyperlink" Target="https://sante.gouv.fr/actualites/presse/communiques-de-presse/article/journee-mondiale-de-lutte-contre-le-sida-la-prevention-combinee-meilleur-moyen" TargetMode="External"/><Relationship Id="rId156" Type="http://schemas.openxmlformats.org/officeDocument/2006/relationships/hyperlink" Target="https://ansm.sante.fr/actualites/tensions-dapprovisionnement-en-clarithromycine-25-mg-ml-suspension-buvable-nos-preconisations-pour-assurer-le-traitement-des-plus-jeunes-enfants" TargetMode="External"/><Relationship Id="rId177" Type="http://schemas.openxmlformats.org/officeDocument/2006/relationships/hyperlink" Target="https://ansm.sante.fr/disponibilites-des-produits-de-sante/medicaments/zinnat-125-mg-5-ml-enfants-et-nourrissons-granules-pour-suspension-buvable-en-flacon-de-40-ml-cefuroxime-axeti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EE750D6-C703-40F3-B6A8-E26486F51F52}"/>
</file>

<file path=customXml/itemProps2.xml><?xml version="1.0" encoding="utf-8"?>
<ds:datastoreItem xmlns:ds="http://schemas.openxmlformats.org/officeDocument/2006/customXml" ds:itemID="{3AA17B51-40FA-407B-9BA6-A5216B65C14A}"/>
</file>

<file path=customXml/itemProps3.xml><?xml version="1.0" encoding="utf-8"?>
<ds:datastoreItem xmlns:ds="http://schemas.openxmlformats.org/officeDocument/2006/customXml" ds:itemID="{4410F98D-8828-492E-AD46-FAADC0FCD3E5}"/>
</file>

<file path=docProps/app.xml><?xml version="1.0" encoding="utf-8"?>
<Properties xmlns="http://schemas.openxmlformats.org/officeDocument/2006/extended-properties" xmlns:vt="http://schemas.openxmlformats.org/officeDocument/2006/docPropsVTypes">
  <Template>mois-xx.dotx</Template>
  <TotalTime>6750</TotalTime>
  <Pages>25</Pages>
  <Words>11007</Words>
  <Characters>106510</Characters>
  <Application>Microsoft Office Word</Application>
  <DocSecurity>0</DocSecurity>
  <Lines>887</Lines>
  <Paragraphs>234</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117283</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60</cp:revision>
  <cp:lastPrinted>2018-11-02T10:29:00Z</cp:lastPrinted>
  <dcterms:created xsi:type="dcterms:W3CDTF">2024-10-31T10:55:00Z</dcterms:created>
  <dcterms:modified xsi:type="dcterms:W3CDTF">2024-11-29T09:22:00Z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