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FC5FF5" w14:textId="77777777" w:rsidR="008338FF" w:rsidRDefault="008338FF"/>
    <w:tbl>
      <w:tblPr>
        <w:tblStyle w:val="a"/>
        <w:tblW w:w="432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320"/>
      </w:tblGrid>
      <w:tr w:rsidR="008338FF" w14:paraId="55674E25" w14:textId="77777777">
        <w:trPr>
          <w:trHeight w:val="390"/>
        </w:trPr>
        <w:tc>
          <w:tcPr>
            <w:tcW w:w="4320" w:type="dxa"/>
            <w:tcBorders>
              <w:top w:val="nil"/>
              <w:left w:val="nil"/>
              <w:bottom w:val="nil"/>
              <w:right w:val="nil"/>
            </w:tcBorders>
            <w:tcMar>
              <w:top w:w="60" w:type="dxa"/>
              <w:left w:w="60" w:type="dxa"/>
              <w:bottom w:w="60" w:type="dxa"/>
              <w:right w:w="60" w:type="dxa"/>
            </w:tcMar>
          </w:tcPr>
          <w:p w14:paraId="61FA2B98" w14:textId="77777777" w:rsidR="008338FF" w:rsidRDefault="004F2A07">
            <w:pPr>
              <w:spacing w:before="240"/>
              <w:ind w:left="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RÉPUBLIQUE FRANÇAISE</w:t>
            </w:r>
          </w:p>
        </w:tc>
      </w:tr>
      <w:tr w:rsidR="008338FF" w14:paraId="33E6AD30" w14:textId="77777777">
        <w:trPr>
          <w:trHeight w:val="510"/>
        </w:trPr>
        <w:tc>
          <w:tcPr>
            <w:tcW w:w="4320" w:type="dxa"/>
            <w:tcBorders>
              <w:top w:val="nil"/>
              <w:left w:val="nil"/>
              <w:bottom w:val="nil"/>
              <w:right w:val="nil"/>
            </w:tcBorders>
            <w:shd w:val="clear" w:color="auto" w:fill="auto"/>
            <w:tcMar>
              <w:top w:w="60" w:type="dxa"/>
              <w:left w:w="60" w:type="dxa"/>
              <w:bottom w:w="60" w:type="dxa"/>
              <w:right w:w="60" w:type="dxa"/>
            </w:tcMar>
          </w:tcPr>
          <w:p w14:paraId="772DB8CE" w14:textId="77777777" w:rsidR="008338FF" w:rsidRDefault="003C7557">
            <w:pPr>
              <w:spacing w:before="120"/>
              <w:ind w:left="60"/>
              <w:jc w:val="center"/>
              <w:rPr>
                <w:rFonts w:ascii="Times New Roman" w:eastAsia="Times New Roman" w:hAnsi="Times New Roman" w:cs="Times New Roman"/>
                <w:sz w:val="24"/>
                <w:szCs w:val="24"/>
              </w:rPr>
            </w:pPr>
            <w:r>
              <w:pict w14:anchorId="21ECA7D9">
                <v:rect id="_x0000_i1025" style="width:0;height:1.5pt" o:hralign="center" o:hrstd="t" o:hr="t" fillcolor="#a0a0a0" stroked="f"/>
              </w:pict>
            </w:r>
          </w:p>
          <w:p w14:paraId="3017AF19" w14:textId="77777777" w:rsidR="008338FF" w:rsidRDefault="004F2A07">
            <w:pPr>
              <w:spacing w:before="120"/>
              <w:ind w:left="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Ministère de la santé et de la prévention</w:t>
            </w:r>
          </w:p>
          <w:p w14:paraId="17A51A17" w14:textId="77777777" w:rsidR="008338FF" w:rsidRDefault="003C7557">
            <w:pPr>
              <w:spacing w:before="120"/>
              <w:ind w:left="60"/>
              <w:jc w:val="center"/>
              <w:rPr>
                <w:rFonts w:ascii="Times New Roman" w:eastAsia="Times New Roman" w:hAnsi="Times New Roman" w:cs="Times New Roman"/>
                <w:sz w:val="24"/>
                <w:szCs w:val="24"/>
              </w:rPr>
            </w:pPr>
            <w:r>
              <w:pict w14:anchorId="0EEFFE5C">
                <v:rect id="_x0000_i1026" style="width:0;height:1.5pt" o:hralign="center" o:hrstd="t" o:hr="t" fillcolor="#a0a0a0" stroked="f"/>
              </w:pict>
            </w:r>
          </w:p>
        </w:tc>
      </w:tr>
    </w:tbl>
    <w:p w14:paraId="338ED332" w14:textId="77777777" w:rsidR="008338FF" w:rsidRDefault="008338FF">
      <w:pPr>
        <w:ind w:left="1160" w:hanging="20"/>
        <w:rPr>
          <w:rFonts w:ascii="Times New Roman" w:eastAsia="Times New Roman" w:hAnsi="Times New Roman" w:cs="Times New Roman"/>
          <w:b/>
          <w:i/>
          <w:sz w:val="24"/>
          <w:szCs w:val="24"/>
        </w:rPr>
      </w:pPr>
    </w:p>
    <w:p w14:paraId="0948E6F4" w14:textId="77777777" w:rsidR="008338FF" w:rsidRDefault="004F2A07">
      <w:pPr>
        <w:spacing w:line="360" w:lineRule="auto"/>
        <w:ind w:left="128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Arrêté du […] </w:t>
      </w:r>
      <w:bookmarkStart w:id="0" w:name="_GoBack"/>
      <w:r>
        <w:rPr>
          <w:rFonts w:ascii="Times New Roman" w:eastAsia="Times New Roman" w:hAnsi="Times New Roman" w:cs="Times New Roman"/>
          <w:b/>
          <w:sz w:val="24"/>
          <w:szCs w:val="24"/>
        </w:rPr>
        <w:t xml:space="preserve">fixant les critères permettant de qualifier une situation de risque dans la prise en charge de l’état de santé du patient en raison de l’indisponibilité d’un dispositif médical [en application de l’article D. 5211-72 du code de la santé publique] </w:t>
      </w:r>
      <w:bookmarkEnd w:id="0"/>
    </w:p>
    <w:p w14:paraId="4CD0E48C" w14:textId="77777777" w:rsidR="008338FF" w:rsidRDefault="004F2A07">
      <w:pPr>
        <w:ind w:left="1160" w:hanging="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4DCBAC3" w14:textId="77777777" w:rsidR="008338FF" w:rsidRDefault="004F2A07">
      <w:pPr>
        <w:ind w:left="1160" w:hanging="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NOR : […] </w:t>
      </w:r>
    </w:p>
    <w:p w14:paraId="22F56D89" w14:textId="77777777" w:rsidR="008338FF" w:rsidRDefault="004F2A07">
      <w:pPr>
        <w:ind w:left="1160" w:hanging="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3C77D811" w14:textId="77777777" w:rsidR="008338FF" w:rsidRDefault="004F2A07">
      <w:pPr>
        <w:ind w:left="1160" w:hanging="20"/>
        <w:rPr>
          <w:rFonts w:ascii="Times New Roman" w:eastAsia="Times New Roman" w:hAnsi="Times New Roman" w:cs="Times New Roman"/>
          <w:b/>
          <w:sz w:val="24"/>
          <w:szCs w:val="24"/>
        </w:rPr>
      </w:pPr>
      <w:r>
        <w:rPr>
          <w:rFonts w:ascii="Times New Roman" w:eastAsia="Times New Roman" w:hAnsi="Times New Roman" w:cs="Times New Roman"/>
          <w:b/>
          <w:sz w:val="24"/>
          <w:szCs w:val="24"/>
        </w:rPr>
        <w:t>Le ministre de la santé et de la prévention,</w:t>
      </w:r>
    </w:p>
    <w:p w14:paraId="5CA8DFF6" w14:textId="77777777" w:rsidR="008338FF" w:rsidRDefault="004F2A07">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5A4CDC3" w14:textId="77777777" w:rsidR="008338FF" w:rsidRDefault="004F2A07">
      <w:pPr>
        <w:ind w:left="5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Vu le code de la santé publique, notamment ses articles L. 5211-5-1 et D. 5211-72 et suivants ;</w:t>
      </w:r>
    </w:p>
    <w:p w14:paraId="2E76932C" w14:textId="77777777" w:rsidR="008338FF" w:rsidRDefault="004F2A07">
      <w:pPr>
        <w:ind w:left="5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5F8D6F4" w14:textId="77777777" w:rsidR="008338FF" w:rsidRDefault="004F2A07">
      <w:pPr>
        <w:ind w:left="5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Vu l’avis du directeur général de l’Agence nationale de sécurité du médicament et des produits de santé en date du […] </w:t>
      </w:r>
    </w:p>
    <w:p w14:paraId="065B0B90" w14:textId="77777777" w:rsidR="008338FF" w:rsidRDefault="004F2A07">
      <w:pPr>
        <w:spacing w:before="24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Arrête :</w:t>
      </w:r>
      <w:r>
        <w:rPr>
          <w:rFonts w:ascii="Times New Roman" w:eastAsia="Times New Roman" w:hAnsi="Times New Roman" w:cs="Times New Roman"/>
          <w:sz w:val="24"/>
          <w:szCs w:val="24"/>
        </w:rPr>
        <w:t xml:space="preserve"> </w:t>
      </w:r>
    </w:p>
    <w:p w14:paraId="6DD73A46" w14:textId="77777777" w:rsidR="008338FF" w:rsidRDefault="004F2A07">
      <w:pPr>
        <w:spacing w:before="24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Article 1</w:t>
      </w:r>
      <w:r>
        <w:rPr>
          <w:rFonts w:ascii="Times New Roman" w:eastAsia="Times New Roman" w:hAnsi="Times New Roman" w:cs="Times New Roman"/>
          <w:b/>
          <w:sz w:val="24"/>
          <w:szCs w:val="24"/>
          <w:vertAlign w:val="superscript"/>
        </w:rPr>
        <w:t>er</w:t>
      </w:r>
    </w:p>
    <w:p w14:paraId="74E37AA6" w14:textId="77777777" w:rsidR="008338FF" w:rsidRDefault="004F2A07">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rPr>
        <w:t>Les critères permettant de qualifier une situation de risque dans la prise en charge de l’état de santé du patient en raison de l’indisponibilité d’un dispositif médical mentionnés à l’article D. 5211-72 du code de la santé publique sont définis en annexe du présent arrêté.</w:t>
      </w:r>
      <w:r>
        <w:rPr>
          <w:rFonts w:ascii="Times New Roman" w:eastAsia="Times New Roman" w:hAnsi="Times New Roman" w:cs="Times New Roman"/>
          <w:b/>
          <w:sz w:val="24"/>
          <w:szCs w:val="24"/>
        </w:rPr>
        <w:t xml:space="preserve"> </w:t>
      </w:r>
    </w:p>
    <w:p w14:paraId="55E52FCF" w14:textId="77777777" w:rsidR="008338FF" w:rsidRDefault="004F2A07">
      <w:pPr>
        <w:spacing w:before="24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Article 2</w:t>
      </w:r>
    </w:p>
    <w:p w14:paraId="5467FBA1" w14:textId="77777777" w:rsidR="008338FF" w:rsidRDefault="004F2A07">
      <w:pPr>
        <w:spacing w:before="240"/>
        <w:jc w:val="both"/>
        <w:rPr>
          <w:rFonts w:ascii="Times New Roman" w:eastAsia="Times New Roman" w:hAnsi="Times New Roman" w:cs="Times New Roman"/>
          <w:sz w:val="24"/>
          <w:szCs w:val="24"/>
        </w:rPr>
      </w:pPr>
      <w:r>
        <w:rPr>
          <w:rFonts w:ascii="Times New Roman" w:eastAsia="Times New Roman" w:hAnsi="Times New Roman" w:cs="Times New Roman"/>
        </w:rPr>
        <w:t>Le présent arrêté entre en vigueur le lendemain de sa publication.</w:t>
      </w:r>
      <w:r>
        <w:rPr>
          <w:rFonts w:ascii="Times New Roman" w:eastAsia="Times New Roman" w:hAnsi="Times New Roman" w:cs="Times New Roman"/>
          <w:sz w:val="24"/>
          <w:szCs w:val="24"/>
        </w:rPr>
        <w:t xml:space="preserve"> </w:t>
      </w:r>
    </w:p>
    <w:p w14:paraId="342D2AC1" w14:textId="77777777" w:rsidR="008338FF" w:rsidRDefault="004F2A07">
      <w:pPr>
        <w:spacing w:before="24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Article 3</w:t>
      </w:r>
    </w:p>
    <w:p w14:paraId="43CDEABB" w14:textId="77777777" w:rsidR="008338FF" w:rsidRDefault="004F2A07">
      <w:pPr>
        <w:spacing w:before="240" w:after="240"/>
        <w:rPr>
          <w:rFonts w:ascii="Times New Roman" w:eastAsia="Times New Roman" w:hAnsi="Times New Roman" w:cs="Times New Roman"/>
          <w:sz w:val="24"/>
          <w:szCs w:val="24"/>
        </w:rPr>
      </w:pPr>
      <w:r>
        <w:rPr>
          <w:rFonts w:ascii="Times New Roman" w:eastAsia="Times New Roman" w:hAnsi="Times New Roman" w:cs="Times New Roman"/>
        </w:rPr>
        <w:t xml:space="preserve"> Le directeur général de la santé est chargé de l'exécution du présent arrêté, qui sera publié au </w:t>
      </w:r>
      <w:r>
        <w:rPr>
          <w:rFonts w:ascii="Times New Roman" w:eastAsia="Times New Roman" w:hAnsi="Times New Roman" w:cs="Times New Roman"/>
          <w:i/>
        </w:rPr>
        <w:t>Journal officiel</w:t>
      </w:r>
      <w:r>
        <w:rPr>
          <w:rFonts w:ascii="Times New Roman" w:eastAsia="Times New Roman" w:hAnsi="Times New Roman" w:cs="Times New Roman"/>
        </w:rPr>
        <w:t xml:space="preserve"> de la République française.</w:t>
      </w:r>
    </w:p>
    <w:p w14:paraId="4DB2DFC0" w14:textId="77777777" w:rsidR="008338FF" w:rsidRDefault="004F2A07">
      <w:pPr>
        <w:spacing w:before="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Pour le ministre et par délégation,</w:t>
      </w:r>
    </w:p>
    <w:p w14:paraId="623E9E17" w14:textId="77777777" w:rsidR="008338FF" w:rsidRDefault="004F2A07">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Le directeur général de la santé,</w:t>
      </w:r>
    </w:p>
    <w:p w14:paraId="1743D44A" w14:textId="77777777" w:rsidR="008338FF" w:rsidRDefault="004F2A07">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b/>
          <w:sz w:val="24"/>
          <w:szCs w:val="24"/>
        </w:rPr>
        <w:t>Annexe – Grille d’analyse des situations de risque dans la prise en charge de l’état de santé du patient en raison de l’indisponibilité d’un dispositif médical et mise en œuvre.</w:t>
      </w:r>
      <w:r>
        <w:rPr>
          <w:rFonts w:ascii="Times New Roman" w:eastAsia="Times New Roman" w:hAnsi="Times New Roman" w:cs="Times New Roman"/>
          <w:sz w:val="24"/>
          <w:szCs w:val="24"/>
        </w:rPr>
        <w:t xml:space="preserve"> </w:t>
      </w:r>
    </w:p>
    <w:p w14:paraId="2033DEFF" w14:textId="77777777" w:rsidR="008338FF" w:rsidRDefault="004F2A07">
      <w:pPr>
        <w:spacing w:before="240" w:after="240"/>
        <w:ind w:left="360"/>
        <w:jc w:val="both"/>
        <w:rPr>
          <w:rFonts w:ascii="Times New Roman" w:eastAsia="Times New Roman" w:hAnsi="Times New Roman" w:cs="Times New Roman"/>
          <w:u w:val="single"/>
        </w:rPr>
      </w:pPr>
      <w:r>
        <w:rPr>
          <w:rFonts w:ascii="Times New Roman" w:eastAsia="Times New Roman" w:hAnsi="Times New Roman" w:cs="Times New Roman"/>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u w:val="single"/>
        </w:rPr>
        <w:t>Situation d’application</w:t>
      </w:r>
    </w:p>
    <w:p w14:paraId="00FE9463"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Une situation est qualifiée « à risque » au vu d’un certain contexte et d’éléments divers dont l’impact est à géométrie variable, avec une conséquence dans la prise en charge de l’état de santé du patient. Elle est par définition multifactorielle.</w:t>
      </w:r>
    </w:p>
    <w:p w14:paraId="418F52D6"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Huit critères constituent la grille de risque (cinq sont liés au produit et trois sont liés à la situation de l’opérateur) ainsi que les quatre niveaux de criticité croissante qui leur sont applicables</w:t>
      </w:r>
    </w:p>
    <w:p w14:paraId="3269B06A"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Ces éléments explicatifs doivent être lus en lien avec le logigramme sur les modalités de gestion des situations de risque dans la prise en charge de l’état de santé d’un patient en raison de l’indisponibilité d’un dispositif médical (DM) (</w:t>
      </w:r>
      <w:r>
        <w:rPr>
          <w:rFonts w:ascii="Times New Roman" w:eastAsia="Times New Roman" w:hAnsi="Times New Roman" w:cs="Times New Roman"/>
          <w:i/>
        </w:rPr>
        <w:t>lien internet</w:t>
      </w:r>
      <w:r>
        <w:rPr>
          <w:rFonts w:ascii="Times New Roman" w:eastAsia="Times New Roman" w:hAnsi="Times New Roman" w:cs="Times New Roman"/>
        </w:rPr>
        <w:t>).</w:t>
      </w:r>
    </w:p>
    <w:p w14:paraId="1BA19B31" w14:textId="77777777" w:rsidR="008338FF" w:rsidRDefault="004F2A07">
      <w:pPr>
        <w:spacing w:before="240" w:after="240"/>
        <w:ind w:left="360"/>
        <w:jc w:val="both"/>
        <w:rPr>
          <w:rFonts w:ascii="Times New Roman" w:eastAsia="Times New Roman" w:hAnsi="Times New Roman" w:cs="Times New Roman"/>
          <w:u w:val="single"/>
        </w:rPr>
      </w:pPr>
      <w:r>
        <w:rPr>
          <w:rFonts w:ascii="Times New Roman" w:eastAsia="Times New Roman" w:hAnsi="Times New Roman" w:cs="Times New Roman"/>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u w:val="single"/>
        </w:rPr>
        <w:t>Application de la grille d’analyse et méthode de calcul</w:t>
      </w:r>
    </w:p>
    <w:p w14:paraId="21CB619F"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appartient à l’opérateur de coter les critères applicables au cas de figure qu’il rencontre, en fonction du niveau de criticité qu’il estime le plus objectif. L’opérateur effectue alors le produit (multiplication) des</w:t>
      </w:r>
      <w:r>
        <w:rPr>
          <w:rFonts w:ascii="Times New Roman" w:eastAsia="Times New Roman" w:hAnsi="Times New Roman" w:cs="Times New Roman"/>
          <w:color w:val="FF0000"/>
        </w:rPr>
        <w:t xml:space="preserve"> 8</w:t>
      </w:r>
      <w:r>
        <w:rPr>
          <w:rFonts w:ascii="Times New Roman" w:eastAsia="Times New Roman" w:hAnsi="Times New Roman" w:cs="Times New Roman"/>
        </w:rPr>
        <w:t xml:space="preserve"> chiffres obtenus.</w:t>
      </w:r>
    </w:p>
    <w:p w14:paraId="126CDAC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b/>
          <w:u w:val="single"/>
        </w:rPr>
        <w:t>a. Concernant</w:t>
      </w:r>
      <w:r>
        <w:rPr>
          <w:rFonts w:ascii="Times New Roman" w:eastAsia="Times New Roman" w:hAnsi="Times New Roman" w:cs="Times New Roman"/>
          <w:u w:val="single"/>
        </w:rPr>
        <w:t xml:space="preserve"> </w:t>
      </w:r>
      <w:r>
        <w:rPr>
          <w:rFonts w:ascii="Times New Roman" w:eastAsia="Times New Roman" w:hAnsi="Times New Roman" w:cs="Times New Roman"/>
          <w:b/>
          <w:u w:val="single"/>
        </w:rPr>
        <w:t>les suspensions ou arrêts de commercialisation</w:t>
      </w:r>
      <w:r>
        <w:rPr>
          <w:rFonts w:ascii="Times New Roman" w:eastAsia="Times New Roman" w:hAnsi="Times New Roman" w:cs="Times New Roman"/>
        </w:rPr>
        <w:t>, l’opérateur cote les six premiers critères de la grille, et applique le niveau un pour les critères sept et huit, dans la mesure où les six premiers critères suffisent à coter la criticité des situations de suspension et d’arrêt de commercialisation d’une part, situations pour lesquelles les critères sept et huit sont difficilement applicables d’autre part. Lorsque le score atteint le seuil de criticité fixé à [50], la situation est qualifiée « à risque ». Dès lors, la suspension ou la cessation de commercialisation concernée, ou tout élément connu de l’opérateur susceptible d’entrainer une telle suspension ou cessation, fait l’objet d’une information de l’Agence nationale de sécurité du médicament et des produits de santé dans les conditions définies à l’article D. 5211-73.</w:t>
      </w:r>
    </w:p>
    <w:p w14:paraId="751262E7"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L’objectif poursuivi est celui de partager l’information le plus en amont possible de l’indisponibilité potentielle ou future du DM (selon qu’il s’agit d’une suspension temporaire ou cessation définitive), afin d’anticiper un risque de rupture dans la prise en charge du patient, et de permettre à toute personne concernée de prendre les dispositions les plus adéquates au regard de la prise en charge de l’état de santé du patient, compte tenu notamment du caractère potentiellement définitif de la situation</w:t>
      </w:r>
    </w:p>
    <w:p w14:paraId="5D692AD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b/>
          <w:u w:val="single"/>
        </w:rPr>
        <w:t>b. Concernant les situations de rupture ou de risque de rupture</w:t>
      </w:r>
      <w:r>
        <w:rPr>
          <w:rFonts w:ascii="Times New Roman" w:eastAsia="Times New Roman" w:hAnsi="Times New Roman" w:cs="Times New Roman"/>
        </w:rPr>
        <w:t>, l’opérateur cote chacun des 8 critères. Lorsque le score atteint le seuil de criticité de la situation à risque fixé à [500], l’opérateur concerné a l’obligation de déclarer la rupture ou le risque de rupture à l’Agence nationale de sécurité du médicament et des produits de santé, dans les conditions définies à l’article D. 5211-75. L’objectif poursuivi est celui de partager l’information le plus en amont possible de la rupture ou du risque de rupture dans la disponibilité du DM, quelle qu’en soit la cause, afin que la situation puisse être gérée au plus tôt et que toute personne concernée puisse prendre les dispositions les plus adéquates au regard de la prise en charge de l’état de santé du patient, compte tenu des éléments caractérisant cette situation : durée, alternatives, secteur concerné etc.</w:t>
      </w:r>
    </w:p>
    <w:p w14:paraId="269E05FA" w14:textId="60A962B8"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b/>
          <w:u w:val="single"/>
        </w:rPr>
        <w:lastRenderedPageBreak/>
        <w:t>c. Lorsqu’une situation répond aux deux notions</w:t>
      </w:r>
      <w:r>
        <w:rPr>
          <w:rFonts w:ascii="Times New Roman" w:eastAsia="Times New Roman" w:hAnsi="Times New Roman" w:cs="Times New Roman"/>
        </w:rPr>
        <w:t xml:space="preserve"> (suspension/arrêt de commercialisation et rupture/risque de rupture), celle-ci doit être gérée selon la méthode définie au a. La situation de rupture ou de risque de rupture identifiée et qualifiée comme étant de nature à créer un risque dans la prise en charge de l’état de santé du patient, doit en effet être priorisée et prévaloir sur tout autre événement.</w:t>
      </w:r>
    </w:p>
    <w:p w14:paraId="1758094F"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En cas de difficultés pour apprécier le niveau de criticité d’un critère, ou de possibilité de cotation à différents niveaux, le niveau de criticité le plus élevé doit être retenu.</w:t>
      </w:r>
    </w:p>
    <w:p w14:paraId="2769EC19"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A titre d’exemple, si pour le critère trois, le DM peut être utilisé dans plusieurs situations cliniques, celle correspondant au niveau de risque le plus élevé sera retenue pour le calcul du score.</w:t>
      </w:r>
    </w:p>
    <w:p w14:paraId="2593511A"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Une attention particulière doit être accordée au patient dans l’évaluation de la situation à risque, notamment dans la recherche d’alternatives qui nécessiteraient un apprentissage de l’utilisation du dispositif.</w:t>
      </w:r>
    </w:p>
    <w:p w14:paraId="1F9B1A01"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Enfin, pour rappel, le caractère précoce de toute information et/ou déclaration est le garant d’une prise en charge optimale de l’état de santé du patient.</w:t>
      </w:r>
    </w:p>
    <w:p w14:paraId="1C415DC0" w14:textId="77777777" w:rsidR="008338FF" w:rsidRDefault="004F2A07">
      <w:pPr>
        <w:spacing w:before="240" w:after="240"/>
        <w:ind w:left="360"/>
        <w:jc w:val="both"/>
        <w:rPr>
          <w:rFonts w:ascii="Times New Roman" w:eastAsia="Times New Roman" w:hAnsi="Times New Roman" w:cs="Times New Roman"/>
          <w:u w:val="single"/>
        </w:rPr>
      </w:pPr>
      <w:r>
        <w:rPr>
          <w:rFonts w:ascii="Times New Roman" w:eastAsia="Times New Roman" w:hAnsi="Times New Roman" w:cs="Times New Roman"/>
          <w:b/>
        </w:rPr>
        <w:t>a.</w:t>
      </w:r>
      <w:r>
        <w:rPr>
          <w:rFonts w:ascii="Times New Roman" w:eastAsia="Times New Roman" w:hAnsi="Times New Roman" w:cs="Times New Roman"/>
          <w:sz w:val="14"/>
          <w:szCs w:val="14"/>
        </w:rPr>
        <w:t xml:space="preserve">     </w:t>
      </w:r>
      <w:r>
        <w:rPr>
          <w:rFonts w:ascii="Times New Roman" w:eastAsia="Times New Roman" w:hAnsi="Times New Roman" w:cs="Times New Roman"/>
          <w:u w:val="single"/>
        </w:rPr>
        <w:t>Détail des critères</w:t>
      </w:r>
    </w:p>
    <w:p w14:paraId="12B649DF" w14:textId="77777777" w:rsidR="008338FF" w:rsidRDefault="004F2A07">
      <w:pPr>
        <w:spacing w:before="240" w:after="240"/>
        <w:jc w:val="both"/>
        <w:rPr>
          <w:rFonts w:ascii="Times New Roman" w:eastAsia="Times New Roman" w:hAnsi="Times New Roman" w:cs="Times New Roman"/>
          <w:b/>
          <w:u w:val="single"/>
        </w:rPr>
      </w:pPr>
      <w:r>
        <w:rPr>
          <w:rFonts w:ascii="Times New Roman" w:eastAsia="Times New Roman" w:hAnsi="Times New Roman" w:cs="Times New Roman"/>
        </w:rPr>
        <w:t xml:space="preserve">I - </w:t>
      </w:r>
      <w:r>
        <w:rPr>
          <w:rFonts w:ascii="Times New Roman" w:eastAsia="Times New Roman" w:hAnsi="Times New Roman" w:cs="Times New Roman"/>
          <w:b/>
          <w:u w:val="single"/>
        </w:rPr>
        <w:t>CRITERES LIES AU PRODUIT</w:t>
      </w:r>
    </w:p>
    <w:p w14:paraId="763CAF8C"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1 : alternative (produit ou thérapeutique)</w:t>
      </w:r>
    </w:p>
    <w:p w14:paraId="11278F44"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s’agit pour l’opérateur de coter ce critère en fonction des alternatives produits ou thérapeutiques potentielles disponibles, et de leurs caractéristiques. L’ensemble des modalités de prise en charge alternative des patients doit en effet être pris en compte : autre dispositif, médicament, acte…</w:t>
      </w:r>
    </w:p>
    <w:p w14:paraId="35AFCB7E"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Les caractéristiques liées à l’utilisation du dispositif dans la cadre de la pathologie, ainsi que l’impact de l’indisponibilité des dispositifs concernés sur la prise en charge des patients, sont pris en compte en critère trois.</w:t>
      </w:r>
    </w:p>
    <w:p w14:paraId="341E658F"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convient d’être vigilant sur le caractère non strictement équivalent des alternatives et de tenir compte dans la cotation de ce critère un :</w:t>
      </w:r>
    </w:p>
    <w:p w14:paraId="0D2AEF0D"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du caractère disponible ou non des alternatives identifiées, dès lors que ces informations sont connues de l’opérateur ;</w:t>
      </w:r>
    </w:p>
    <w:p w14:paraId="43217FDE"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de l’impact organisationnel pour les utilisateurs, patients ou professionnels de santé, liés à la mise à disposition de ces alternatives. Une alternative facile à mettre en œuvre présente un impact organisationnel faible (ex : DM de substitution disponible ne nécessitant aucune adaptation de pratique des professionnels ou d’utilisation par le patient). A contrario, une alternative nécessitant une courbe d’apprentissage pour l’utilisateur (patient ou professionnel de santé) est considérée comme ayant un impact organisationnel.</w:t>
      </w:r>
    </w:p>
    <w:p w14:paraId="77333FB0"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A noter sur ce point que si l’utilisateur du DM (exemples : appareils de PPC, lecteurs de glycémie), est le patient, la cotation de ce critère nécessite une prise en compte et une évaluation exhaustive de la courbe d’apprentissage par ce dernier.</w:t>
      </w:r>
    </w:p>
    <w:p w14:paraId="041F2D31" w14:textId="5D3D21BB"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lastRenderedPageBreak/>
        <w:t>Si l’indisponibilité concerne un consommable captif, le critère un « alternative » s’évalue au regard du DM dans son intégralité, et prend en compte notamment les paramètres liés à la mise en œuvre de la solution alternative dans son ensemble. Par exemple, dans le cas de l’indisponibilité d’un consommable captif d’un équipement A (exemple : électrode ou sonde captive d’une console), l’alternative à considérer est celle de l’équipement B complet, avec son propre consommable (dans l’exemple : la console).</w:t>
      </w:r>
    </w:p>
    <w:p w14:paraId="3B1553CB"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2 : produit captif</w:t>
      </w:r>
    </w:p>
    <w:p w14:paraId="3C3C65E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est très important, car garant d’une exhaustivité optimale de la situation et d’une discrimination la plus affinée possible de cette situation particulière. Il s’agit donc d’un critère à part entière, bien distinct du critère un.</w:t>
      </w:r>
    </w:p>
    <w:p w14:paraId="741EB3AC"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s’applique au DM, ainsi qu’aux consommables qui y sont attachés.</w:t>
      </w:r>
    </w:p>
    <w:p w14:paraId="58DFBC61"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Exemples : seringue, captive ou non d’un pousse seringue ; consommable d’ECMO, captif ou non de l’ECMO.</w:t>
      </w:r>
    </w:p>
    <w:p w14:paraId="1A4AA87C"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3 : Pathologie (prévention, diagnostic ou traitement)</w:t>
      </w:r>
    </w:p>
    <w:p w14:paraId="3D2E6F52"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qui porte sur le contexte dans lequel est utilisé le dispositif, s’applique dans le cadre d’une démarche de prévention, de diagnostic ou de traitement de la pathologie concernée.</w:t>
      </w:r>
    </w:p>
    <w:p w14:paraId="39716133"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En cas d’indication du dispositif dans des pathologies multiples, l’évaluation de ce critère prend en compte la situation la plus à risque dans la prise en charge de l’état de santé du patient.</w:t>
      </w:r>
    </w:p>
    <w:p w14:paraId="4DAAB526" w14:textId="77777777" w:rsidR="008338FF" w:rsidRDefault="004F2A07">
      <w:pPr>
        <w:spacing w:after="240"/>
        <w:jc w:val="both"/>
        <w:rPr>
          <w:rFonts w:ascii="Times New Roman" w:eastAsia="Times New Roman" w:hAnsi="Times New Roman" w:cs="Times New Roman"/>
        </w:rPr>
      </w:pPr>
      <w:r>
        <w:rPr>
          <w:rFonts w:ascii="Times New Roman" w:eastAsia="Times New Roman" w:hAnsi="Times New Roman" w:cs="Times New Roman"/>
        </w:rPr>
        <w:t>Précisions sur chacun des quatre niveaux de criticité :</w:t>
      </w:r>
    </w:p>
    <w:p w14:paraId="28F4418E" w14:textId="77777777" w:rsidR="008338FF" w:rsidRDefault="004F2A07">
      <w:pPr>
        <w:spacing w:line="240" w:lineRule="auto"/>
        <w:jc w:val="both"/>
        <w:rPr>
          <w:rFonts w:ascii="Times New Roman" w:eastAsia="Times New Roman" w:hAnsi="Times New Roman" w:cs="Times New Roman"/>
        </w:rPr>
      </w:pPr>
      <w:r>
        <w:rPr>
          <w:rFonts w:ascii="Times New Roman" w:eastAsia="Times New Roman" w:hAnsi="Times New Roman" w:cs="Times New Roman"/>
        </w:rPr>
        <w:t>1. Absence de pathologie, ou absence de conséquences cliniques ;</w:t>
      </w:r>
    </w:p>
    <w:p w14:paraId="3D83BAC1" w14:textId="77777777" w:rsidR="008338FF" w:rsidRDefault="004F2A07">
      <w:pPr>
        <w:spacing w:line="240" w:lineRule="auto"/>
        <w:jc w:val="both"/>
        <w:rPr>
          <w:rFonts w:ascii="Times New Roman" w:eastAsia="Times New Roman" w:hAnsi="Times New Roman" w:cs="Times New Roman"/>
        </w:rPr>
      </w:pPr>
      <w:r>
        <w:rPr>
          <w:rFonts w:ascii="Times New Roman" w:eastAsia="Times New Roman" w:hAnsi="Times New Roman" w:cs="Times New Roman"/>
        </w:rPr>
        <w:t>2. Pathologie bénigne ;</w:t>
      </w:r>
    </w:p>
    <w:p w14:paraId="01A0539C" w14:textId="77777777" w:rsidR="008338FF" w:rsidRDefault="004F2A07">
      <w:pPr>
        <w:spacing w:line="240" w:lineRule="auto"/>
        <w:jc w:val="both"/>
        <w:rPr>
          <w:rFonts w:ascii="Times New Roman" w:eastAsia="Times New Roman" w:hAnsi="Times New Roman" w:cs="Times New Roman"/>
        </w:rPr>
      </w:pPr>
      <w:r>
        <w:rPr>
          <w:rFonts w:ascii="Times New Roman" w:eastAsia="Times New Roman" w:hAnsi="Times New Roman" w:cs="Times New Roman"/>
        </w:rPr>
        <w:t>3. Pathologie grave sans mise en jeu du pronostic vital dans le contexte dans lequel le DM est utilisé ;</w:t>
      </w:r>
    </w:p>
    <w:p w14:paraId="7EB444CF" w14:textId="77777777" w:rsidR="008338FF" w:rsidRDefault="004F2A07">
      <w:pPr>
        <w:spacing w:line="240" w:lineRule="auto"/>
        <w:jc w:val="both"/>
        <w:rPr>
          <w:rFonts w:ascii="Times New Roman" w:eastAsia="Times New Roman" w:hAnsi="Times New Roman" w:cs="Times New Roman"/>
        </w:rPr>
      </w:pPr>
      <w:r>
        <w:rPr>
          <w:rFonts w:ascii="Times New Roman" w:eastAsia="Times New Roman" w:hAnsi="Times New Roman" w:cs="Times New Roman"/>
        </w:rPr>
        <w:t>4. Pathologie mettant en jeu le pronostic vital, ou population fragile (enfants, femmes enceintes, personnes âgées, personnes avec des pathologies graves et chroniques).</w:t>
      </w:r>
    </w:p>
    <w:p w14:paraId="64C0C1C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La chronicité de la pathologie est un facteur aggravant du caractère grave ou lourd de la pathologie, et ne constitue pas à elle seule un critère.</w:t>
      </w:r>
    </w:p>
    <w:p w14:paraId="51D77338"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4 : volume de consommation en France</w:t>
      </w:r>
    </w:p>
    <w:p w14:paraId="516C0974"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porte sur le dispositif concerné.</w:t>
      </w:r>
    </w:p>
    <w:p w14:paraId="38B38660"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ne doit pas être évalué en se basant sur le volume de consommation du dispositif d’un seul CHU ou d’une seule structure de soins (la spécialisation de certains d’entre eux pouvant fausser les données).</w:t>
      </w:r>
    </w:p>
    <w:p w14:paraId="5A36E58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Remarque : s’il s’agit d’un DM orphelin ou de niche et qu’il est utilisé dans le cadre d'une pathologie grave, ce critère 4 sera pondéré par le critère trois.</w:t>
      </w:r>
    </w:p>
    <w:p w14:paraId="0710E914"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Pour les niveaux de criticité deux à quatre : ce critère s’évalue au regard de deux facteurs : fréquence d’utilisation et volume de consommation/nombre de patients ou d’actes.</w:t>
      </w:r>
    </w:p>
    <w:p w14:paraId="2ECA671A" w14:textId="77777777" w:rsidR="008338FF" w:rsidRDefault="008338FF">
      <w:pPr>
        <w:spacing w:before="240" w:after="240"/>
        <w:jc w:val="both"/>
        <w:rPr>
          <w:rFonts w:ascii="Times New Roman" w:eastAsia="Times New Roman" w:hAnsi="Times New Roman" w:cs="Times New Roman"/>
          <w:b/>
        </w:rPr>
      </w:pPr>
    </w:p>
    <w:p w14:paraId="25E22B2F"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lastRenderedPageBreak/>
        <w:t>Critère 5 : parts de marché (en volume)</w:t>
      </w:r>
    </w:p>
    <w:p w14:paraId="709F82A3"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Il s’agit des parts de marché national, déterminées par l'opérateur lui-même au regard de sa place par rapport à ses concurrents (même DM pour la même destination, ou de technologie similaire).</w:t>
      </w:r>
    </w:p>
    <w:p w14:paraId="32639BE1"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Si la tension ou la rupture concerne un consommable captif, le critère des parts de marché s’évalue au regard du DM dans son intégralité, et non uniquement de ce consommable.</w:t>
      </w:r>
    </w:p>
    <w:p w14:paraId="325FD989"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Définition de la position dominante :</w:t>
      </w:r>
    </w:p>
    <w:p w14:paraId="22292B99"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dès lors que l’opérateur a plus de 50% de parts de marché national, il est considéré comme en position dominante, ou ;</w:t>
      </w:r>
    </w:p>
    <w:p w14:paraId="207A435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dans des cas où l’opérateur a moins de 50 % de parts de marché national, la position dominante s’entend de la situation dans laquelle les fabricants concurrents, ont chacun une part de marché largement inférieure à la sienne.</w:t>
      </w:r>
    </w:p>
    <w:p w14:paraId="0D76CB6F"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u w:val="single"/>
        </w:rPr>
        <w:t>II - CRITERES PORTANT SUR LA SITUATION</w:t>
      </w:r>
    </w:p>
    <w:p w14:paraId="21671ED8"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6 : Niveau de maîtrise de la situation (risque de rupture, rupture avérée, ou arrêt de commercialisation) quelle qu'en soit la cause</w:t>
      </w:r>
    </w:p>
    <w:p w14:paraId="0C16FCD1"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Concernant les ruptures et risques de rupture, ce critère évalue la complexité et le niveau de maitrise de la situation par l’opérateur, notamment en regard :</w:t>
      </w:r>
    </w:p>
    <w:p w14:paraId="68EDA82D"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de la nature de la cause, par exemple structurelle ou non,</w:t>
      </w:r>
    </w:p>
    <w:p w14:paraId="0059C6C7"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Exemples de causes non structurelles : grève, blocage logistique, cargo coincé dans le canal de Suez, le cas échéant, action de sécurité selon la cause et les conséquences.</w:t>
      </w:r>
    </w:p>
    <w:p w14:paraId="0F2B8083"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Exemples de causes structurelles : pénurie de matière première, arrêt de chaîne de fabrication lié à une panne de l’outil de fabrication, le cas échéant action de sécurité selon la cause et les conséquences.</w:t>
      </w:r>
    </w:p>
    <w:p w14:paraId="12EDC842"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du niveau de visibilité sur l’échéancier de résolution de la situation.</w:t>
      </w:r>
    </w:p>
    <w:p w14:paraId="47284354"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Concernant les arrêts de commercialisation, l’information anticipée est celle diffusée auprès des clients (acheteurs et/ou utilisateurs) et de</w:t>
      </w:r>
      <w:r>
        <w:t xml:space="preserve"> </w:t>
      </w:r>
      <w:r>
        <w:rPr>
          <w:rFonts w:ascii="Times New Roman" w:eastAsia="Times New Roman" w:hAnsi="Times New Roman" w:cs="Times New Roman"/>
        </w:rPr>
        <w:t>l’Agence nationale de sécurité du médicament et des produits de santé, le cas échéant.</w:t>
      </w:r>
    </w:p>
    <w:p w14:paraId="6EABD81E"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Le point de départ du rétroplanning est la date prévue par le fabricant et transmise au distributeur, d’arrêt de commercialisation, c’est-à-dire la date à laquelle la dernière unité sera/est libérée.</w:t>
      </w:r>
    </w:p>
    <w:p w14:paraId="518EEAD0"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doit prendre en compte notamment la date de fin de disponibilité pour l’opérateur.</w:t>
      </w:r>
    </w:p>
    <w:p w14:paraId="72D30766"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7 : Capacité d'approvisionnement au regard des commandes</w:t>
      </w:r>
    </w:p>
    <w:p w14:paraId="24CFCC18"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A noter que le pourcentage de contingentement correspond au ratio entre le nombre d’unités livrées et le nombre d’unités commandées.</w:t>
      </w:r>
    </w:p>
    <w:p w14:paraId="52D567E5"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Pour rappel, lorsqu’une situation répond aux deux notions (suspension/arrêt de commercialisation et rupture/risque de rupture), celle-ci doit être gérée dans son aspect « rupture » ; la situation de rupture </w:t>
      </w:r>
      <w:r>
        <w:rPr>
          <w:rFonts w:ascii="Times New Roman" w:eastAsia="Times New Roman" w:hAnsi="Times New Roman" w:cs="Times New Roman"/>
        </w:rPr>
        <w:lastRenderedPageBreak/>
        <w:t>ou de risque de rupture, identifiée et qualifiée comme étant de nature à créer un risque dans la prise en charge de l’état de santé du patient, doit en effet être priorisée et prévaloir sur tout autre événement.</w:t>
      </w:r>
    </w:p>
    <w:p w14:paraId="5FFF985A"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s’évalue en fonction des stocks du produit concerné, de la capacité de mise à disposition d’un produit de remplacement par le fabricant ou le distributeur concerné par la situation de risque, ou de la disponibilité d’un produit de remplacement.</w:t>
      </w:r>
    </w:p>
    <w:p w14:paraId="6B849E91"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Pour les suspensions ou arrêts de commercialisation, il est coté en un.</w:t>
      </w:r>
    </w:p>
    <w:p w14:paraId="59C413C4" w14:textId="77777777" w:rsidR="008338FF" w:rsidRDefault="004F2A07">
      <w:pPr>
        <w:spacing w:before="240" w:after="240"/>
        <w:jc w:val="both"/>
        <w:rPr>
          <w:rFonts w:ascii="Times New Roman" w:eastAsia="Times New Roman" w:hAnsi="Times New Roman" w:cs="Times New Roman"/>
          <w:b/>
        </w:rPr>
      </w:pPr>
      <w:r>
        <w:rPr>
          <w:rFonts w:ascii="Times New Roman" w:eastAsia="Times New Roman" w:hAnsi="Times New Roman" w:cs="Times New Roman"/>
          <w:b/>
        </w:rPr>
        <w:t>Critère 8 : Durée prévisionnelle du risque de rupture ou de la rupture estimée par l’opérateur et communiquée aux utilisateurs</w:t>
      </w:r>
    </w:p>
    <w:p w14:paraId="5237200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Ce critère s’évalue en fonction de la date d’échéance de la situation de rupture ou risque de rupture du produit concerné, ou du délai de disponibilité d’un produit de remplacement.</w:t>
      </w:r>
    </w:p>
    <w:p w14:paraId="27D517AB"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Pour les suspensions ou arrêts de commercialisation, il est coté en un.</w:t>
      </w:r>
    </w:p>
    <w:p w14:paraId="34F9D483" w14:textId="77777777" w:rsidR="008338FF" w:rsidRDefault="008338FF">
      <w:pPr>
        <w:spacing w:before="240" w:after="240"/>
        <w:jc w:val="both"/>
        <w:rPr>
          <w:rFonts w:ascii="Times New Roman" w:eastAsia="Times New Roman" w:hAnsi="Times New Roman" w:cs="Times New Roman"/>
        </w:rPr>
      </w:pPr>
    </w:p>
    <w:p w14:paraId="6F5A73D0" w14:textId="77777777" w:rsidR="008338FF" w:rsidRDefault="004F2A07">
      <w:pPr>
        <w:spacing w:before="240" w:after="240"/>
        <w:ind w:left="360"/>
        <w:jc w:val="both"/>
        <w:rPr>
          <w:rFonts w:ascii="Times New Roman" w:eastAsia="Times New Roman" w:hAnsi="Times New Roman" w:cs="Times New Roman"/>
          <w:u w:val="single"/>
        </w:rPr>
      </w:pPr>
      <w:r>
        <w:rPr>
          <w:b/>
        </w:rPr>
        <w:t>b.</w:t>
      </w:r>
      <w:r>
        <w:rPr>
          <w:sz w:val="14"/>
          <w:szCs w:val="14"/>
        </w:rPr>
        <w:t xml:space="preserve">      </w:t>
      </w:r>
      <w:r>
        <w:rPr>
          <w:rFonts w:ascii="Times New Roman" w:eastAsia="Times New Roman" w:hAnsi="Times New Roman" w:cs="Times New Roman"/>
          <w:u w:val="single"/>
        </w:rPr>
        <w:t>Grille d’analyse</w:t>
      </w:r>
    </w:p>
    <w:p w14:paraId="7C19E4AD"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0866B344"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66F7F943" w14:textId="77777777" w:rsidR="008338FF" w:rsidRDefault="008338FF">
      <w:pPr>
        <w:spacing w:before="240" w:after="240"/>
        <w:jc w:val="both"/>
        <w:rPr>
          <w:rFonts w:ascii="Times New Roman" w:eastAsia="Times New Roman" w:hAnsi="Times New Roman" w:cs="Times New Roman"/>
        </w:rPr>
      </w:pPr>
    </w:p>
    <w:p w14:paraId="52227D12" w14:textId="77777777" w:rsidR="008338FF" w:rsidRDefault="008338FF">
      <w:pPr>
        <w:spacing w:before="240" w:after="240"/>
        <w:jc w:val="both"/>
        <w:rPr>
          <w:rFonts w:ascii="Times New Roman" w:eastAsia="Times New Roman" w:hAnsi="Times New Roman" w:cs="Times New Roman"/>
        </w:rPr>
      </w:pPr>
    </w:p>
    <w:p w14:paraId="1024ED70" w14:textId="77777777" w:rsidR="008338FF" w:rsidRDefault="008338FF">
      <w:pPr>
        <w:spacing w:before="240" w:after="240"/>
        <w:jc w:val="both"/>
        <w:rPr>
          <w:rFonts w:ascii="Times New Roman" w:eastAsia="Times New Roman" w:hAnsi="Times New Roman" w:cs="Times New Roman"/>
        </w:rPr>
      </w:pPr>
    </w:p>
    <w:p w14:paraId="73B5A99E" w14:textId="77777777" w:rsidR="008338FF" w:rsidRDefault="008338FF">
      <w:pPr>
        <w:spacing w:before="240" w:after="240"/>
        <w:jc w:val="both"/>
        <w:rPr>
          <w:rFonts w:ascii="Times New Roman" w:eastAsia="Times New Roman" w:hAnsi="Times New Roman" w:cs="Times New Roman"/>
        </w:rPr>
      </w:pPr>
    </w:p>
    <w:p w14:paraId="1B38FAA0" w14:textId="77777777" w:rsidR="008338FF" w:rsidRDefault="008338FF">
      <w:pPr>
        <w:spacing w:before="240" w:after="240"/>
        <w:jc w:val="both"/>
        <w:rPr>
          <w:rFonts w:ascii="Times New Roman" w:eastAsia="Times New Roman" w:hAnsi="Times New Roman" w:cs="Times New Roman"/>
        </w:rPr>
      </w:pPr>
    </w:p>
    <w:p w14:paraId="73F39913" w14:textId="77777777" w:rsidR="008338FF" w:rsidRDefault="008338FF">
      <w:pPr>
        <w:spacing w:before="240" w:after="240"/>
        <w:jc w:val="both"/>
        <w:rPr>
          <w:rFonts w:ascii="Times New Roman" w:eastAsia="Times New Roman" w:hAnsi="Times New Roman" w:cs="Times New Roman"/>
        </w:rPr>
      </w:pPr>
    </w:p>
    <w:p w14:paraId="63445CA5"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50A311C3"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1AED4E4B" w14:textId="77777777" w:rsidR="008338FF" w:rsidRDefault="008338FF">
      <w:pPr>
        <w:spacing w:line="256" w:lineRule="auto"/>
        <w:rPr>
          <w:rFonts w:ascii="Times New Roman" w:eastAsia="Times New Roman" w:hAnsi="Times New Roman" w:cs="Times New Roman"/>
        </w:rPr>
      </w:pPr>
    </w:p>
    <w:p w14:paraId="1CE14EAB" w14:textId="77777777" w:rsidR="008338FF" w:rsidRDefault="008338FF">
      <w:pPr>
        <w:spacing w:line="256" w:lineRule="auto"/>
        <w:rPr>
          <w:rFonts w:ascii="Times New Roman" w:eastAsia="Times New Roman" w:hAnsi="Times New Roman" w:cs="Times New Roman"/>
        </w:rPr>
      </w:pPr>
    </w:p>
    <w:p w14:paraId="0A93AB2D" w14:textId="77777777" w:rsidR="008338FF" w:rsidRDefault="004F2A07">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 </w:t>
      </w:r>
    </w:p>
    <w:p w14:paraId="5E1A8189" w14:textId="77777777" w:rsidR="008338FF" w:rsidRDefault="008338FF">
      <w:pPr>
        <w:spacing w:before="240" w:after="240"/>
        <w:jc w:val="both"/>
        <w:rPr>
          <w:rFonts w:ascii="Times New Roman" w:eastAsia="Times New Roman" w:hAnsi="Times New Roman" w:cs="Times New Roman"/>
        </w:rPr>
        <w:sectPr w:rsidR="008338FF">
          <w:headerReference w:type="even" r:id="rId6"/>
          <w:headerReference w:type="default" r:id="rId7"/>
          <w:footerReference w:type="even" r:id="rId8"/>
          <w:footerReference w:type="default" r:id="rId9"/>
          <w:headerReference w:type="first" r:id="rId10"/>
          <w:footerReference w:type="first" r:id="rId11"/>
          <w:pgSz w:w="11909" w:h="16834"/>
          <w:pgMar w:top="1440" w:right="1440" w:bottom="1440" w:left="1440" w:header="720" w:footer="720" w:gutter="0"/>
          <w:pgNumType w:start="1"/>
          <w:cols w:space="720"/>
        </w:sectPr>
      </w:pPr>
    </w:p>
    <w:p w14:paraId="39E85AB5" w14:textId="77777777" w:rsidR="008338FF" w:rsidRDefault="004F2A07">
      <w:pPr>
        <w:spacing w:before="240" w:after="240"/>
        <w:ind w:left="-992" w:right="-916"/>
        <w:jc w:val="both"/>
      </w:pPr>
      <w:r>
        <w:rPr>
          <w:rFonts w:ascii="Times New Roman" w:eastAsia="Times New Roman" w:hAnsi="Times New Roman" w:cs="Times New Roman"/>
          <w:noProof/>
          <w:lang w:val="fr-FR" w:eastAsia="fr-FR"/>
        </w:rPr>
        <w:lastRenderedPageBreak/>
        <w:drawing>
          <wp:inline distT="114300" distB="114300" distL="114300" distR="114300" wp14:anchorId="27FDD0B0" wp14:editId="4F3BAB6E">
            <wp:extent cx="10110048" cy="297656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10110048" cy="2976563"/>
                    </a:xfrm>
                    <a:prstGeom prst="rect">
                      <a:avLst/>
                    </a:prstGeom>
                    <a:ln/>
                  </pic:spPr>
                </pic:pic>
              </a:graphicData>
            </a:graphic>
          </wp:inline>
        </w:drawing>
      </w:r>
    </w:p>
    <w:sectPr w:rsidR="008338FF">
      <w:pgSz w:w="16834" w:h="11909" w:orient="landscape"/>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18064F" w14:textId="77777777" w:rsidR="003C7557" w:rsidRDefault="003C7557" w:rsidP="002903BA">
      <w:pPr>
        <w:spacing w:line="240" w:lineRule="auto"/>
      </w:pPr>
      <w:r>
        <w:separator/>
      </w:r>
    </w:p>
  </w:endnote>
  <w:endnote w:type="continuationSeparator" w:id="0">
    <w:p w14:paraId="15F4C34B" w14:textId="77777777" w:rsidR="003C7557" w:rsidRDefault="003C7557" w:rsidP="002903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90A9E" w14:textId="77777777" w:rsidR="002903BA" w:rsidRDefault="002903B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4D37B" w14:textId="77777777" w:rsidR="002903BA" w:rsidRDefault="002903B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2B647A" w14:textId="77777777" w:rsidR="002903BA" w:rsidRDefault="002903B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CCB98A" w14:textId="77777777" w:rsidR="003C7557" w:rsidRDefault="003C7557" w:rsidP="002903BA">
      <w:pPr>
        <w:spacing w:line="240" w:lineRule="auto"/>
      </w:pPr>
      <w:r>
        <w:separator/>
      </w:r>
    </w:p>
  </w:footnote>
  <w:footnote w:type="continuationSeparator" w:id="0">
    <w:p w14:paraId="69B962BF" w14:textId="77777777" w:rsidR="003C7557" w:rsidRDefault="003C7557" w:rsidP="002903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E2F5D" w14:textId="77777777" w:rsidR="002903BA" w:rsidRDefault="002903B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89351A" w14:textId="77777777" w:rsidR="002903BA" w:rsidRDefault="002903B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704531" w14:textId="77777777" w:rsidR="002903BA" w:rsidRDefault="002903B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8FF"/>
    <w:rsid w:val="00202123"/>
    <w:rsid w:val="002531A2"/>
    <w:rsid w:val="002903BA"/>
    <w:rsid w:val="002F5C4D"/>
    <w:rsid w:val="003C7557"/>
    <w:rsid w:val="004F2A07"/>
    <w:rsid w:val="008338FF"/>
    <w:rsid w:val="008F08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02C4F1"/>
  <w15:docId w15:val="{DADEF94A-D17D-4162-AA94-0946E5A2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fr"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00" w:after="120"/>
      <w:outlineLvl w:val="0"/>
    </w:pPr>
    <w:rPr>
      <w:sz w:val="40"/>
      <w:szCs w:val="40"/>
    </w:rPr>
  </w:style>
  <w:style w:type="paragraph" w:styleId="Titre2">
    <w:name w:val="heading 2"/>
    <w:basedOn w:val="Normal"/>
    <w:next w:val="Normal"/>
    <w:pPr>
      <w:keepNext/>
      <w:keepLines/>
      <w:spacing w:before="360" w:after="120"/>
      <w:outlineLvl w:val="1"/>
    </w:pPr>
    <w:rPr>
      <w:sz w:val="32"/>
      <w:szCs w:val="32"/>
    </w:rPr>
  </w:style>
  <w:style w:type="paragraph" w:styleId="Titre3">
    <w:name w:val="heading 3"/>
    <w:basedOn w:val="Normal"/>
    <w:next w:val="Normal"/>
    <w:pPr>
      <w:keepNext/>
      <w:keepLines/>
      <w:spacing w:before="320" w:after="80"/>
      <w:outlineLvl w:val="2"/>
    </w:pPr>
    <w:rPr>
      <w:color w:val="434343"/>
      <w:sz w:val="28"/>
      <w:szCs w:val="28"/>
    </w:rPr>
  </w:style>
  <w:style w:type="paragraph" w:styleId="Titre4">
    <w:name w:val="heading 4"/>
    <w:basedOn w:val="Normal"/>
    <w:next w:val="Normal"/>
    <w:pPr>
      <w:keepNext/>
      <w:keepLines/>
      <w:spacing w:before="280" w:after="80"/>
      <w:outlineLvl w:val="3"/>
    </w:pPr>
    <w:rPr>
      <w:color w:val="666666"/>
      <w:sz w:val="24"/>
      <w:szCs w:val="24"/>
    </w:rPr>
  </w:style>
  <w:style w:type="paragraph" w:styleId="Titre5">
    <w:name w:val="heading 5"/>
    <w:basedOn w:val="Normal"/>
    <w:next w:val="Normal"/>
    <w:pPr>
      <w:keepNext/>
      <w:keepLines/>
      <w:spacing w:before="240" w:after="80"/>
      <w:outlineLvl w:val="4"/>
    </w:pPr>
    <w:rPr>
      <w:color w:val="666666"/>
    </w:rPr>
  </w:style>
  <w:style w:type="paragraph" w:styleId="Titre6">
    <w:name w:val="heading 6"/>
    <w:basedOn w:val="Normal"/>
    <w:next w:val="Normal"/>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pPr>
      <w:keepNext/>
      <w:keepLines/>
      <w:spacing w:after="60"/>
    </w:pPr>
    <w:rPr>
      <w:sz w:val="52"/>
      <w:szCs w:val="52"/>
    </w:rPr>
  </w:style>
  <w:style w:type="paragraph" w:styleId="Sous-titr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8F0818"/>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F0818"/>
    <w:rPr>
      <w:rFonts w:ascii="Segoe UI" w:hAnsi="Segoe UI" w:cs="Segoe UI"/>
      <w:sz w:val="18"/>
      <w:szCs w:val="18"/>
    </w:rPr>
  </w:style>
  <w:style w:type="paragraph" w:styleId="En-tte">
    <w:name w:val="header"/>
    <w:basedOn w:val="Normal"/>
    <w:link w:val="En-tteCar"/>
    <w:uiPriority w:val="99"/>
    <w:unhideWhenUsed/>
    <w:rsid w:val="002903BA"/>
    <w:pPr>
      <w:tabs>
        <w:tab w:val="center" w:pos="4536"/>
        <w:tab w:val="right" w:pos="9072"/>
      </w:tabs>
      <w:spacing w:line="240" w:lineRule="auto"/>
    </w:pPr>
  </w:style>
  <w:style w:type="character" w:customStyle="1" w:styleId="En-tteCar">
    <w:name w:val="En-tête Car"/>
    <w:basedOn w:val="Policepardfaut"/>
    <w:link w:val="En-tte"/>
    <w:uiPriority w:val="99"/>
    <w:rsid w:val="002903BA"/>
  </w:style>
  <w:style w:type="paragraph" w:styleId="Pieddepage">
    <w:name w:val="footer"/>
    <w:basedOn w:val="Normal"/>
    <w:link w:val="PieddepageCar"/>
    <w:uiPriority w:val="99"/>
    <w:unhideWhenUsed/>
    <w:rsid w:val="002903BA"/>
    <w:pPr>
      <w:tabs>
        <w:tab w:val="center" w:pos="4536"/>
        <w:tab w:val="right" w:pos="9072"/>
      </w:tabs>
      <w:spacing w:line="240" w:lineRule="auto"/>
    </w:pPr>
  </w:style>
  <w:style w:type="character" w:customStyle="1" w:styleId="PieddepageCar">
    <w:name w:val="Pied de page Car"/>
    <w:basedOn w:val="Policepardfaut"/>
    <w:link w:val="Pieddepage"/>
    <w:uiPriority w:val="99"/>
    <w:rsid w:val="002903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2105</Words>
  <Characters>11583</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
    </vt:vector>
  </TitlesOfParts>
  <Company>Ministère des affaires sociales</Company>
  <LinksUpToDate>false</LinksUpToDate>
  <CharactersWithSpaces>13661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FELKER, Gwendoline (ARS-PACA/DPRS/OMEDIT)</dc:creator>
  <cp:lastModifiedBy>PICHON, Pascal (ARS-BFC/BFC/DSP)</cp:lastModifiedBy>
  <cp:revision>2</cp:revision>
  <dcterms:created xsi:type="dcterms:W3CDTF">2024-02-22T08:38:00Z</dcterms:created>
  <dcterms:modified xsi:type="dcterms:W3CDTF">2024-02-22T08:38:00Z</dcterms:modified>
</cp:coreProperties>
</file>