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4F38" w:rsidRDefault="00184F38"/>
    <w:tbl>
      <w:tblPr>
        <w:tblStyle w:val="a"/>
        <w:tblW w:w="870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395"/>
        <w:gridCol w:w="4305"/>
      </w:tblGrid>
      <w:tr w:rsidR="00184F38">
        <w:trPr>
          <w:trHeight w:val="455"/>
        </w:trPr>
        <w:tc>
          <w:tcPr>
            <w:tcW w:w="4395" w:type="dxa"/>
            <w:tcBorders>
              <w:top w:val="nil"/>
              <w:left w:val="nil"/>
              <w:bottom w:val="nil"/>
              <w:right w:val="nil"/>
            </w:tcBorders>
            <w:tcMar>
              <w:top w:w="60" w:type="dxa"/>
              <w:left w:w="60" w:type="dxa"/>
              <w:bottom w:w="60" w:type="dxa"/>
              <w:right w:w="60" w:type="dxa"/>
            </w:tcMar>
          </w:tcPr>
          <w:p w:rsidR="00184F38" w:rsidRDefault="005A39D7">
            <w:pPr>
              <w:spacing w:before="240" w:after="240"/>
              <w:ind w:right="100"/>
            </w:pPr>
            <w:r>
              <w:t>RÉPUBLIQUE FRANÇAISE</w:t>
            </w:r>
          </w:p>
        </w:tc>
        <w:tc>
          <w:tcPr>
            <w:tcW w:w="4305" w:type="dxa"/>
            <w:tcBorders>
              <w:top w:val="nil"/>
              <w:left w:val="nil"/>
              <w:bottom w:val="nil"/>
              <w:right w:val="nil"/>
            </w:tcBorders>
            <w:shd w:val="clear" w:color="auto" w:fill="auto"/>
            <w:tcMar>
              <w:top w:w="0" w:type="dxa"/>
              <w:left w:w="0" w:type="dxa"/>
              <w:bottom w:w="0" w:type="dxa"/>
              <w:right w:w="0" w:type="dxa"/>
            </w:tcMar>
          </w:tcPr>
          <w:p w:rsidR="00184F38" w:rsidRDefault="005A39D7">
            <w:pPr>
              <w:spacing w:before="240" w:after="240"/>
              <w:ind w:left="100" w:right="100"/>
            </w:pPr>
            <w:r>
              <w:t xml:space="preserve"> </w:t>
            </w:r>
          </w:p>
        </w:tc>
      </w:tr>
      <w:tr w:rsidR="00184F38">
        <w:trPr>
          <w:trHeight w:val="111"/>
        </w:trPr>
        <w:tc>
          <w:tcPr>
            <w:tcW w:w="4395" w:type="dxa"/>
            <w:tcBorders>
              <w:top w:val="nil"/>
              <w:left w:val="nil"/>
              <w:bottom w:val="nil"/>
              <w:right w:val="nil"/>
            </w:tcBorders>
            <w:shd w:val="clear" w:color="auto" w:fill="auto"/>
            <w:tcMar>
              <w:top w:w="60" w:type="dxa"/>
              <w:left w:w="60" w:type="dxa"/>
              <w:bottom w:w="60" w:type="dxa"/>
              <w:right w:w="60" w:type="dxa"/>
            </w:tcMar>
          </w:tcPr>
          <w:p w:rsidR="00184F38" w:rsidRDefault="005A39D7">
            <w:pPr>
              <w:spacing w:before="240" w:after="240"/>
              <w:ind w:right="-508"/>
            </w:pPr>
            <w:r>
              <w:pict>
                <v:rect id="_x0000_i1025" style="width:0;height:1.5pt" o:hralign="center" o:hrstd="t" o:hr="t" fillcolor="#a0a0a0" stroked="f"/>
              </w:pict>
            </w:r>
          </w:p>
          <w:p w:rsidR="00184F38" w:rsidRDefault="005A39D7">
            <w:pPr>
              <w:spacing w:before="240" w:after="240"/>
              <w:ind w:left="100" w:right="-508"/>
            </w:pPr>
            <w:r>
              <w:t>Ministère de la santé et de la prévention</w:t>
            </w:r>
          </w:p>
          <w:p w:rsidR="00184F38" w:rsidRDefault="005A39D7">
            <w:pPr>
              <w:spacing w:before="240" w:after="240"/>
              <w:ind w:left="100" w:right="-508"/>
            </w:pPr>
            <w:r>
              <w:pict>
                <v:rect id="_x0000_i1026" style="width:0;height:1.5pt" o:hralign="center" o:hrstd="t" o:hr="t" fillcolor="#a0a0a0" stroked="f"/>
              </w:pict>
            </w:r>
          </w:p>
        </w:tc>
        <w:tc>
          <w:tcPr>
            <w:tcW w:w="4305" w:type="dxa"/>
            <w:tcBorders>
              <w:top w:val="nil"/>
              <w:left w:val="nil"/>
              <w:bottom w:val="nil"/>
              <w:right w:val="nil"/>
            </w:tcBorders>
            <w:shd w:val="clear" w:color="auto" w:fill="auto"/>
            <w:tcMar>
              <w:top w:w="0" w:type="dxa"/>
              <w:left w:w="0" w:type="dxa"/>
              <w:bottom w:w="0" w:type="dxa"/>
              <w:right w:w="0" w:type="dxa"/>
            </w:tcMar>
          </w:tcPr>
          <w:p w:rsidR="00184F38" w:rsidRDefault="005A39D7">
            <w:pPr>
              <w:spacing w:before="240" w:after="240"/>
              <w:ind w:left="100" w:right="100"/>
            </w:pPr>
            <w:r>
              <w:t xml:space="preserve"> </w:t>
            </w:r>
          </w:p>
        </w:tc>
      </w:tr>
      <w:tr w:rsidR="00184F38">
        <w:trPr>
          <w:trHeight w:val="540"/>
        </w:trPr>
        <w:tc>
          <w:tcPr>
            <w:tcW w:w="8700" w:type="dxa"/>
            <w:gridSpan w:val="2"/>
            <w:tcBorders>
              <w:top w:val="nil"/>
              <w:left w:val="nil"/>
              <w:bottom w:val="nil"/>
              <w:right w:val="nil"/>
            </w:tcBorders>
            <w:shd w:val="clear" w:color="auto" w:fill="auto"/>
            <w:tcMar>
              <w:top w:w="0" w:type="dxa"/>
              <w:left w:w="80" w:type="dxa"/>
              <w:bottom w:w="0" w:type="dxa"/>
              <w:right w:w="80" w:type="dxa"/>
            </w:tcMar>
          </w:tcPr>
          <w:p w:rsidR="00184F38" w:rsidRDefault="005A39D7">
            <w:pPr>
              <w:spacing w:before="240" w:after="240"/>
              <w:ind w:left="100" w:right="100"/>
              <w:rPr>
                <w:sz w:val="24"/>
                <w:szCs w:val="24"/>
                <w:highlight w:val="white"/>
              </w:rPr>
            </w:pPr>
            <w:r>
              <w:rPr>
                <w:sz w:val="24"/>
                <w:szCs w:val="24"/>
                <w:highlight w:val="white"/>
              </w:rPr>
              <w:t xml:space="preserve">Décret n° 2023 […] du […] 2023 </w:t>
            </w:r>
            <w:bookmarkStart w:id="0" w:name="_GoBack"/>
            <w:r>
              <w:rPr>
                <w:sz w:val="24"/>
                <w:szCs w:val="24"/>
                <w:highlight w:val="white"/>
              </w:rPr>
              <w:t>pris en application de l’article L. 5211-5-1 du code de la santé publique</w:t>
            </w:r>
            <w:bookmarkEnd w:id="0"/>
          </w:p>
        </w:tc>
      </w:tr>
    </w:tbl>
    <w:p w:rsidR="00184F38" w:rsidRDefault="005A39D7">
      <w:pPr>
        <w:spacing w:before="240" w:after="240" w:line="254" w:lineRule="auto"/>
        <w:ind w:firstLine="720"/>
        <w:jc w:val="both"/>
        <w:rPr>
          <w:i/>
        </w:rPr>
      </w:pPr>
      <w:r>
        <w:rPr>
          <w:b/>
          <w:i/>
        </w:rPr>
        <w:t>Publics concernés :</w:t>
      </w:r>
      <w:r>
        <w:rPr>
          <w:i/>
        </w:rPr>
        <w:t xml:space="preserve"> Agence nationale de sécurité du médicament et des produits de santé, fabricants de dispositifs médicaux et mandataires, </w:t>
      </w:r>
      <w:proofErr w:type="gramStart"/>
      <w:r>
        <w:rPr>
          <w:i/>
        </w:rPr>
        <w:t>personne qui se livre</w:t>
      </w:r>
      <w:proofErr w:type="gramEnd"/>
      <w:r>
        <w:rPr>
          <w:i/>
        </w:rPr>
        <w:t xml:space="preserve"> à l’importation ou à la distribution de dispositifs médicaux, à l'exclusion de la vente au détail, utilisateurs.</w:t>
      </w:r>
    </w:p>
    <w:p w:rsidR="00184F38" w:rsidRDefault="005A39D7">
      <w:pPr>
        <w:spacing w:after="120" w:line="254" w:lineRule="auto"/>
        <w:ind w:left="700"/>
        <w:jc w:val="both"/>
        <w:rPr>
          <w:i/>
        </w:rPr>
      </w:pPr>
      <w:r>
        <w:rPr>
          <w:b/>
          <w:i/>
        </w:rPr>
        <w:t>Objet :</w:t>
      </w:r>
      <w:r>
        <w:rPr>
          <w:i/>
        </w:rPr>
        <w:t xml:space="preserve"> décret permettant de préciser les critères et conditions de mise en œuvre de l’article L. 5211-5-1 du code la santé publique en cas de risque dans la prise en charge de l’état de santé du patient pour motif d’indisponibilité du dispositif médical.</w:t>
      </w:r>
    </w:p>
    <w:p w:rsidR="00184F38" w:rsidRDefault="005A39D7">
      <w:pPr>
        <w:spacing w:before="240" w:after="240" w:line="254" w:lineRule="auto"/>
        <w:ind w:left="700"/>
        <w:jc w:val="both"/>
        <w:rPr>
          <w:i/>
        </w:rPr>
      </w:pPr>
      <w:r>
        <w:rPr>
          <w:b/>
          <w:i/>
        </w:rPr>
        <w:t>Entrée en vigueur :</w:t>
      </w:r>
      <w:r>
        <w:rPr>
          <w:i/>
        </w:rPr>
        <w:t xml:space="preserve"> le texte entre en vigueur au lendemain de sa publication.</w:t>
      </w:r>
    </w:p>
    <w:p w:rsidR="00184F38" w:rsidRDefault="005A39D7">
      <w:pPr>
        <w:spacing w:before="240" w:after="240" w:line="254" w:lineRule="auto"/>
        <w:ind w:firstLine="720"/>
        <w:jc w:val="both"/>
        <w:rPr>
          <w:i/>
        </w:rPr>
      </w:pPr>
      <w:r>
        <w:rPr>
          <w:b/>
          <w:i/>
        </w:rPr>
        <w:t>Notice :</w:t>
      </w:r>
      <w:r>
        <w:rPr>
          <w:i/>
        </w:rPr>
        <w:t xml:space="preserve"> Le présent décret est pris en application de l’article L. 5211-5-1 du code de la santé publique qui prévoit des nouvelles obligations pour certains opérateurs économique</w:t>
      </w:r>
      <w:r>
        <w:rPr>
          <w:i/>
        </w:rPr>
        <w:t>s en cas de situation de risque dans la prise en charge de l’état de santé du patient en raison de l’indisponibilité d’un dispositif médical. Le présent décret précise les modalités de mise en œuvre de l’information des suspensions et cessations de commerc</w:t>
      </w:r>
      <w:r>
        <w:rPr>
          <w:i/>
        </w:rPr>
        <w:t xml:space="preserve">ialisation et de la déclaration des risques de rupture et rupture de dispositifs médicaux auprès de l’Agence nationale de sécurité du médicament et des produits de santé. Les critères qui permettent de caractériser des situations de risque de rupture dans </w:t>
      </w:r>
      <w:r>
        <w:rPr>
          <w:i/>
        </w:rPr>
        <w:t>la prise en charge de l’état de santé du patient seront fixés par arrêté.</w:t>
      </w:r>
    </w:p>
    <w:p w:rsidR="00184F38" w:rsidRDefault="005A39D7">
      <w:pPr>
        <w:spacing w:before="240" w:after="240" w:line="254" w:lineRule="auto"/>
        <w:ind w:firstLine="720"/>
        <w:jc w:val="both"/>
      </w:pPr>
      <w:r>
        <w:rPr>
          <w:b/>
          <w:i/>
        </w:rPr>
        <w:t>Référence</w:t>
      </w:r>
      <w:r>
        <w:rPr>
          <w:i/>
        </w:rPr>
        <w:t xml:space="preserve"> : Le code de la santé publique (partie règlementaire) modifié par le présent décret peut être consulté dans sa rédaction issue de cette modification, sur le site Légifrance</w:t>
      </w:r>
      <w:r>
        <w:rPr>
          <w:i/>
        </w:rPr>
        <w:t xml:space="preserve"> (</w:t>
      </w:r>
      <w:hyperlink r:id="rId6">
        <w:r>
          <w:rPr>
            <w:rFonts w:ascii="Times New Roman" w:eastAsia="Times New Roman" w:hAnsi="Times New Roman" w:cs="Times New Roman"/>
            <w:i/>
            <w:sz w:val="24"/>
            <w:szCs w:val="24"/>
            <w:u w:val="single"/>
          </w:rPr>
          <w:t>http://www.legifrance.gouv.fr</w:t>
        </w:r>
      </w:hyperlink>
      <w:r>
        <w:rPr>
          <w:i/>
        </w:rPr>
        <w:t>).</w:t>
      </w:r>
    </w:p>
    <w:p w:rsidR="00184F38" w:rsidRDefault="005A39D7">
      <w:pPr>
        <w:spacing w:before="240" w:after="240"/>
        <w:jc w:val="both"/>
        <w:rPr>
          <w:b/>
        </w:rPr>
      </w:pPr>
      <w:r>
        <w:rPr>
          <w:b/>
        </w:rPr>
        <w:t>La Première ministre,</w:t>
      </w:r>
    </w:p>
    <w:p w:rsidR="00184F38" w:rsidRDefault="005A39D7">
      <w:pPr>
        <w:spacing w:before="240" w:after="120"/>
        <w:jc w:val="both"/>
      </w:pPr>
      <w:r>
        <w:t>Sur le rapport du ministre de la santé et de la prévention,</w:t>
      </w:r>
    </w:p>
    <w:p w:rsidR="00184F38" w:rsidRDefault="005A39D7">
      <w:pPr>
        <w:spacing w:before="240" w:after="120"/>
        <w:jc w:val="both"/>
      </w:pPr>
      <w:r>
        <w:t>Vu le code de la santé publique, notamment son article L. 5211-5-1,</w:t>
      </w:r>
    </w:p>
    <w:p w:rsidR="00184F38" w:rsidRDefault="00184F38">
      <w:pPr>
        <w:spacing w:before="240" w:after="120"/>
        <w:jc w:val="center"/>
        <w:rPr>
          <w:b/>
        </w:rPr>
      </w:pPr>
    </w:p>
    <w:p w:rsidR="00184F38" w:rsidRDefault="005A39D7">
      <w:pPr>
        <w:spacing w:before="240" w:after="120"/>
        <w:jc w:val="center"/>
      </w:pPr>
      <w:r>
        <w:rPr>
          <w:b/>
        </w:rPr>
        <w:t>Décrète :</w:t>
      </w:r>
    </w:p>
    <w:p w:rsidR="00184F38" w:rsidRDefault="005A39D7">
      <w:pPr>
        <w:spacing w:before="240" w:after="240"/>
        <w:jc w:val="center"/>
      </w:pPr>
      <w:r>
        <w:rPr>
          <w:b/>
        </w:rPr>
        <w:t>Article 1</w:t>
      </w:r>
      <w:r>
        <w:rPr>
          <w:b/>
          <w:vertAlign w:val="superscript"/>
        </w:rPr>
        <w:t>er</w:t>
      </w:r>
    </w:p>
    <w:p w:rsidR="00184F38" w:rsidRDefault="005A39D7">
      <w:pPr>
        <w:spacing w:before="240" w:after="240"/>
        <w:jc w:val="both"/>
      </w:pPr>
      <w:r>
        <w:lastRenderedPageBreak/>
        <w:t>Après la section 11 du chapitre Ier du Titre Ier du Livre II de la cinquième partie règlementaire du code de la santé publique, il est inséré une nouvelle section 12 ainsi rédigée :</w:t>
      </w:r>
    </w:p>
    <w:p w:rsidR="00184F38" w:rsidRDefault="005A39D7">
      <w:pPr>
        <w:spacing w:before="240" w:after="240"/>
        <w:jc w:val="center"/>
        <w:rPr>
          <w:i/>
          <w:smallCaps/>
        </w:rPr>
      </w:pPr>
      <w:r>
        <w:t xml:space="preserve">« </w:t>
      </w:r>
      <w:r>
        <w:rPr>
          <w:i/>
          <w:smallCaps/>
        </w:rPr>
        <w:t>Section 12</w:t>
      </w:r>
    </w:p>
    <w:p w:rsidR="00184F38" w:rsidRDefault="005A39D7">
      <w:pPr>
        <w:spacing w:before="240" w:after="240"/>
        <w:jc w:val="center"/>
      </w:pPr>
      <w:r>
        <w:t xml:space="preserve">« </w:t>
      </w:r>
      <w:r>
        <w:rPr>
          <w:b/>
          <w:i/>
          <w:smallCaps/>
        </w:rPr>
        <w:t xml:space="preserve">Situations de risque dans la prise en charge de l’état de </w:t>
      </w:r>
      <w:r>
        <w:rPr>
          <w:b/>
          <w:i/>
          <w:smallCaps/>
        </w:rPr>
        <w:t>santé du patient en raison de l’indisponibilité d’un dispositif médical</w:t>
      </w:r>
    </w:p>
    <w:p w:rsidR="00184F38" w:rsidRDefault="005A39D7">
      <w:pPr>
        <w:spacing w:before="240" w:after="240"/>
        <w:jc w:val="both"/>
      </w:pPr>
      <w:r>
        <w:t>« Art. D. 5211-72. – Les critères permettant, aux personnes visées à l’alinéa second du I de l’article L. 5211-5-1, de qualifier une situation de risque dans la prise en charge de l’ét</w:t>
      </w:r>
      <w:r>
        <w:t xml:space="preserve">at de santé du patient en raison de l’indisponibilité d’un dispositif médical sont déterminés par arrêté du ministre de la santé sur proposition du directeur général de l'Agence nationale de sécurité du médicament et des produits de santé. </w:t>
      </w:r>
    </w:p>
    <w:p w:rsidR="00184F38" w:rsidRDefault="005A39D7">
      <w:pPr>
        <w:spacing w:before="240" w:after="240"/>
        <w:jc w:val="both"/>
      </w:pPr>
      <w:r>
        <w:t>« Art. D. 5211-</w:t>
      </w:r>
      <w:r>
        <w:t>73. –  En application du II de l’article L. 5211-5-1 :</w:t>
      </w:r>
    </w:p>
    <w:p w:rsidR="00184F38" w:rsidRDefault="005A39D7">
      <w:pPr>
        <w:spacing w:before="240" w:after="240"/>
        <w:jc w:val="both"/>
      </w:pPr>
      <w:r>
        <w:t>« 1° Dans les situations répondant aux critères définis par arrêté ministériel visé à l’article D. 5211-72, lorsque les personnes mentionnées à l’article susvisé prennent la décision de suspendre ou de cesser la commercialisation d’un dispositif médical su</w:t>
      </w:r>
      <w:r>
        <w:t xml:space="preserve">sceptible d’entrainer une situation de risque dans la prise en charge de l’état de santé du patient en raison de son indisponibilité, elles </w:t>
      </w:r>
      <w:r>
        <w:t xml:space="preserve">le déclarent à </w:t>
      </w:r>
      <w:r>
        <w:t xml:space="preserve">l'Agence nationale de sécurité du médicament et des produits de santé dès la prise de décision et au </w:t>
      </w:r>
      <w:r>
        <w:t xml:space="preserve">plus tard un mois après la prise de décision. </w:t>
      </w:r>
      <w:r>
        <w:t>Dans tous les cas, cette déclaration devra avoir lieu avant l’arrêt effectif de commercialisation.</w:t>
      </w:r>
      <w:r>
        <w:t xml:space="preserve"> Cette </w:t>
      </w:r>
      <w:proofErr w:type="gramStart"/>
      <w:r>
        <w:t xml:space="preserve">déclaration </w:t>
      </w:r>
      <w:r>
        <w:t xml:space="preserve"> est</w:t>
      </w:r>
      <w:proofErr w:type="gramEnd"/>
      <w:r>
        <w:t xml:space="preserve"> effectuée par voie électronique, dans les conditions et selon les modalités f</w:t>
      </w:r>
      <w:r>
        <w:t>ixées par décision du directeur général de l'Agence nationale de sécurité du médicament et des produits de santé.</w:t>
      </w:r>
    </w:p>
    <w:p w:rsidR="00184F38" w:rsidRDefault="005A39D7">
      <w:pPr>
        <w:spacing w:before="240" w:after="240"/>
        <w:jc w:val="both"/>
      </w:pPr>
      <w:r>
        <w:t xml:space="preserve">« 2° Dans les situations répondant aux critères définis par arrêté ministériel visé à l’article D. 5211-72, lorsque les personnes mentionnées </w:t>
      </w:r>
      <w:r>
        <w:t>à l’article susvisé ont connaissance de faits susceptibles d’entraîner la suspension ou la cessation de commercialisation d’un dispositif médical dont l’indisponibilité entrainerait une situation de risque dans la prise en charge de l’état de santé du pati</w:t>
      </w:r>
      <w:r>
        <w:t xml:space="preserve">ent, elles en informent dès qu’elles en ont connaissance et au plus tard un mois après la prise de connaissance, l'Agence nationale de sécurité du médicament et des produits de santé par voie électronique, dans les conditions et selon les modalités fixées </w:t>
      </w:r>
      <w:r>
        <w:t>par décision du directeur général de l'Agence nationale de sécurité du médicament et des produits de santé.</w:t>
      </w:r>
    </w:p>
    <w:p w:rsidR="00184F38" w:rsidRDefault="005A39D7">
      <w:pPr>
        <w:spacing w:before="240" w:after="240"/>
        <w:jc w:val="both"/>
      </w:pPr>
      <w:r>
        <w:t>« Art. D. 5211-74. – Sont susceptibles d’être qualifiées de mesures utiles et nécessaires anticipées, au sens du III de l’article L. 5211-5-1, un co</w:t>
      </w:r>
      <w:r>
        <w:t>ntingentement, la mise en place d’un stock de dépannage</w:t>
      </w:r>
      <w:r>
        <w:t xml:space="preserve"> ou encore toute autre mesure que les fabricants ou leurs mandataires ou toute personne qui se livre à l'importation ou à la distribution de ce dispositif, estiment utiles au regard de la nature et </w:t>
      </w:r>
      <w:r>
        <w:t>des spécificités du produit fabriqué, importé ou distribué.</w:t>
      </w:r>
    </w:p>
    <w:p w:rsidR="00184F38" w:rsidRDefault="005A39D7">
      <w:pPr>
        <w:spacing w:before="240" w:after="240"/>
        <w:jc w:val="both"/>
      </w:pPr>
      <w:r>
        <w:t>Ces derniers informent, par tout moyen les utilisateurs du dispositif médical concerné de cette situation de risque et des mesures mises en œuvre.</w:t>
      </w:r>
    </w:p>
    <w:p w:rsidR="00184F38" w:rsidRDefault="005A39D7">
      <w:pPr>
        <w:spacing w:before="240" w:after="240"/>
        <w:jc w:val="both"/>
      </w:pPr>
      <w:r>
        <w:t>« Art. D. 5211-75. – En application du IV de l’article L. 5211-5-1, lorsque les mesures mentionnées au III de l’article susvisé n’ont pas permis d’éviter le risque ou dans certaines situations fixées par arrêté du ministre de la santé sur proposition du di</w:t>
      </w:r>
      <w:r>
        <w:t xml:space="preserve">recteur général de </w:t>
      </w:r>
      <w:r>
        <w:lastRenderedPageBreak/>
        <w:t xml:space="preserve">l’Agence nationale de sécurité du médicament et des produits de santé, les personnes mentionnées à l’article susvisé effectuent une déclaration à l'Agence nationale de sécurité du médicament et des produits de santé du risque de rupture </w:t>
      </w:r>
      <w:r>
        <w:t>ou de toute rupture relatif au dispositif médical. Elles</w:t>
      </w:r>
      <w:r>
        <w:t xml:space="preserve"> lui communiquent notamment, à cet effet, les éléments relatifs au stock régulier et à la capacité d’approvisionnement dont elles disposent ainsi que les alternatives à l’indisponibilité du disposi</w:t>
      </w:r>
      <w:r>
        <w:t>tif médical. Cette déclaration est effectuée par voie électronique dans les conditions et selon les modalités fixées par décision du directeur général de l'Agence nationale de sécurité du médicament et des produits de santé. »</w:t>
      </w:r>
    </w:p>
    <w:p w:rsidR="00184F38" w:rsidRDefault="00184F38">
      <w:pPr>
        <w:spacing w:before="200" w:after="200"/>
        <w:jc w:val="center"/>
        <w:rPr>
          <w:b/>
        </w:rPr>
      </w:pPr>
    </w:p>
    <w:p w:rsidR="00184F38" w:rsidRDefault="005A39D7">
      <w:pPr>
        <w:spacing w:before="200" w:after="200"/>
        <w:jc w:val="center"/>
      </w:pPr>
      <w:r>
        <w:rPr>
          <w:b/>
        </w:rPr>
        <w:t>Article 2</w:t>
      </w:r>
    </w:p>
    <w:p w:rsidR="00184F38" w:rsidRDefault="005A39D7">
      <w:pPr>
        <w:spacing w:before="240" w:after="240"/>
        <w:jc w:val="both"/>
      </w:pPr>
      <w:r>
        <w:t xml:space="preserve">Le présent décret </w:t>
      </w:r>
      <w:r>
        <w:t>entre en vigueur le lendemain de sa publication.</w:t>
      </w:r>
    </w:p>
    <w:p w:rsidR="00184F38" w:rsidRDefault="00184F38">
      <w:pPr>
        <w:spacing w:before="200" w:after="200"/>
        <w:jc w:val="center"/>
        <w:rPr>
          <w:b/>
        </w:rPr>
      </w:pPr>
    </w:p>
    <w:p w:rsidR="00184F38" w:rsidRDefault="005A39D7">
      <w:pPr>
        <w:spacing w:before="200" w:after="200"/>
        <w:jc w:val="center"/>
      </w:pPr>
      <w:r>
        <w:rPr>
          <w:b/>
        </w:rPr>
        <w:t>Article 3</w:t>
      </w:r>
    </w:p>
    <w:p w:rsidR="00184F38" w:rsidRDefault="005A39D7">
      <w:pPr>
        <w:spacing w:before="240" w:after="240"/>
        <w:jc w:val="both"/>
      </w:pPr>
      <w:r>
        <w:t xml:space="preserve">Le ministre de la santé et de la prévention est chargé de l’exécution du présent décret, qui sera publié au </w:t>
      </w:r>
      <w:r>
        <w:rPr>
          <w:i/>
        </w:rPr>
        <w:t xml:space="preserve">Journal officiel </w:t>
      </w:r>
      <w:r>
        <w:t xml:space="preserve">de la République française. </w:t>
      </w:r>
    </w:p>
    <w:p w:rsidR="00184F38" w:rsidRDefault="005A39D7">
      <w:pPr>
        <w:spacing w:before="240" w:after="240"/>
        <w:jc w:val="both"/>
      </w:pPr>
      <w:r>
        <w:t xml:space="preserve">Fait le </w:t>
      </w:r>
    </w:p>
    <w:p w:rsidR="00184F38" w:rsidRDefault="005A39D7">
      <w:pPr>
        <w:spacing w:before="240" w:after="240"/>
        <w:jc w:val="both"/>
        <w:rPr>
          <w:highlight w:val="white"/>
        </w:rPr>
      </w:pPr>
      <w:r>
        <w:rPr>
          <w:highlight w:val="white"/>
        </w:rPr>
        <w:t>Par la Première ministre :</w:t>
      </w:r>
    </w:p>
    <w:p w:rsidR="00184F38" w:rsidRDefault="005A39D7">
      <w:pPr>
        <w:spacing w:before="240" w:after="240"/>
        <w:jc w:val="both"/>
      </w:pPr>
      <w:r>
        <w:t>Le min</w:t>
      </w:r>
      <w:r>
        <w:t>istre de la santé et de la prévention,</w:t>
      </w:r>
    </w:p>
    <w:p w:rsidR="00184F38" w:rsidRDefault="005A39D7">
      <w:pPr>
        <w:spacing w:before="240" w:after="240"/>
        <w:jc w:val="both"/>
      </w:pPr>
      <w:r>
        <w:t xml:space="preserve"> </w:t>
      </w:r>
    </w:p>
    <w:p w:rsidR="00184F38" w:rsidRDefault="005A39D7">
      <w:pPr>
        <w:spacing w:before="240" w:after="240"/>
        <w:jc w:val="both"/>
      </w:pPr>
      <w:r>
        <w:t>Aurélien ROUSSEAU</w:t>
      </w:r>
    </w:p>
    <w:p w:rsidR="00184F38" w:rsidRDefault="00184F38">
      <w:pPr>
        <w:spacing w:before="240" w:after="240"/>
      </w:pPr>
    </w:p>
    <w:sectPr w:rsidR="00184F38">
      <w:headerReference w:type="even" r:id="rId7"/>
      <w:headerReference w:type="default" r:id="rId8"/>
      <w:footerReference w:type="even" r:id="rId9"/>
      <w:footerReference w:type="default" r:id="rId10"/>
      <w:headerReference w:type="first" r:id="rId11"/>
      <w:footerReference w:type="first" r:id="rId12"/>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39D7" w:rsidRDefault="005A39D7" w:rsidP="006435D8">
      <w:pPr>
        <w:spacing w:line="240" w:lineRule="auto"/>
      </w:pPr>
      <w:r>
        <w:separator/>
      </w:r>
    </w:p>
  </w:endnote>
  <w:endnote w:type="continuationSeparator" w:id="0">
    <w:p w:rsidR="005A39D7" w:rsidRDefault="005A39D7" w:rsidP="006435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5D8" w:rsidRDefault="006435D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5D8" w:rsidRDefault="006435D8">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5D8" w:rsidRDefault="006435D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39D7" w:rsidRDefault="005A39D7" w:rsidP="006435D8">
      <w:pPr>
        <w:spacing w:line="240" w:lineRule="auto"/>
      </w:pPr>
      <w:r>
        <w:separator/>
      </w:r>
    </w:p>
  </w:footnote>
  <w:footnote w:type="continuationSeparator" w:id="0">
    <w:p w:rsidR="005A39D7" w:rsidRDefault="005A39D7" w:rsidP="006435D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5D8" w:rsidRDefault="006435D8">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5D8" w:rsidRDefault="006435D8">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5D8" w:rsidRDefault="006435D8">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F38"/>
    <w:rsid w:val="00184F38"/>
    <w:rsid w:val="005A39D7"/>
    <w:rsid w:val="006435D8"/>
    <w:rsid w:val="00B870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2CB40CE-1F88-477A-BD53-904BF1DE7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itre1">
    <w:name w:val="heading 1"/>
    <w:basedOn w:val="Normal"/>
    <w:next w:val="Normal"/>
    <w:pPr>
      <w:keepNext/>
      <w:keepLines/>
      <w:spacing w:before="400" w:after="120"/>
      <w:outlineLvl w:val="0"/>
    </w:pPr>
    <w:rPr>
      <w:sz w:val="40"/>
      <w:szCs w:val="40"/>
    </w:rPr>
  </w:style>
  <w:style w:type="paragraph" w:styleId="Titre2">
    <w:name w:val="heading 2"/>
    <w:basedOn w:val="Normal"/>
    <w:next w:val="Normal"/>
    <w:pPr>
      <w:keepNext/>
      <w:keepLines/>
      <w:spacing w:before="360" w:after="120"/>
      <w:outlineLvl w:val="1"/>
    </w:pPr>
    <w:rPr>
      <w:sz w:val="32"/>
      <w:szCs w:val="32"/>
    </w:rPr>
  </w:style>
  <w:style w:type="paragraph" w:styleId="Titre3">
    <w:name w:val="heading 3"/>
    <w:basedOn w:val="Normal"/>
    <w:next w:val="Normal"/>
    <w:pPr>
      <w:keepNext/>
      <w:keepLines/>
      <w:spacing w:before="320" w:after="80"/>
      <w:outlineLvl w:val="2"/>
    </w:pPr>
    <w:rPr>
      <w:color w:val="434343"/>
      <w:sz w:val="28"/>
      <w:szCs w:val="28"/>
    </w:rPr>
  </w:style>
  <w:style w:type="paragraph" w:styleId="Titre4">
    <w:name w:val="heading 4"/>
    <w:basedOn w:val="Normal"/>
    <w:next w:val="Normal"/>
    <w:pPr>
      <w:keepNext/>
      <w:keepLines/>
      <w:spacing w:before="280" w:after="80"/>
      <w:outlineLvl w:val="3"/>
    </w:pPr>
    <w:rPr>
      <w:color w:val="666666"/>
      <w:sz w:val="24"/>
      <w:szCs w:val="24"/>
    </w:rPr>
  </w:style>
  <w:style w:type="paragraph" w:styleId="Titre5">
    <w:name w:val="heading 5"/>
    <w:basedOn w:val="Normal"/>
    <w:next w:val="Normal"/>
    <w:pPr>
      <w:keepNext/>
      <w:keepLines/>
      <w:spacing w:before="240" w:after="80"/>
      <w:outlineLvl w:val="4"/>
    </w:pPr>
    <w:rPr>
      <w:color w:val="666666"/>
    </w:rPr>
  </w:style>
  <w:style w:type="paragraph" w:styleId="Titre6">
    <w:name w:val="heading 6"/>
    <w:basedOn w:val="Normal"/>
    <w:next w:val="Normal"/>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after="60"/>
    </w:pPr>
    <w:rPr>
      <w:sz w:val="52"/>
      <w:szCs w:val="52"/>
    </w:rPr>
  </w:style>
  <w:style w:type="paragraph" w:styleId="Sous-titr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paragraph" w:styleId="Textedebulles">
    <w:name w:val="Balloon Text"/>
    <w:basedOn w:val="Normal"/>
    <w:link w:val="TextedebullesCar"/>
    <w:uiPriority w:val="99"/>
    <w:semiHidden/>
    <w:unhideWhenUsed/>
    <w:rsid w:val="006435D8"/>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435D8"/>
    <w:rPr>
      <w:rFonts w:ascii="Segoe UI" w:hAnsi="Segoe UI" w:cs="Segoe UI"/>
      <w:sz w:val="18"/>
      <w:szCs w:val="18"/>
    </w:rPr>
  </w:style>
  <w:style w:type="paragraph" w:styleId="En-tte">
    <w:name w:val="header"/>
    <w:basedOn w:val="Normal"/>
    <w:link w:val="En-tteCar"/>
    <w:uiPriority w:val="99"/>
    <w:unhideWhenUsed/>
    <w:rsid w:val="006435D8"/>
    <w:pPr>
      <w:tabs>
        <w:tab w:val="center" w:pos="4536"/>
        <w:tab w:val="right" w:pos="9072"/>
      </w:tabs>
      <w:spacing w:line="240" w:lineRule="auto"/>
    </w:pPr>
  </w:style>
  <w:style w:type="character" w:customStyle="1" w:styleId="En-tteCar">
    <w:name w:val="En-tête Car"/>
    <w:basedOn w:val="Policepardfaut"/>
    <w:link w:val="En-tte"/>
    <w:uiPriority w:val="99"/>
    <w:rsid w:val="006435D8"/>
  </w:style>
  <w:style w:type="paragraph" w:styleId="Pieddepage">
    <w:name w:val="footer"/>
    <w:basedOn w:val="Normal"/>
    <w:link w:val="PieddepageCar"/>
    <w:uiPriority w:val="99"/>
    <w:unhideWhenUsed/>
    <w:rsid w:val="006435D8"/>
    <w:pPr>
      <w:tabs>
        <w:tab w:val="center" w:pos="4536"/>
        <w:tab w:val="right" w:pos="9072"/>
      </w:tabs>
      <w:spacing w:line="240" w:lineRule="auto"/>
    </w:pPr>
  </w:style>
  <w:style w:type="character" w:customStyle="1" w:styleId="PieddepageCar">
    <w:name w:val="Pied de page Car"/>
    <w:basedOn w:val="Policepardfaut"/>
    <w:link w:val="Pieddepage"/>
    <w:uiPriority w:val="99"/>
    <w:rsid w:val="006435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egifrance.gouv.fr/"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983</Words>
  <Characters>5409</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Ministère des affaires sociales</Company>
  <LinksUpToDate>false</LinksUpToDate>
  <CharactersWithSpaces>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PICHON, Pascal (ARS-BFC/BFC/DSP)</dc:creator>
  <cp:lastModifiedBy>PICHON, Pascal (ARS-BFC/BFC/DSP)</cp:lastModifiedBy>
  <cp:revision>2</cp:revision>
  <dcterms:created xsi:type="dcterms:W3CDTF">2024-02-22T08:40:00Z</dcterms:created>
  <dcterms:modified xsi:type="dcterms:W3CDTF">2024-02-22T08:40:00Z</dcterms:modified>
</cp:coreProperties>
</file>