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2"/>
      </w:tblGrid>
      <w:tr w:rsidR="00EE14A9" w:rsidTr="00EE14A9">
        <w:tc>
          <w:tcPr>
            <w:tcW w:w="0" w:type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EE14A9">
              <w:tc>
                <w:tcPr>
                  <w:tcW w:w="0" w:type="auto"/>
                  <w:tcMar>
                    <w:top w:w="0" w:type="dxa"/>
                    <w:left w:w="135" w:type="dxa"/>
                    <w:bottom w:w="0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26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40"/>
                  </w:tblGrid>
                  <w:tr w:rsidR="00EE14A9">
                    <w:tc>
                      <w:tcPr>
                        <w:tcW w:w="0" w:type="auto"/>
                        <w:hideMark/>
                      </w:tcPr>
                      <w:p w:rsidR="00EE14A9" w:rsidRDefault="00EE14A9">
                        <w:pPr>
                          <w:jc w:val="center"/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>
                              <wp:extent cx="1666875" cy="2771775"/>
                              <wp:effectExtent l="0" t="0" r="9525" b="9525"/>
                              <wp:docPr id="2" name="Image 2" descr="https://gallery.mailchimp.com/02c3537a5f1b5e988a951fef6/images/91cf5feb-891c-4d1c-a771-d80b731f18ae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gallery.mailchimp.com/02c3537a5f1b5e988a951fef6/images/91cf5feb-891c-4d1c-a771-d80b731f18ae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66875" cy="27717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tbl>
                  <w:tblPr>
                    <w:tblpPr w:leftFromText="45" w:rightFromText="45" w:vertAnchor="text" w:tblpXSpec="right" w:tblpYSpec="center"/>
                    <w:tblW w:w="528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80"/>
                  </w:tblGrid>
                  <w:tr w:rsidR="00EE14A9">
                    <w:tc>
                      <w:tcPr>
                        <w:tcW w:w="0" w:type="auto"/>
                        <w:hideMark/>
                      </w:tcPr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C’est une première depuis 2013, date de mise en place de la filière DASTRI ! Deux nouveaux modèles de boîtes à aiguilles (BAA) vont être proposés aux patients en auto-traitement et aux utilisateurs d’autotests de maladies infectieuses transmissibles :</w:t>
                        </w:r>
                      </w:p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• </w:t>
                        </w:r>
                        <w:r>
                          <w:rPr>
                            <w:rStyle w:val="lev"/>
                            <w:rFonts w:ascii="Helvetica" w:hAnsi="Helvetica" w:cs="Helvetica"/>
                            <w:color w:val="202020"/>
                          </w:rPr>
                          <w:t xml:space="preserve">Dès avril 2018, </w:t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une boîte DASTRI de 1,5 L, conçue pour accueillir une nouvelle catégorie de déchets perforants : les applicateurs de produits complexes (ouverture de la boîte élargie pour tenir compte de leur taille).</w:t>
                        </w:r>
                      </w:p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• </w:t>
                        </w:r>
                        <w:r>
                          <w:rPr>
                            <w:rStyle w:val="lev"/>
                            <w:rFonts w:ascii="Helvetica" w:hAnsi="Helvetica" w:cs="Helvetica"/>
                            <w:color w:val="202020"/>
                          </w:rPr>
                          <w:t>Avant les congés d’été,</w:t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 une BAA de plus petit format -0,5 L- mieux adaptée au besoin des utilisateurs d’autotests (déchet isolé) et aux situations de mobilité des patients en auto-traitement (déplacements, vacances, école…).</w:t>
                        </w:r>
                      </w:p>
                    </w:tc>
                  </w:tr>
                </w:tbl>
                <w:p w:rsidR="00EE14A9" w:rsidRDefault="00EE14A9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EE14A9" w:rsidRDefault="00EE14A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EE14A9" w:rsidRDefault="00EE14A9" w:rsidP="00EE14A9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EE14A9" w:rsidTr="00EE14A9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9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EE14A9">
              <w:tc>
                <w:tcPr>
                  <w:tcW w:w="8985" w:type="dxa"/>
                  <w:hideMark/>
                </w:tcPr>
                <w:tbl>
                  <w:tblPr>
                    <w:tblpPr w:leftFromText="45" w:rightFromText="45" w:vertAnchor="text"/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EE14A9">
                    <w:tc>
                      <w:tcPr>
                        <w:tcW w:w="0" w:type="auto"/>
                        <w:tcMar>
                          <w:top w:w="0" w:type="dxa"/>
                          <w:left w:w="270" w:type="dxa"/>
                          <w:bottom w:w="135" w:type="dxa"/>
                          <w:right w:w="270" w:type="dxa"/>
                        </w:tcMar>
                        <w:hideMark/>
                      </w:tcPr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A partir du second semestre 2018, les patients auront donc le choix entre trois modèles de boîtes -le format 2 L, inchangé, et ces deux nouveaux formats- pour stocker leurs DASRI perforants.</w:t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br/>
                          <w:t>En revanche, il leur est demandé de ne pas mettre dans ces boîtes DASTRI les dispositifs médicaux complexes une fois utilisés, tels que les pompes à insuline patch ou les capteurs des lecteurs de glycémie en continu :</w:t>
                        </w:r>
                      </w:p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• Concernant les pompes à insuline distribuées par la société </w:t>
                        </w:r>
                        <w:proofErr w:type="spellStart"/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Ypsomed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, une deuxième opération de déstockage est actuellement en cours. Les </w:t>
                        </w:r>
                        <w:proofErr w:type="spellStart"/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Pods</w:t>
                        </w:r>
                        <w:proofErr w:type="spellEnd"/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 xml:space="preserve"> déposés en pharmacie par les patients suivent un circuit séparé des autres DASRI pour être recyclés.</w:t>
                        </w:r>
                      </w:p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• Concernant les capteurs, une solution de collecte, autorisée par les pouvoirs publics, sera prochainement proposée. Dans l’attente, merci aux patients concernés de bien vouloir les conserver à leur domicile.</w:t>
                        </w:r>
                      </w:p>
                    </w:tc>
                  </w:tr>
                </w:tbl>
                <w:p w:rsidR="00EE14A9" w:rsidRDefault="00EE14A9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EE14A9" w:rsidRDefault="00EE14A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EE14A9" w:rsidRDefault="00EE14A9" w:rsidP="00EE14A9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2"/>
      </w:tblGrid>
      <w:tr w:rsidR="00EE14A9" w:rsidTr="00EE14A9">
        <w:tc>
          <w:tcPr>
            <w:tcW w:w="0" w:type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EE14A9">
              <w:tc>
                <w:tcPr>
                  <w:tcW w:w="0" w:type="auto"/>
                  <w:tcMar>
                    <w:top w:w="0" w:type="dxa"/>
                    <w:left w:w="135" w:type="dxa"/>
                    <w:bottom w:w="0" w:type="dxa"/>
                    <w:right w:w="135" w:type="dxa"/>
                  </w:tcMar>
                  <w:hideMark/>
                </w:tcPr>
                <w:tbl>
                  <w:tblPr>
                    <w:tblpPr w:leftFromText="45" w:rightFromText="45" w:vertAnchor="text"/>
                    <w:tblW w:w="262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640"/>
                  </w:tblGrid>
                  <w:tr w:rsidR="00EE14A9">
                    <w:tc>
                      <w:tcPr>
                        <w:tcW w:w="0" w:type="auto"/>
                        <w:hideMark/>
                      </w:tcPr>
                      <w:p w:rsidR="00EE14A9" w:rsidRDefault="00EE14A9">
                        <w:r>
                          <w:rPr>
                            <w:noProof/>
                          </w:rPr>
                          <w:lastRenderedPageBreak/>
                          <w:drawing>
                            <wp:inline distT="0" distB="0" distL="0" distR="0">
                              <wp:extent cx="1666875" cy="2314575"/>
                              <wp:effectExtent l="0" t="0" r="9525" b="9525"/>
                              <wp:docPr id="1" name="Image 1" descr="https://gallery.mailchimp.com/02c3537a5f1b5e988a951fef6/images/d0bd570b-65d2-4560-baf0-64617463012e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s://gallery.mailchimp.com/02c3537a5f1b5e988a951fef6/images/d0bd570b-65d2-4560-baf0-64617463012e.p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66875" cy="2314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tbl>
                  <w:tblPr>
                    <w:tblpPr w:leftFromText="45" w:rightFromText="45" w:vertAnchor="text" w:tblpXSpec="right" w:tblpYSpec="center"/>
                    <w:tblW w:w="528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280"/>
                  </w:tblGrid>
                  <w:tr w:rsidR="00EE14A9">
                    <w:tc>
                      <w:tcPr>
                        <w:tcW w:w="0" w:type="auto"/>
                        <w:hideMark/>
                      </w:tcPr>
                      <w:p w:rsidR="00EE14A9" w:rsidRDefault="00EE14A9">
                        <w:pPr>
                          <w:spacing w:line="360" w:lineRule="auto"/>
                          <w:jc w:val="both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Grâce à la nouvelle gamme de boîtes à aiguilles, les officines peuvent donc améliorer encore le service rendu à leur patientèle. Elles peuvent dès maintenant passer commande gratuitement sur le site dastri.fr en arbitrant entre les options suivantes : boîtes de 1,5 L, boîtes de 2 L ou commande mixte</w:t>
                        </w:r>
                        <w:proofErr w:type="gramStart"/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t>.</w:t>
                        </w:r>
                        <w:r>
                          <w:rPr>
                            <w:rFonts w:ascii="Helvetica" w:hAnsi="Helvetica" w:cs="Helvetica"/>
                            <w:color w:val="202020"/>
                            <w:sz w:val="18"/>
                            <w:szCs w:val="18"/>
                            <w:vertAlign w:val="superscript"/>
                          </w:rPr>
                          <w:t>(</w:t>
                        </w:r>
                        <w:proofErr w:type="gramEnd"/>
                        <w:r>
                          <w:rPr>
                            <w:rFonts w:ascii="Helvetica" w:hAnsi="Helvetica" w:cs="Helvetica"/>
                            <w:color w:val="202020"/>
                            <w:sz w:val="18"/>
                            <w:szCs w:val="18"/>
                            <w:vertAlign w:val="superscript"/>
                          </w:rPr>
                          <w:t>1)</w:t>
                        </w:r>
                        <w:r>
                          <w:rPr>
                            <w:rStyle w:val="Accentuation"/>
                            <w:rFonts w:ascii="Helvetica" w:hAnsi="Helvetica" w:cs="Helvetica"/>
                            <w:color w:val="20202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br/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br/>
                          <w:t>Le cap symbolique des 10 millions de boîtes distribuées depuis mai 2013 a été franchi le 22 février 2018.</w:t>
                        </w:r>
                      </w:p>
                      <w:p w:rsidR="00EE14A9" w:rsidRDefault="00EE14A9">
                        <w:pPr>
                          <w:spacing w:line="360" w:lineRule="auto"/>
                          <w:rPr>
                            <w:rFonts w:ascii="Helvetica" w:hAnsi="Helvetica" w:cs="Helvetica"/>
                            <w:color w:val="202020"/>
                          </w:rPr>
                        </w:pP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br/>
                        </w:r>
                        <w:r>
                          <w:rPr>
                            <w:rFonts w:ascii="Helvetica" w:hAnsi="Helvetica" w:cs="Helvetica"/>
                            <w:color w:val="202020"/>
                            <w:sz w:val="18"/>
                            <w:szCs w:val="18"/>
                            <w:vertAlign w:val="superscript"/>
                          </w:rPr>
                          <w:t>(1)</w:t>
                        </w:r>
                        <w:r>
                          <w:rPr>
                            <w:rStyle w:val="Accentuation"/>
                            <w:rFonts w:ascii="Helvetica" w:hAnsi="Helvetica" w:cs="Helvetica"/>
                            <w:color w:val="202020"/>
                            <w:sz w:val="18"/>
                            <w:szCs w:val="18"/>
                          </w:rPr>
                          <w:t xml:space="preserve"> Le modèle de 1L n’est plus distribué en métropole depuis fin mars 2018. En outremer, les stocks restant  seront distribués jusqu’à épuisement (estimé au mois de juin).</w:t>
                        </w:r>
                        <w:r>
                          <w:rPr>
                            <w:rFonts w:ascii="Helvetica" w:hAnsi="Helvetica" w:cs="Helvetica"/>
                            <w:color w:val="202020"/>
                          </w:rPr>
                          <w:br/>
                          <w:t xml:space="preserve">  </w:t>
                        </w:r>
                      </w:p>
                    </w:tc>
                  </w:tr>
                </w:tbl>
                <w:p w:rsidR="00EE14A9" w:rsidRDefault="00EE14A9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EE14A9" w:rsidRDefault="00EE14A9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9C46FB" w:rsidRDefault="009C46FB">
      <w:bookmarkStart w:id="0" w:name="_GoBack"/>
      <w:bookmarkEnd w:id="0"/>
    </w:p>
    <w:sectPr w:rsidR="009C46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4A9"/>
    <w:rsid w:val="009C46FB"/>
    <w:rsid w:val="00EE1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4A9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EE14A9"/>
    <w:rPr>
      <w:b/>
      <w:bCs/>
    </w:rPr>
  </w:style>
  <w:style w:type="character" w:styleId="Accentuation">
    <w:name w:val="Emphasis"/>
    <w:basedOn w:val="Policepardfaut"/>
    <w:uiPriority w:val="20"/>
    <w:qFormat/>
    <w:rsid w:val="00EE14A9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14A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14A9"/>
    <w:rPr>
      <w:rFonts w:ascii="Tahoma" w:hAnsi="Tahoma" w:cs="Tahoma"/>
      <w:sz w:val="16"/>
      <w:szCs w:val="16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4A9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basedOn w:val="Policepardfaut"/>
    <w:uiPriority w:val="22"/>
    <w:qFormat/>
    <w:rsid w:val="00EE14A9"/>
    <w:rPr>
      <w:b/>
      <w:bCs/>
    </w:rPr>
  </w:style>
  <w:style w:type="character" w:styleId="Accentuation">
    <w:name w:val="Emphasis"/>
    <w:basedOn w:val="Policepardfaut"/>
    <w:uiPriority w:val="20"/>
    <w:qFormat/>
    <w:rsid w:val="00EE14A9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E14A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E14A9"/>
    <w:rPr>
      <w:rFonts w:ascii="Tahoma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9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334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Ministères Chargés des Affaires Sociales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MAIRE</dc:creator>
  <cp:lastModifiedBy>MAIRE</cp:lastModifiedBy>
  <cp:revision>1</cp:revision>
  <dcterms:created xsi:type="dcterms:W3CDTF">2018-08-01T11:46:00Z</dcterms:created>
  <dcterms:modified xsi:type="dcterms:W3CDTF">2018-08-01T11:57:00Z</dcterms:modified>
</cp:coreProperties>
</file>