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943" w:rsidRDefault="00000943" w:rsidP="00000943">
      <w:pPr>
        <w:rPr>
          <w:color w:val="1F497D"/>
        </w:rPr>
      </w:pPr>
      <w:r>
        <w:rPr>
          <w:color w:val="1F497D"/>
        </w:rPr>
        <w:t>Vos agences ont réceptionné en octobre dernier un courrier du syndicat des biologistes (SDB) ci-joint.</w:t>
      </w:r>
    </w:p>
    <w:p w:rsidR="00000943" w:rsidRDefault="00000943" w:rsidP="00000943">
      <w:pPr>
        <w:rPr>
          <w:color w:val="1F497D"/>
        </w:rPr>
      </w:pPr>
    </w:p>
    <w:p w:rsidR="00000943" w:rsidRDefault="00000943" w:rsidP="00000943">
      <w:pPr>
        <w:rPr>
          <w:color w:val="1F497D"/>
        </w:rPr>
      </w:pPr>
      <w:r>
        <w:rPr>
          <w:color w:val="1F497D"/>
        </w:rPr>
        <w:t xml:space="preserve">Ce courrier vous indique la position du SDB concernant les fusions de laboratoires de biologie médicale (LBM) par absorption d’une société d’exercice libéral (SEL) majoritairement détenue en droits de vote et capital par des professionnels personnes physiques y exerçant, par une SEL dite dérogatoire, c’est à dire majoritairement détenue en capital par des professionnels extérieurs (personnes physiques n’y exerçant pas ou personnes morales). </w:t>
      </w:r>
    </w:p>
    <w:p w:rsidR="00000943" w:rsidRDefault="00000943" w:rsidP="00000943">
      <w:pPr>
        <w:rPr>
          <w:color w:val="1F497D"/>
        </w:rPr>
      </w:pPr>
    </w:p>
    <w:p w:rsidR="00000943" w:rsidRDefault="00000943" w:rsidP="00000943">
      <w:pPr>
        <w:rPr>
          <w:color w:val="1F497D"/>
        </w:rPr>
      </w:pPr>
      <w:r>
        <w:rPr>
          <w:color w:val="1F497D"/>
        </w:rPr>
        <w:t xml:space="preserve">Le SDB considère que ces fusions sont contraires aux dispositions de </w:t>
      </w:r>
      <w:hyperlink r:id="rId6" w:history="1">
        <w:r>
          <w:rPr>
            <w:rStyle w:val="Lienhypertexte"/>
          </w:rPr>
          <w:t xml:space="preserve">la loi  90-1258 relative aux SEL (lien) </w:t>
        </w:r>
      </w:hyperlink>
      <w:r>
        <w:rPr>
          <w:color w:val="1F497D"/>
        </w:rPr>
        <w:t xml:space="preserve">en particulier celles de son article 5, ainsi qu’à celles de l’article </w:t>
      </w:r>
      <w:hyperlink r:id="rId7" w:history="1">
        <w:r>
          <w:rPr>
            <w:rStyle w:val="Lienhypertexte"/>
          </w:rPr>
          <w:t>L. 6223-8 CSP (lien)</w:t>
        </w:r>
      </w:hyperlink>
      <w:r>
        <w:rPr>
          <w:color w:val="1F497D"/>
        </w:rPr>
        <w:t xml:space="preserve"> issues de </w:t>
      </w:r>
      <w:hyperlink r:id="rId8" w:history="1">
        <w:r>
          <w:rPr>
            <w:rStyle w:val="Lienhypertexte"/>
          </w:rPr>
          <w:t>l’article 10 de la loi 2013-442 portant réforme de la biologie médicale (lien)</w:t>
        </w:r>
      </w:hyperlink>
      <w:r>
        <w:rPr>
          <w:color w:val="1F497D"/>
        </w:rPr>
        <w:t xml:space="preserve">. </w:t>
      </w:r>
    </w:p>
    <w:p w:rsidR="00000943" w:rsidRDefault="00000943" w:rsidP="00000943">
      <w:pPr>
        <w:rPr>
          <w:color w:val="1F497D"/>
        </w:rPr>
      </w:pPr>
    </w:p>
    <w:p w:rsidR="00000943" w:rsidRDefault="00000943" w:rsidP="00000943">
      <w:pPr>
        <w:rPr>
          <w:color w:val="1F497D"/>
        </w:rPr>
      </w:pPr>
      <w:r>
        <w:rPr>
          <w:color w:val="1F497D"/>
        </w:rPr>
        <w:t xml:space="preserve">En conséquence, il vous demande ainsi qu’aux greffiers des tribunaux de commerce, à l’occasion de ce courrier, de ne plus valider ces opérations. </w:t>
      </w:r>
    </w:p>
    <w:p w:rsidR="00000943" w:rsidRDefault="00000943" w:rsidP="00000943">
      <w:pPr>
        <w:rPr>
          <w:color w:val="1F497D"/>
        </w:rPr>
      </w:pPr>
      <w:r>
        <w:object w:dxaOrig="1440" w:dyaOrig="12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0.75pt" o:ole="">
            <v:imagedata r:id="rId9" o:title=""/>
          </v:shape>
          <o:OLEObject Type="Embed" ProgID="Outlook.FileAttach" ShapeID="_x0000_i1025" DrawAspect="Icon" ObjectID="_1593588990" r:id="rId10"/>
        </w:object>
      </w:r>
    </w:p>
    <w:p w:rsidR="00000943" w:rsidRDefault="00000943" w:rsidP="00000943">
      <w:pPr>
        <w:rPr>
          <w:color w:val="1F497D"/>
        </w:rPr>
      </w:pPr>
      <w:r>
        <w:rPr>
          <w:color w:val="1F497D"/>
        </w:rPr>
        <w:t xml:space="preserve">Par ailleurs, les Groupes de LBM CERBA et LABCO/SYNLAB nous ont récemment informé avoir également transmis à l’ensemble de vos agences un courrier assorti d’une consultation juridique sur ce même sujet. </w:t>
      </w:r>
    </w:p>
    <w:p w:rsidR="00000943" w:rsidRDefault="00000943" w:rsidP="00000943">
      <w:pPr>
        <w:rPr>
          <w:color w:val="1F497D"/>
        </w:rPr>
      </w:pPr>
    </w:p>
    <w:p w:rsidR="00000943" w:rsidRDefault="00000943" w:rsidP="00000943">
      <w:pPr>
        <w:rPr>
          <w:color w:val="1F497D"/>
        </w:rPr>
      </w:pPr>
      <w:r>
        <w:rPr>
          <w:color w:val="1F497D"/>
        </w:rPr>
        <w:t xml:space="preserve">Ceux-ci considèrent, contrairement au SDB, que les fusions considérées sont licites et donc toujours possibles. </w:t>
      </w:r>
    </w:p>
    <w:p w:rsidR="00000943" w:rsidRDefault="00000943" w:rsidP="00000943">
      <w:pPr>
        <w:rPr>
          <w:color w:val="1F497D"/>
        </w:rPr>
      </w:pPr>
      <w:r>
        <w:object w:dxaOrig="1440" w:dyaOrig="1215">
          <v:shape id="_x0000_i1026" type="#_x0000_t75" style="width:1in;height:60.75pt" o:ole="">
            <v:imagedata r:id="rId11" o:title=""/>
          </v:shape>
          <o:OLEObject Type="Embed" ProgID="Outlook.FileAttach" ShapeID="_x0000_i1026" DrawAspect="Icon" ObjectID="_1593588991" r:id="rId12"/>
        </w:object>
      </w:r>
    </w:p>
    <w:p w:rsidR="00000943" w:rsidRDefault="00000943" w:rsidP="00000943">
      <w:pPr>
        <w:rPr>
          <w:color w:val="1F497D"/>
        </w:rPr>
      </w:pPr>
      <w:r>
        <w:rPr>
          <w:color w:val="1F497D"/>
        </w:rPr>
        <w:t xml:space="preserve">Dans ce contexte, vous voudrez bien trouver ci-après la position ministérielle concernant les fusions entre SEL exploitant un LBM. </w:t>
      </w:r>
    </w:p>
    <w:p w:rsidR="00000943" w:rsidRDefault="00000943" w:rsidP="00000943">
      <w:pPr>
        <w:rPr>
          <w:color w:val="1F497D"/>
        </w:rPr>
      </w:pPr>
    </w:p>
    <w:p w:rsidR="00000943" w:rsidRDefault="00000943" w:rsidP="00000943">
      <w:pPr>
        <w:rPr>
          <w:i/>
          <w:color w:val="1F497D"/>
        </w:rPr>
      </w:pPr>
      <w:r>
        <w:rPr>
          <w:i/>
          <w:color w:val="1F497D"/>
        </w:rPr>
        <w:t xml:space="preserve">N.B. : Une SEL dérogatoire s’entend d’une SEL qui bénéfice du régime antérieur à la </w:t>
      </w:r>
      <w:hyperlink r:id="rId13" w:history="1">
        <w:r>
          <w:rPr>
            <w:rStyle w:val="Lienhypertexte"/>
            <w:i/>
          </w:rPr>
          <w:t>loi n° 2013-442 portant réforme de la biologie médicale</w:t>
        </w:r>
      </w:hyperlink>
      <w:r>
        <w:rPr>
          <w:i/>
          <w:color w:val="1F497D"/>
        </w:rPr>
        <w:t xml:space="preserve"> pour la détermination de son capital : la majorité de son capital est détenue par des professionnels extérieurs, biologistes médicaux n’y exerçant pas ou sociétés exploitant un LBM. </w:t>
      </w:r>
    </w:p>
    <w:p w:rsidR="00000943" w:rsidRDefault="00000943" w:rsidP="00000943">
      <w:pPr>
        <w:rPr>
          <w:i/>
          <w:color w:val="1F497D"/>
        </w:rPr>
      </w:pPr>
      <w:r>
        <w:rPr>
          <w:i/>
          <w:color w:val="1F497D"/>
        </w:rPr>
        <w:t>Une SEL non dérogatoire s’entend d’une SEL dont la majorité du capital est détenue par des biologistes qui y exercent.</w:t>
      </w:r>
    </w:p>
    <w:p w:rsidR="00000943" w:rsidRDefault="00000943" w:rsidP="00000943">
      <w:pPr>
        <w:rPr>
          <w:i/>
          <w:color w:val="1F497D"/>
        </w:rPr>
      </w:pPr>
    </w:p>
    <w:p w:rsidR="00000943" w:rsidRDefault="00000943" w:rsidP="00000943">
      <w:pPr>
        <w:rPr>
          <w:color w:val="1F497D"/>
        </w:rPr>
      </w:pPr>
    </w:p>
    <w:p w:rsidR="00000943" w:rsidRDefault="00000943" w:rsidP="00000943">
      <w:pPr>
        <w:rPr>
          <w:b/>
          <w:color w:val="1F497D"/>
          <w:u w:val="single"/>
        </w:rPr>
      </w:pPr>
      <w:r>
        <w:rPr>
          <w:b/>
          <w:color w:val="1F497D"/>
          <w:u w:val="single"/>
        </w:rPr>
        <w:t>1/ Sur les fusions par rachat de capital puis transmission universelle de patrimoine (TUP)</w:t>
      </w:r>
    </w:p>
    <w:p w:rsidR="00000943" w:rsidRDefault="00000943" w:rsidP="00000943">
      <w:pPr>
        <w:rPr>
          <w:color w:val="1F497D"/>
        </w:rPr>
      </w:pPr>
      <w:r>
        <w:rPr>
          <w:color w:val="1F497D"/>
        </w:rPr>
        <w:t xml:space="preserve">Communément appelées « fusions par TUP », ces opérations se décomposent en deux étapes. </w:t>
      </w:r>
      <w:proofErr w:type="gramStart"/>
      <w:r>
        <w:rPr>
          <w:color w:val="1F497D"/>
        </w:rPr>
        <w:t>La première</w:t>
      </w:r>
      <w:proofErr w:type="gramEnd"/>
      <w:r>
        <w:rPr>
          <w:color w:val="1F497D"/>
        </w:rPr>
        <w:t xml:space="preserve"> est le rachat du capital de la société cible par la société absorbante, la seconde est la transmission du patrimoine de la société cible vers la société absorbante. </w:t>
      </w:r>
    </w:p>
    <w:p w:rsidR="00000943" w:rsidRDefault="00000943" w:rsidP="00000943">
      <w:pPr>
        <w:ind w:left="708"/>
        <w:rPr>
          <w:color w:val="1F497D"/>
          <w:u w:val="single"/>
        </w:rPr>
      </w:pPr>
    </w:p>
    <w:p w:rsidR="00000943" w:rsidRDefault="00000943" w:rsidP="00000943">
      <w:pPr>
        <w:ind w:left="708"/>
        <w:rPr>
          <w:color w:val="1F497D"/>
          <w:u w:val="single"/>
        </w:rPr>
      </w:pPr>
      <w:r>
        <w:rPr>
          <w:color w:val="1F497D"/>
          <w:u w:val="single"/>
        </w:rPr>
        <w:t xml:space="preserve">1.1. Les fusions par TUP depuis la promulgation de la </w:t>
      </w:r>
      <w:hyperlink r:id="rId14" w:history="1">
        <w:r>
          <w:rPr>
            <w:rStyle w:val="Lienhypertexte"/>
          </w:rPr>
          <w:t>loi n° 2013-442 portant réforme de la biologie médicale</w:t>
        </w:r>
      </w:hyperlink>
      <w:r>
        <w:rPr>
          <w:color w:val="1F497D"/>
          <w:u w:val="single"/>
        </w:rPr>
        <w:t xml:space="preserve"> sont interdites dans le cas suivant : </w:t>
      </w:r>
    </w:p>
    <w:p w:rsidR="00000943" w:rsidRDefault="00000943" w:rsidP="00000943">
      <w:pPr>
        <w:ind w:left="1416"/>
        <w:rPr>
          <w:color w:val="1F497D"/>
        </w:rPr>
      </w:pPr>
      <w:r>
        <w:rPr>
          <w:color w:val="1F497D"/>
        </w:rPr>
        <w:t>Une SEL dérogatoire ne peut absorber par TUP une SEL non dérogatoire.</w:t>
      </w:r>
    </w:p>
    <w:p w:rsidR="00000943" w:rsidRDefault="00000943" w:rsidP="00000943">
      <w:pPr>
        <w:ind w:left="1416"/>
        <w:rPr>
          <w:color w:val="1F497D"/>
        </w:rPr>
      </w:pPr>
      <w:r>
        <w:rPr>
          <w:color w:val="1F497D"/>
        </w:rPr>
        <w:t xml:space="preserve">En effet, La TUP imposant en amont la cession du capital de la SEL absorbée au bénéfice de la SEL absorbante et une telle cession étant interdite lorsque la SEL objet du rachat est majoritairement </w:t>
      </w:r>
      <w:proofErr w:type="gramStart"/>
      <w:r>
        <w:rPr>
          <w:color w:val="1F497D"/>
        </w:rPr>
        <w:t>détenue</w:t>
      </w:r>
      <w:proofErr w:type="gramEnd"/>
      <w:r>
        <w:rPr>
          <w:color w:val="1F497D"/>
        </w:rPr>
        <w:t xml:space="preserve"> en capital par des biologistes qui y exercent, la TUP ne peut s’opérer en pareil cas. </w:t>
      </w:r>
    </w:p>
    <w:p w:rsidR="00000943" w:rsidRDefault="00000943" w:rsidP="00000943">
      <w:pPr>
        <w:ind w:left="1416"/>
        <w:rPr>
          <w:color w:val="1F497D"/>
        </w:rPr>
      </w:pPr>
    </w:p>
    <w:p w:rsidR="00000943" w:rsidRDefault="00000943" w:rsidP="00000943">
      <w:pPr>
        <w:ind w:left="708"/>
        <w:rPr>
          <w:color w:val="1F497D"/>
          <w:u w:val="single"/>
        </w:rPr>
      </w:pPr>
      <w:r>
        <w:rPr>
          <w:color w:val="1F497D"/>
          <w:u w:val="single"/>
        </w:rPr>
        <w:t xml:space="preserve">1.2. Les fusions par TUP peuvent encore avoir lieu depuis la promulgation de la </w:t>
      </w:r>
      <w:hyperlink r:id="rId15" w:history="1">
        <w:r>
          <w:rPr>
            <w:rStyle w:val="Lienhypertexte"/>
          </w:rPr>
          <w:t>loi n° 2013-442 portant réforme de la biologie médicale</w:t>
        </w:r>
      </w:hyperlink>
      <w:r>
        <w:rPr>
          <w:color w:val="1F497D"/>
          <w:u w:val="single"/>
        </w:rPr>
        <w:t xml:space="preserve"> mais sous condition :</w:t>
      </w:r>
    </w:p>
    <w:p w:rsidR="00000943" w:rsidRDefault="00000943" w:rsidP="00000943">
      <w:pPr>
        <w:ind w:left="708" w:firstLine="708"/>
        <w:rPr>
          <w:color w:val="1F497D"/>
        </w:rPr>
      </w:pPr>
    </w:p>
    <w:p w:rsidR="00000943" w:rsidRDefault="00000943" w:rsidP="00000943">
      <w:pPr>
        <w:ind w:left="1416"/>
        <w:rPr>
          <w:color w:val="1F497D"/>
        </w:rPr>
      </w:pPr>
      <w:r>
        <w:rPr>
          <w:color w:val="1F497D"/>
        </w:rPr>
        <w:t xml:space="preserve">Depuis la promulgation de la </w:t>
      </w:r>
      <w:hyperlink r:id="rId16" w:history="1">
        <w:r>
          <w:rPr>
            <w:rStyle w:val="Lienhypertexte"/>
          </w:rPr>
          <w:t>loi n° 2013-442 portant réforme de la biologie médicale</w:t>
        </w:r>
      </w:hyperlink>
      <w:r>
        <w:rPr>
          <w:color w:val="1F497D"/>
        </w:rPr>
        <w:t xml:space="preserve">, la TUP ne peut avoir lieu que dans le cas où la SEL, objet de la TUP, bénéficie du régime antérieur à cette même loi, soit lorsque la majorité de son capital est détenue par des professionnels extérieurs, biologistes médicaux ou sociétés de LBM. </w:t>
      </w:r>
    </w:p>
    <w:p w:rsidR="00000943" w:rsidRDefault="00000943" w:rsidP="00000943">
      <w:pPr>
        <w:ind w:left="1416"/>
        <w:rPr>
          <w:color w:val="1F497D"/>
          <w:highlight w:val="yellow"/>
        </w:rPr>
      </w:pPr>
    </w:p>
    <w:p w:rsidR="00000943" w:rsidRDefault="00000943" w:rsidP="00000943">
      <w:pPr>
        <w:ind w:left="1416"/>
        <w:rPr>
          <w:color w:val="1F497D"/>
        </w:rPr>
      </w:pPr>
      <w:r>
        <w:rPr>
          <w:color w:val="1F497D"/>
        </w:rPr>
        <w:t xml:space="preserve">Une condition préalable à cette TUP s’impose néanmoins. Lorsque la SEL objet de la cession du capital suivie d’une TUP est dérogatoire, le II de l’article </w:t>
      </w:r>
      <w:hyperlink r:id="rId17" w:history="1">
        <w:r>
          <w:rPr>
            <w:rStyle w:val="Lienhypertexte"/>
          </w:rPr>
          <w:t>L. 6223-8 CSP</w:t>
        </w:r>
      </w:hyperlink>
      <w:r>
        <w:rPr>
          <w:color w:val="1F497D"/>
        </w:rPr>
        <w:t xml:space="preserve"> impose que les biologistes médicaux exerçant dans cette SEL se voient prioritairement proposer le rachat des titres selon les modalités de l’article </w:t>
      </w:r>
      <w:hyperlink r:id="rId18" w:history="1">
        <w:r>
          <w:rPr>
            <w:rStyle w:val="Lienhypertexte"/>
          </w:rPr>
          <w:t>R. 6223-65 CSP (lien)</w:t>
        </w:r>
      </w:hyperlink>
      <w:r>
        <w:rPr>
          <w:rFonts w:ascii="Arial" w:hAnsi="Arial" w:cs="Arial"/>
          <w:bCs/>
          <w:i/>
          <w:sz w:val="20"/>
          <w:szCs w:val="20"/>
        </w:rPr>
        <w:t xml:space="preserve">. </w:t>
      </w:r>
      <w:r>
        <w:rPr>
          <w:color w:val="1F497D"/>
        </w:rPr>
        <w:t xml:space="preserve">Le rachat du capital ne peut se faire par la SEL qui envisage ensuite l’absorption par TUP que si les biologistes exerçant ne peuvent ou ne veulent pas acquérir. </w:t>
      </w:r>
    </w:p>
    <w:p w:rsidR="00000943" w:rsidRDefault="00000943" w:rsidP="00000943">
      <w:pPr>
        <w:ind w:left="1416"/>
        <w:rPr>
          <w:color w:val="1F497D"/>
          <w:highlight w:val="yellow"/>
        </w:rPr>
      </w:pPr>
    </w:p>
    <w:p w:rsidR="00000943" w:rsidRDefault="00000943" w:rsidP="00000943">
      <w:pPr>
        <w:ind w:left="1416"/>
        <w:rPr>
          <w:color w:val="1F497D"/>
        </w:rPr>
      </w:pPr>
      <w:r>
        <w:rPr>
          <w:color w:val="1F497D"/>
        </w:rPr>
        <w:t xml:space="preserve"> Le DGARS peut néanmoins choisir de s’opposer à l’opération sur la base du </w:t>
      </w:r>
      <w:hyperlink r:id="rId19" w:history="1">
        <w:r>
          <w:rPr>
            <w:rStyle w:val="Lienhypertexte"/>
          </w:rPr>
          <w:t>L. 6222-3 CSP (lien)</w:t>
        </w:r>
      </w:hyperlink>
      <w:r>
        <w:rPr>
          <w:color w:val="1F497D"/>
        </w:rPr>
        <w:t xml:space="preserve">. </w:t>
      </w:r>
    </w:p>
    <w:p w:rsidR="00000943" w:rsidRDefault="00000943" w:rsidP="00000943">
      <w:pPr>
        <w:ind w:left="1416"/>
        <w:rPr>
          <w:color w:val="1F497D"/>
          <w:highlight w:val="yellow"/>
        </w:rPr>
      </w:pPr>
    </w:p>
    <w:p w:rsidR="00000943" w:rsidRDefault="00000943" w:rsidP="00000943">
      <w:pPr>
        <w:rPr>
          <w:b/>
          <w:color w:val="1F497D"/>
          <w:u w:val="single"/>
        </w:rPr>
      </w:pPr>
      <w:r>
        <w:rPr>
          <w:b/>
          <w:color w:val="1F497D"/>
          <w:u w:val="single"/>
        </w:rPr>
        <w:t xml:space="preserve">2/ Sur les fusions par échanges de titres  </w:t>
      </w:r>
    </w:p>
    <w:p w:rsidR="00000943" w:rsidRDefault="00000943" w:rsidP="00000943">
      <w:pPr>
        <w:rPr>
          <w:color w:val="1F497D"/>
        </w:rPr>
      </w:pPr>
      <w:r>
        <w:rPr>
          <w:color w:val="1F497D"/>
        </w:rPr>
        <w:t xml:space="preserve">Ce sont de ces fusions dont il est question dans les deux courriers évoqués supra. </w:t>
      </w:r>
    </w:p>
    <w:p w:rsidR="00000943" w:rsidRDefault="00000943" w:rsidP="00000943">
      <w:pPr>
        <w:rPr>
          <w:color w:val="1F497D"/>
        </w:rPr>
      </w:pPr>
      <w:r>
        <w:rPr>
          <w:color w:val="1F497D"/>
        </w:rPr>
        <w:t xml:space="preserve">Dans le cadre d’une telle fusion, les associés de la société absorbée reçoivent des titres de la société absorbante : la société absorbée disparaît et ses associés deviennent ainsi des associés de la société absorbante. </w:t>
      </w:r>
    </w:p>
    <w:p w:rsidR="00000943" w:rsidRDefault="00000943" w:rsidP="00000943">
      <w:pPr>
        <w:ind w:left="708"/>
        <w:rPr>
          <w:b/>
          <w:color w:val="1F497D"/>
        </w:rPr>
      </w:pPr>
      <w:r>
        <w:rPr>
          <w:color w:val="1F497D"/>
          <w:u w:val="single"/>
        </w:rPr>
        <w:t xml:space="preserve">2.1. Ces fusions ne sont pas interdites depuis la promulgation de la </w:t>
      </w:r>
      <w:hyperlink r:id="rId20" w:history="1">
        <w:r>
          <w:rPr>
            <w:rStyle w:val="Lienhypertexte"/>
          </w:rPr>
          <w:t>loi n° 2013-442 portant réforme de la biologie médicale</w:t>
        </w:r>
      </w:hyperlink>
      <w:r>
        <w:rPr>
          <w:color w:val="1F497D"/>
          <w:u w:val="single"/>
        </w:rPr>
        <w:t> :</w:t>
      </w:r>
    </w:p>
    <w:p w:rsidR="00000943" w:rsidRDefault="00000943" w:rsidP="00000943">
      <w:pPr>
        <w:ind w:left="1416"/>
        <w:rPr>
          <w:b/>
          <w:color w:val="1F497D"/>
        </w:rPr>
      </w:pPr>
      <w:r>
        <w:rPr>
          <w:b/>
          <w:color w:val="1F497D"/>
        </w:rPr>
        <w:t xml:space="preserve">La loi de 2013 n’a pas interdit ces fusions entre SEL, y compris lorsque la SEL absorbante est dérogatoire. Néanmoins, une telle fusion, lorsque la SEL absorbante n’est pas dérogatoire et donc majoritairement détenue par des exerçants, ne doit pas conduire à ce que la majorité du capital de cette SEL ne soit plus détenue par des exerçants. </w:t>
      </w:r>
    </w:p>
    <w:p w:rsidR="00000943" w:rsidRDefault="00000943" w:rsidP="00000943">
      <w:pPr>
        <w:ind w:left="1416"/>
        <w:rPr>
          <w:b/>
          <w:color w:val="1F497D"/>
        </w:rPr>
      </w:pPr>
    </w:p>
    <w:p w:rsidR="00000943" w:rsidRDefault="00000943" w:rsidP="00000943">
      <w:pPr>
        <w:ind w:left="708"/>
        <w:rPr>
          <w:color w:val="1F497D"/>
          <w:u w:val="single"/>
        </w:rPr>
      </w:pPr>
      <w:r>
        <w:rPr>
          <w:color w:val="1F497D"/>
          <w:u w:val="single"/>
        </w:rPr>
        <w:t xml:space="preserve">2.2. Le droit de priorité de rachat des biologistes exerçant dans la SEL absorbante créé par la </w:t>
      </w:r>
      <w:hyperlink r:id="rId21" w:history="1">
        <w:r>
          <w:rPr>
            <w:rStyle w:val="Lienhypertexte"/>
          </w:rPr>
          <w:t xml:space="preserve">loi n° 2013-442 </w:t>
        </w:r>
        <w:proofErr w:type="gramStart"/>
        <w:r>
          <w:rPr>
            <w:rStyle w:val="Lienhypertexte"/>
          </w:rPr>
          <w:t>portant</w:t>
        </w:r>
        <w:proofErr w:type="gramEnd"/>
        <w:r>
          <w:rPr>
            <w:rStyle w:val="Lienhypertexte"/>
          </w:rPr>
          <w:t xml:space="preserve"> réforme de la biologie médicale</w:t>
        </w:r>
      </w:hyperlink>
      <w:r>
        <w:rPr>
          <w:color w:val="1F497D"/>
          <w:u w:val="single"/>
        </w:rPr>
        <w:t>, doit être respecté :</w:t>
      </w:r>
    </w:p>
    <w:p w:rsidR="00000943" w:rsidRDefault="00000943" w:rsidP="00000943">
      <w:pPr>
        <w:ind w:left="1416"/>
        <w:rPr>
          <w:color w:val="1F497D"/>
        </w:rPr>
      </w:pPr>
      <w:r>
        <w:rPr>
          <w:color w:val="1F497D"/>
        </w:rPr>
        <w:t xml:space="preserve">Lorsqu’une SEL dérogatoire, absorbe une SEL dérogatoire ou non, </w:t>
      </w:r>
      <w:r>
        <w:rPr>
          <w:b/>
          <w:color w:val="1F497D"/>
        </w:rPr>
        <w:t xml:space="preserve">si les associés de la SEL absorbée ayant reçu des titres dans la SEL absorbante envisagent la revente ces titres, le droit de priorité de rachat des biologistes exerçant au sein de la SEL absorbante, prévu à l’article </w:t>
      </w:r>
      <w:hyperlink r:id="rId22" w:history="1">
        <w:r>
          <w:rPr>
            <w:rStyle w:val="Lienhypertexte"/>
            <w:b/>
          </w:rPr>
          <w:t>L. 6223-8 CSP</w:t>
        </w:r>
      </w:hyperlink>
      <w:r>
        <w:rPr>
          <w:b/>
          <w:color w:val="1F497D"/>
        </w:rPr>
        <w:t xml:space="preserve">, doit être respecté selon les modalités prévues à l’article </w:t>
      </w:r>
      <w:hyperlink r:id="rId23" w:history="1">
        <w:r>
          <w:rPr>
            <w:rStyle w:val="Lienhypertexte"/>
            <w:b/>
          </w:rPr>
          <w:t>R. 6223-65 CSP</w:t>
        </w:r>
      </w:hyperlink>
      <w:r>
        <w:rPr>
          <w:b/>
          <w:color w:val="1F497D"/>
        </w:rPr>
        <w:t>. La revente ne peut donc pas intervenir de façon concomitante avec l’opération de fusion.</w:t>
      </w:r>
      <w:r>
        <w:rPr>
          <w:color w:val="1F497D"/>
        </w:rPr>
        <w:t xml:space="preserve"> </w:t>
      </w:r>
    </w:p>
    <w:p w:rsidR="00000943" w:rsidRDefault="00000943" w:rsidP="00000943">
      <w:pPr>
        <w:rPr>
          <w:color w:val="1F497D"/>
        </w:rPr>
      </w:pPr>
    </w:p>
    <w:p w:rsidR="00000943" w:rsidRDefault="00000943" w:rsidP="00000943">
      <w:pPr>
        <w:rPr>
          <w:color w:val="1F497D"/>
        </w:rPr>
      </w:pPr>
      <w:r>
        <w:rPr>
          <w:color w:val="1F497D"/>
        </w:rPr>
        <w:t xml:space="preserve">Vous trouverez ci-joint une fiche relative </w:t>
      </w:r>
      <w:proofErr w:type="gramStart"/>
      <w:r>
        <w:rPr>
          <w:color w:val="1F497D"/>
        </w:rPr>
        <w:t>au</w:t>
      </w:r>
      <w:proofErr w:type="gramEnd"/>
      <w:r>
        <w:rPr>
          <w:color w:val="1F497D"/>
        </w:rPr>
        <w:t xml:space="preserve"> fusion.</w:t>
      </w:r>
    </w:p>
    <w:bookmarkStart w:id="0" w:name="_GoBack"/>
    <w:p w:rsidR="00000943" w:rsidRDefault="00000943" w:rsidP="00000943">
      <w:pPr>
        <w:rPr>
          <w:color w:val="1F497D"/>
        </w:rPr>
      </w:pPr>
      <w:r>
        <w:object w:dxaOrig="1440" w:dyaOrig="1215">
          <v:shape id="_x0000_i1027" type="#_x0000_t75" style="width:1in;height:60.75pt" o:ole="">
            <v:imagedata r:id="rId24" o:title=""/>
          </v:shape>
          <o:OLEObject Type="Embed" ProgID="Outlook.FileAttach" ShapeID="_x0000_i1027" DrawAspect="Icon" ObjectID="_1593588992" r:id="rId25"/>
        </w:object>
      </w:r>
      <w:bookmarkEnd w:id="0"/>
    </w:p>
    <w:p w:rsidR="00000943" w:rsidRDefault="00000943" w:rsidP="00000943">
      <w:pPr>
        <w:rPr>
          <w:color w:val="1F497D"/>
        </w:rPr>
      </w:pPr>
    </w:p>
    <w:p w:rsidR="00000943" w:rsidRPr="00000943" w:rsidRDefault="00000943" w:rsidP="00000943">
      <w:pPr>
        <w:ind w:left="708"/>
        <w:rPr>
          <w:b/>
          <w:i/>
          <w:smallCaps/>
          <w:color w:val="BFBFBF"/>
          <w:sz w:val="32"/>
          <w:szCs w:val="32"/>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Cambria" w:hAnsi="Cambria" w:cs="Arial"/>
          <w:i/>
          <w:smallCaps/>
          <w:color w:val="BFBFBF"/>
          <w:sz w:val="32"/>
          <w:szCs w:val="32"/>
        </w:rPr>
        <w:t>Participation de médecins ACP au capital d’un LBM</w:t>
      </w:r>
    </w:p>
    <w:p w:rsidR="00000943" w:rsidRDefault="00000943" w:rsidP="00000943">
      <w:pPr>
        <w:rPr>
          <w:color w:val="1F497D"/>
        </w:rPr>
      </w:pPr>
    </w:p>
    <w:p w:rsidR="00000943" w:rsidRDefault="00000943" w:rsidP="00000943">
      <w:pPr>
        <w:rPr>
          <w:color w:val="1F497D"/>
        </w:rPr>
      </w:pPr>
      <w:r>
        <w:rPr>
          <w:color w:val="1F497D"/>
        </w:rPr>
        <w:lastRenderedPageBreak/>
        <w:t xml:space="preserve">Par ailleurs, de certaines agences nous ont sollicité concernant la possibilité ou pas pour un médecin </w:t>
      </w:r>
      <w:r>
        <w:rPr>
          <w:color w:val="1F497D"/>
        </w:rPr>
        <w:t xml:space="preserve">spécialisé en </w:t>
      </w:r>
      <w:proofErr w:type="spellStart"/>
      <w:r>
        <w:rPr>
          <w:color w:val="1F497D"/>
        </w:rPr>
        <w:t>anat</w:t>
      </w:r>
      <w:r>
        <w:rPr>
          <w:color w:val="1F497D"/>
        </w:rPr>
        <w:t>omo</w:t>
      </w:r>
      <w:proofErr w:type="spellEnd"/>
      <w:r>
        <w:rPr>
          <w:color w:val="1F497D"/>
        </w:rPr>
        <w:t>-</w:t>
      </w:r>
      <w:proofErr w:type="spellStart"/>
      <w:r>
        <w:rPr>
          <w:color w:val="1F497D"/>
        </w:rPr>
        <w:t>cyto-pathologie</w:t>
      </w:r>
      <w:proofErr w:type="spellEnd"/>
      <w:r>
        <w:rPr>
          <w:color w:val="1F497D"/>
        </w:rPr>
        <w:t xml:space="preserve"> de participer au capital d’une société exploitant un LBM et d’en être représentant légal. </w:t>
      </w:r>
    </w:p>
    <w:p w:rsidR="00000943" w:rsidRDefault="00000943" w:rsidP="00000943">
      <w:pPr>
        <w:rPr>
          <w:color w:val="1F497D"/>
        </w:rPr>
      </w:pPr>
    </w:p>
    <w:p w:rsidR="00000943" w:rsidRDefault="00000943" w:rsidP="00000943">
      <w:pPr>
        <w:rPr>
          <w:color w:val="1F497D"/>
        </w:rPr>
      </w:pPr>
      <w:r>
        <w:rPr>
          <w:color w:val="1F497D"/>
        </w:rPr>
        <w:t xml:space="preserve">Or, il ne ressort pas des dispositions de l’article </w:t>
      </w:r>
      <w:hyperlink r:id="rId26" w:history="1">
        <w:r>
          <w:rPr>
            <w:rStyle w:val="Lienhypertexte"/>
          </w:rPr>
          <w:t>L. 6213-9 CSP (lien)</w:t>
        </w:r>
      </w:hyperlink>
      <w:r>
        <w:rPr>
          <w:color w:val="1F497D"/>
        </w:rPr>
        <w:t xml:space="preserve"> qu’un médecin spécialisé en </w:t>
      </w:r>
      <w:proofErr w:type="spellStart"/>
      <w:r>
        <w:rPr>
          <w:color w:val="1F497D"/>
        </w:rPr>
        <w:t>anatomo</w:t>
      </w:r>
      <w:proofErr w:type="spellEnd"/>
      <w:r>
        <w:rPr>
          <w:color w:val="1F497D"/>
        </w:rPr>
        <w:t xml:space="preserve">-cytopathologie (ACP) peut participer au capital d’une société exploitant un LBM. </w:t>
      </w:r>
    </w:p>
    <w:p w:rsidR="00000943" w:rsidRDefault="00000943" w:rsidP="00000943">
      <w:pPr>
        <w:rPr>
          <w:color w:val="1F497D"/>
        </w:rPr>
      </w:pPr>
    </w:p>
    <w:p w:rsidR="00000943" w:rsidRDefault="00000943" w:rsidP="00000943">
      <w:pPr>
        <w:rPr>
          <w:color w:val="1F497D"/>
        </w:rPr>
      </w:pPr>
      <w:r>
        <w:rPr>
          <w:b/>
          <w:color w:val="1F497D"/>
          <w:u w:val="single"/>
        </w:rPr>
        <w:t xml:space="preserve">L’article </w:t>
      </w:r>
      <w:hyperlink r:id="rId27" w:history="1">
        <w:r>
          <w:rPr>
            <w:rStyle w:val="Lienhypertexte"/>
            <w:b/>
          </w:rPr>
          <w:t>L. 6212-2 CSP (lien)</w:t>
        </w:r>
      </w:hyperlink>
      <w:r>
        <w:rPr>
          <w:color w:val="1F497D"/>
        </w:rPr>
        <w:t xml:space="preserve"> autorise la réalisation d’examens d’ACP par des LBM (à titre complémentaire, cela ne doit pas constituer la majorité de l’activité du LBM) et dispose que ces examens doivent être réalisés par des médecins spécialisés en ACP et pour certaines phases, sous leur responsabilité ;</w:t>
      </w:r>
    </w:p>
    <w:p w:rsidR="00000943" w:rsidRDefault="00000943" w:rsidP="00000943">
      <w:pPr>
        <w:rPr>
          <w:color w:val="1F497D"/>
        </w:rPr>
      </w:pPr>
      <w:r>
        <w:rPr>
          <w:b/>
          <w:color w:val="1F497D"/>
          <w:u w:val="single"/>
        </w:rPr>
        <w:t xml:space="preserve">L’article </w:t>
      </w:r>
      <w:hyperlink r:id="rId28" w:history="1">
        <w:r>
          <w:rPr>
            <w:rStyle w:val="Lienhypertexte"/>
            <w:b/>
          </w:rPr>
          <w:t>12 de la loi 90-1258 (lien)</w:t>
        </w:r>
      </w:hyperlink>
      <w:r>
        <w:rPr>
          <w:color w:val="1F497D"/>
        </w:rPr>
        <w:t xml:space="preserve"> impose que les fonctions de dirigeants/représentants légaux des SEL soient exercées par des professionnels associés exerçant dans la SEL ;</w:t>
      </w:r>
    </w:p>
    <w:p w:rsidR="00000943" w:rsidRDefault="00000943" w:rsidP="00000943">
      <w:pPr>
        <w:rPr>
          <w:color w:val="1F497D"/>
        </w:rPr>
      </w:pPr>
      <w:r>
        <w:rPr>
          <w:b/>
          <w:color w:val="1F497D"/>
          <w:u w:val="single"/>
        </w:rPr>
        <w:t xml:space="preserve">L’article </w:t>
      </w:r>
      <w:hyperlink r:id="rId29" w:history="1">
        <w:r>
          <w:rPr>
            <w:rStyle w:val="Lienhypertexte"/>
            <w:b/>
          </w:rPr>
          <w:t>L. 6213-9 CSP</w:t>
        </w:r>
      </w:hyperlink>
      <w:r>
        <w:rPr>
          <w:color w:val="1F497D"/>
        </w:rPr>
        <w:t xml:space="preserve"> dispose que les représentants légaux du LBM sont de facto biologistes coresponsables et qu’en sus les médecins spécialisés en ACP exerçant au sein du LBM peuvent être désignés responsables pour les examens d’ACP. Cela n’induit pas que ces médecins puissent être des représentants légaux du LBM ni même qu’ils puissent détenir du capital de la société exploitant le LBM ;</w:t>
      </w:r>
    </w:p>
    <w:p w:rsidR="00000943" w:rsidRDefault="00000943" w:rsidP="00000943">
      <w:pPr>
        <w:rPr>
          <w:color w:val="1F497D"/>
        </w:rPr>
      </w:pPr>
      <w:r>
        <w:rPr>
          <w:b/>
          <w:color w:val="1F497D"/>
          <w:u w:val="single"/>
        </w:rPr>
        <w:t xml:space="preserve">L’article </w:t>
      </w:r>
      <w:hyperlink r:id="rId30" w:history="1">
        <w:r>
          <w:rPr>
            <w:rStyle w:val="Lienhypertexte"/>
            <w:b/>
          </w:rPr>
          <w:t>L. 6223-3 CSP</w:t>
        </w:r>
      </w:hyperlink>
      <w:r>
        <w:rPr>
          <w:color w:val="1F497D"/>
        </w:rPr>
        <w:t xml:space="preserve"> dispose qu’une société exploitant un LBM est inscrite à l’Ordre des médecins si elle compte parmi ses associés des médecins biologistes sans mention spécifique des médecins spécialistes en ACP qui ne sont pas des biologistes médicaux.</w:t>
      </w:r>
    </w:p>
    <w:p w:rsidR="00000943" w:rsidRDefault="00000943" w:rsidP="00000943">
      <w:pPr>
        <w:rPr>
          <w:color w:val="1F497D"/>
        </w:rPr>
      </w:pPr>
      <w:r>
        <w:rPr>
          <w:color w:val="1F497D"/>
        </w:rPr>
        <w:t xml:space="preserve">Enfin, </w:t>
      </w:r>
      <w:r>
        <w:rPr>
          <w:b/>
          <w:color w:val="1F497D"/>
        </w:rPr>
        <w:t xml:space="preserve">l’article </w:t>
      </w:r>
      <w:hyperlink r:id="rId31" w:history="1">
        <w:r>
          <w:rPr>
            <w:rStyle w:val="Lienhypertexte"/>
            <w:b/>
          </w:rPr>
          <w:t>L. 6223-5 CSP</w:t>
        </w:r>
      </w:hyperlink>
      <w:r>
        <w:rPr>
          <w:color w:val="1F497D"/>
        </w:rPr>
        <w:t xml:space="preserve"> interdit à tout professionnel de santé autre que biologiste médicale de participer au capital d’une société de LBM et les médecins spécialisés en ACP ne sont pas des biologistes médicaux ;</w:t>
      </w:r>
    </w:p>
    <w:p w:rsidR="00000943" w:rsidRDefault="00000943" w:rsidP="00000943">
      <w:pPr>
        <w:rPr>
          <w:color w:val="1F497D"/>
        </w:rPr>
      </w:pPr>
    </w:p>
    <w:p w:rsidR="00000943" w:rsidRDefault="00000943" w:rsidP="00000943">
      <w:pPr>
        <w:rPr>
          <w:color w:val="1F497D"/>
        </w:rPr>
      </w:pPr>
      <w:r>
        <w:rPr>
          <w:color w:val="1F497D"/>
        </w:rPr>
        <w:t xml:space="preserve">Par ailleurs, concernant spécifiquement les dispositions législatives et réglementaires propres aux sociétés mentionnées à l’article L. 6223-1 CSP et donc habilitées à exploiter un LBM : </w:t>
      </w:r>
    </w:p>
    <w:p w:rsidR="00000943" w:rsidRDefault="00000943" w:rsidP="00000943">
      <w:pPr>
        <w:pStyle w:val="Paragraphedeliste"/>
        <w:numPr>
          <w:ilvl w:val="0"/>
          <w:numId w:val="1"/>
        </w:numPr>
        <w:spacing w:after="0"/>
        <w:rPr>
          <w:color w:val="1F497D"/>
        </w:rPr>
      </w:pPr>
      <w:r>
        <w:rPr>
          <w:color w:val="1F497D"/>
        </w:rPr>
        <w:t xml:space="preserve">Sur les SCP : </w:t>
      </w:r>
    </w:p>
    <w:p w:rsidR="00000943" w:rsidRDefault="00000943" w:rsidP="00000943">
      <w:pPr>
        <w:rPr>
          <w:color w:val="1F497D"/>
        </w:rPr>
      </w:pPr>
      <w:r>
        <w:rPr>
          <w:b/>
          <w:color w:val="1F497D"/>
          <w:u w:val="single"/>
        </w:rPr>
        <w:t xml:space="preserve">L’article </w:t>
      </w:r>
      <w:hyperlink r:id="rId32" w:history="1">
        <w:r>
          <w:rPr>
            <w:rStyle w:val="Lienhypertexte"/>
            <w:b/>
          </w:rPr>
          <w:t>2 de la loi 66-879 (lien)</w:t>
        </w:r>
      </w:hyperlink>
      <w:r>
        <w:rPr>
          <w:color w:val="1F497D"/>
        </w:rPr>
        <w:t xml:space="preserve"> autorise le pouvoir réglementaire à prévoir par décret qu’une SCP permet l’exercice en commun de plusieurs professions libérales mais cette faculté n’a pas été prévue au niveau réglementaire pour les SCP exploitant un LBM ; </w:t>
      </w:r>
    </w:p>
    <w:p w:rsidR="00000943" w:rsidRDefault="00000943" w:rsidP="00000943">
      <w:pPr>
        <w:rPr>
          <w:color w:val="1F497D"/>
        </w:rPr>
      </w:pPr>
      <w:r>
        <w:rPr>
          <w:b/>
          <w:color w:val="1F497D"/>
          <w:u w:val="single"/>
        </w:rPr>
        <w:t xml:space="preserve">L’article </w:t>
      </w:r>
      <w:hyperlink r:id="rId33" w:history="1">
        <w:r>
          <w:rPr>
            <w:rStyle w:val="Lienhypertexte"/>
            <w:b/>
          </w:rPr>
          <w:t>R. 6223-11 CSP (lien)</w:t>
        </w:r>
      </w:hyperlink>
      <w:r>
        <w:rPr>
          <w:color w:val="1F497D"/>
        </w:rPr>
        <w:t xml:space="preserve"> pour les SCP exploitant un LBM dispose que les SCP exploitant un LBM sont constituées entre biologistes médicaux. À noter, </w:t>
      </w:r>
      <w:r>
        <w:rPr>
          <w:b/>
          <w:color w:val="1F497D"/>
          <w:u w:val="single"/>
        </w:rPr>
        <w:t xml:space="preserve">l’article </w:t>
      </w:r>
      <w:hyperlink r:id="rId34" w:history="1">
        <w:r>
          <w:rPr>
            <w:rStyle w:val="Lienhypertexte"/>
            <w:b/>
          </w:rPr>
          <w:t>R. 4113-27 CSP (lien)</w:t>
        </w:r>
      </w:hyperlink>
      <w:r>
        <w:rPr>
          <w:color w:val="1F497D"/>
        </w:rPr>
        <w:t xml:space="preserve"> pour les SCP de médecins, dispose que les médecins spécialistes en biologie médicale ne peuvent s’associer avec des médecins exerçant d’autres disciplines. </w:t>
      </w:r>
    </w:p>
    <w:p w:rsidR="00000943" w:rsidRDefault="00000943" w:rsidP="00000943">
      <w:pPr>
        <w:pStyle w:val="Paragraphedeliste"/>
        <w:numPr>
          <w:ilvl w:val="0"/>
          <w:numId w:val="1"/>
        </w:numPr>
        <w:spacing w:after="0"/>
        <w:rPr>
          <w:color w:val="1F497D"/>
        </w:rPr>
      </w:pPr>
      <w:r>
        <w:rPr>
          <w:color w:val="1F497D"/>
        </w:rPr>
        <w:t xml:space="preserve">Sur les SEL : </w:t>
      </w:r>
    </w:p>
    <w:p w:rsidR="00000943" w:rsidRDefault="00000943" w:rsidP="00000943">
      <w:pPr>
        <w:rPr>
          <w:color w:val="1F497D"/>
        </w:rPr>
      </w:pPr>
      <w:r>
        <w:rPr>
          <w:b/>
          <w:color w:val="1F497D"/>
          <w:u w:val="single"/>
        </w:rPr>
        <w:t xml:space="preserve">L’article </w:t>
      </w:r>
      <w:hyperlink r:id="rId35" w:history="1">
        <w:r>
          <w:rPr>
            <w:rStyle w:val="Lienhypertexte"/>
            <w:b/>
          </w:rPr>
          <w:t>1er de la loi 90-1258 (lien)</w:t>
        </w:r>
      </w:hyperlink>
      <w:r>
        <w:rPr>
          <w:color w:val="1F497D"/>
        </w:rPr>
        <w:t xml:space="preserve"> autorise le pouvoir réglementaire à prévoir par décret qu’une SEL permet l’exercice en commun de plusieurs professions libérales mais cette faculté n’a pas été prévue au niveau réglementaire, ni pour les SEL de biologistes médicaux exploitant un LBM ni pour les SEL de médecins ; </w:t>
      </w:r>
    </w:p>
    <w:p w:rsidR="00000943" w:rsidRDefault="00000943" w:rsidP="00000943">
      <w:pPr>
        <w:pStyle w:val="Paragraphedeliste"/>
        <w:numPr>
          <w:ilvl w:val="0"/>
          <w:numId w:val="1"/>
        </w:numPr>
        <w:spacing w:after="0"/>
        <w:rPr>
          <w:color w:val="1F497D"/>
        </w:rPr>
      </w:pPr>
      <w:r>
        <w:rPr>
          <w:color w:val="1F497D"/>
        </w:rPr>
        <w:t xml:space="preserve">Sur les coopératives : </w:t>
      </w:r>
    </w:p>
    <w:p w:rsidR="00000943" w:rsidRDefault="00000943" w:rsidP="00000943">
      <w:pPr>
        <w:rPr>
          <w:color w:val="1F497D"/>
        </w:rPr>
      </w:pPr>
      <w:r>
        <w:rPr>
          <w:b/>
          <w:color w:val="1F497D"/>
          <w:u w:val="single"/>
        </w:rPr>
        <w:t xml:space="preserve">L’article </w:t>
      </w:r>
      <w:hyperlink r:id="rId36" w:history="1">
        <w:r>
          <w:rPr>
            <w:rStyle w:val="Lienhypertexte"/>
            <w:b/>
          </w:rPr>
          <w:t>R. 6223-70 CSP (lien)</w:t>
        </w:r>
      </w:hyperlink>
      <w:r>
        <w:rPr>
          <w:color w:val="1F497D"/>
        </w:rPr>
        <w:t xml:space="preserve"> indique pour les coopératives autorisées à exploiter un LBM : « les sociétés coopératives de biologistes médicaux »</w:t>
      </w:r>
    </w:p>
    <w:p w:rsidR="00000943" w:rsidRDefault="00000943" w:rsidP="00000943">
      <w:pPr>
        <w:rPr>
          <w:color w:val="1F497D"/>
        </w:rPr>
      </w:pPr>
    </w:p>
    <w:p w:rsidR="00000943" w:rsidRDefault="00000943" w:rsidP="00000943">
      <w:pPr>
        <w:rPr>
          <w:color w:val="1F497D"/>
        </w:rPr>
      </w:pPr>
    </w:p>
    <w:p w:rsidR="00000943" w:rsidRDefault="00000943" w:rsidP="00000943">
      <w:pPr>
        <w:rPr>
          <w:b/>
          <w:color w:val="1F497D"/>
        </w:rPr>
      </w:pPr>
      <w:r>
        <w:rPr>
          <w:b/>
          <w:color w:val="1F497D"/>
        </w:rPr>
        <w:t xml:space="preserve">Il ressort de la lecture combinée de ces dispositions législatives et réglementaires, qu’un médecin spécialisé en ACP peut certes être « désigné » : responsable du LBM pour les actes d’ACP réalisés au sein de ce LBM ; mais, il ne peut pas pour autant participer au capital de la SEL qui exploite le LBM, ni en être un des représentants légaux. Enfin, les personnes détenant une part ou une action du capital social d’une SEL de LBM avant promulgation de l’ordonnance de 2010 et non autorisées </w:t>
      </w:r>
      <w:r>
        <w:rPr>
          <w:b/>
          <w:color w:val="1F497D"/>
        </w:rPr>
        <w:lastRenderedPageBreak/>
        <w:t>en vertu de l’article L. 6223-5 CSP peuvent conserver leur détention dans les conditions de l’article 9 de ladite ordonnance.</w:t>
      </w:r>
    </w:p>
    <w:p w:rsidR="00000943" w:rsidRDefault="00000943" w:rsidP="00000943">
      <w:pPr>
        <w:rPr>
          <w:color w:val="1F497D"/>
        </w:rPr>
      </w:pPr>
    </w:p>
    <w:p w:rsidR="00000943" w:rsidRDefault="00000943" w:rsidP="00000943">
      <w:pPr>
        <w:rPr>
          <w:color w:val="1F497D"/>
        </w:rPr>
      </w:pPr>
    </w:p>
    <w:p w:rsidR="00000943" w:rsidRDefault="00000943" w:rsidP="00000943">
      <w:pPr>
        <w:rPr>
          <w:color w:val="1F497D"/>
        </w:rPr>
      </w:pPr>
      <w:r>
        <w:rPr>
          <w:color w:val="1F497D"/>
        </w:rPr>
        <w:t xml:space="preserve">Je vous remercie par avance de bien vouloir transmettre ce message aux personnes intéressées par le sujet </w:t>
      </w:r>
      <w:r>
        <w:rPr>
          <w:b/>
          <w:color w:val="1F497D"/>
          <w:u w:val="single"/>
        </w:rPr>
        <w:t>au sein de votre agence</w:t>
      </w:r>
      <w:r>
        <w:rPr>
          <w:color w:val="1F497D"/>
        </w:rPr>
        <w:t xml:space="preserve"> qui ne figurent pas dans la présente liste de diffusion. </w:t>
      </w:r>
    </w:p>
    <w:p w:rsidR="00000943" w:rsidRDefault="00000943" w:rsidP="00000943">
      <w:pPr>
        <w:rPr>
          <w:color w:val="1F497D"/>
        </w:rPr>
      </w:pPr>
      <w:r>
        <w:rPr>
          <w:color w:val="1F497D"/>
        </w:rPr>
        <w:t xml:space="preserve">J’appelle votre attention sur la nécessité de ne pas diffuser ce message en dehors de vos services. </w:t>
      </w:r>
    </w:p>
    <w:p w:rsidR="00000943" w:rsidRDefault="00000943" w:rsidP="00000943">
      <w:pPr>
        <w:rPr>
          <w:color w:val="1F497D"/>
        </w:rPr>
      </w:pPr>
    </w:p>
    <w:p w:rsidR="00000943" w:rsidRDefault="00000943" w:rsidP="00000943">
      <w:pPr>
        <w:rPr>
          <w:color w:val="1F497D"/>
        </w:rPr>
      </w:pPr>
      <w:r>
        <w:rPr>
          <w:color w:val="1F497D"/>
        </w:rPr>
        <w:t xml:space="preserve">Bien cordialement. </w:t>
      </w:r>
    </w:p>
    <w:p w:rsidR="00000943" w:rsidRDefault="00000943" w:rsidP="00000943">
      <w:pPr>
        <w:rPr>
          <w:color w:val="1F497D"/>
        </w:rPr>
      </w:pPr>
    </w:p>
    <w:p w:rsidR="00000943" w:rsidRDefault="00000943" w:rsidP="00000943">
      <w:pPr>
        <w:rPr>
          <w:b/>
          <w:bCs/>
          <w:smallCaps/>
          <w:noProof/>
          <w:color w:val="404040"/>
          <w:sz w:val="24"/>
          <w:szCs w:val="24"/>
          <w:lang w:eastAsia="fr-FR"/>
        </w:rPr>
      </w:pPr>
      <w:r>
        <w:rPr>
          <w:b/>
          <w:bCs/>
          <w:smallCaps/>
          <w:noProof/>
          <w:color w:val="404040"/>
          <w:sz w:val="24"/>
          <w:szCs w:val="24"/>
          <w:lang w:eastAsia="fr-FR"/>
        </w:rPr>
        <w:t>Myriam Burdin</w:t>
      </w:r>
    </w:p>
    <w:p w:rsidR="00000943" w:rsidRDefault="00000943" w:rsidP="00000943">
      <w:pPr>
        <w:rPr>
          <w:bCs/>
          <w:smallCaps/>
          <w:noProof/>
          <w:color w:val="404040"/>
          <w:sz w:val="20"/>
          <w:szCs w:val="20"/>
          <w:lang w:eastAsia="fr-FR"/>
        </w:rPr>
      </w:pPr>
      <w:r>
        <w:rPr>
          <w:bCs/>
          <w:smallCaps/>
          <w:noProof/>
          <w:color w:val="404040"/>
          <w:sz w:val="20"/>
          <w:szCs w:val="20"/>
          <w:lang w:eastAsia="fr-FR"/>
        </w:rPr>
        <w:t>Cheffe du bureau "Coopérations et contractualisations" PF3</w:t>
      </w:r>
      <w:r>
        <w:rPr>
          <w:rFonts w:ascii="Arial" w:hAnsi="Arial" w:cs="Arial"/>
          <w:noProof/>
          <w:color w:val="1F497D"/>
          <w:sz w:val="20"/>
          <w:szCs w:val="20"/>
          <w:lang w:eastAsia="fr-FR"/>
        </w:rPr>
        <w:br/>
      </w:r>
      <w:r>
        <w:rPr>
          <w:bCs/>
          <w:smallCaps/>
          <w:noProof/>
          <w:color w:val="404040"/>
          <w:sz w:val="20"/>
          <w:szCs w:val="20"/>
          <w:lang w:eastAsia="fr-FR"/>
        </w:rPr>
        <w:t>Sous-direction du Pilotage de la Performance des offreurs de soins</w:t>
      </w:r>
    </w:p>
    <w:p w:rsidR="00000943" w:rsidRDefault="00000943" w:rsidP="00000943">
      <w:pPr>
        <w:rPr>
          <w:noProof/>
          <w:color w:val="404040"/>
          <w:sz w:val="20"/>
          <w:szCs w:val="20"/>
          <w:lang w:eastAsia="fr-FR"/>
        </w:rPr>
      </w:pPr>
      <w:r>
        <w:rPr>
          <w:smallCaps/>
          <w:noProof/>
          <w:color w:val="404040"/>
          <w:sz w:val="20"/>
          <w:szCs w:val="20"/>
          <w:lang w:eastAsia="fr-FR"/>
        </w:rPr>
        <w:t xml:space="preserve">Tél. 01.40.56.56.83| </w:t>
      </w:r>
      <w:hyperlink r:id="rId37" w:history="1">
        <w:r>
          <w:rPr>
            <w:rStyle w:val="Lienhypertexte"/>
            <w:smallCaps/>
            <w:noProof/>
            <w:sz w:val="20"/>
            <w:lang w:eastAsia="fr-FR"/>
          </w:rPr>
          <w:t>myriam.burdin@sante.gouv.fr</w:t>
        </w:r>
      </w:hyperlink>
      <w:r>
        <w:rPr>
          <w:noProof/>
          <w:color w:val="404040"/>
          <w:sz w:val="20"/>
          <w:szCs w:val="20"/>
          <w:lang w:eastAsia="fr-FR"/>
        </w:rPr>
        <w:t xml:space="preserve"> </w:t>
      </w:r>
    </w:p>
    <w:p w:rsidR="00C019ED" w:rsidRDefault="00C019ED"/>
    <w:sectPr w:rsidR="00C019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1466D"/>
    <w:multiLevelType w:val="hybridMultilevel"/>
    <w:tmpl w:val="FAC8696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943"/>
    <w:rsid w:val="00000943"/>
    <w:rsid w:val="00C019E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943"/>
    <w:pPr>
      <w:spacing w:after="0" w:line="240" w:lineRule="auto"/>
    </w:pPr>
    <w:rPr>
      <w:rFonts w:ascii="Calibri" w:eastAsia="Times New Roman"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000943"/>
    <w:rPr>
      <w:rFonts w:ascii="Times New Roman" w:hAnsi="Times New Roman" w:cs="Times New Roman" w:hint="default"/>
      <w:color w:val="0000FF"/>
      <w:u w:val="single"/>
    </w:rPr>
  </w:style>
  <w:style w:type="paragraph" w:styleId="Paragraphedeliste">
    <w:name w:val="List Paragraph"/>
    <w:basedOn w:val="Normal"/>
    <w:uiPriority w:val="34"/>
    <w:qFormat/>
    <w:rsid w:val="00000943"/>
    <w:pPr>
      <w:spacing w:after="200" w:line="276"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943"/>
    <w:pPr>
      <w:spacing w:after="0" w:line="240" w:lineRule="auto"/>
    </w:pPr>
    <w:rPr>
      <w:rFonts w:ascii="Calibri" w:eastAsia="Times New Roman"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000943"/>
    <w:rPr>
      <w:rFonts w:ascii="Times New Roman" w:hAnsi="Times New Roman" w:cs="Times New Roman" w:hint="default"/>
      <w:color w:val="0000FF"/>
      <w:u w:val="single"/>
    </w:rPr>
  </w:style>
  <w:style w:type="paragraph" w:styleId="Paragraphedeliste">
    <w:name w:val="List Paragraph"/>
    <w:basedOn w:val="Normal"/>
    <w:uiPriority w:val="34"/>
    <w:qFormat/>
    <w:rsid w:val="00000943"/>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721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13"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18" Type="http://schemas.openxmlformats.org/officeDocument/2006/relationships/hyperlink" Target="https://www.legifrance.gouv.fr/affichCodeArticle.do;jsessionid=D75ACB61081D5E09A6E967CDFDBCE2BA.tpdila11v_1?idArticle=LEGIARTI000031932902&amp;cidTexte=LEGITEXT000006072665&amp;dateTexte=20160229&amp;categorieLien=id&amp;oldAction=&amp;nbResultRech=" TargetMode="External"/><Relationship Id="rId26" Type="http://schemas.openxmlformats.org/officeDocument/2006/relationships/hyperlink" Target="https://www.legifrance.gouv.fr/affichCodeArticle.do?cidTexte=LEGITEXT000006072665&amp;idArticle=LEGIARTI000021685258&amp;dateTexte=&amp;categorieLien=cid" TargetMode="External"/><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34" Type="http://schemas.openxmlformats.org/officeDocument/2006/relationships/hyperlink" Target="https://www.legifrance.gouv.fr/affichCodeArticle.do?idArticle=LEGIARTI000006912580&amp;cidTexte=LEGITEXT000006072665&amp;dateTexte=20081219" TargetMode="External"/><Relationship Id="rId7" Type="http://schemas.openxmlformats.org/officeDocument/2006/relationships/hyperlink" Target="https://www.legifrance.gouv.fr/affichCodeArticle.do?idArticle=LEGIARTI000031009427&amp;cidTexte=LEGITEXT000006072665&amp;dateTexte=20170116" TargetMode="External"/><Relationship Id="rId12" Type="http://schemas.openxmlformats.org/officeDocument/2006/relationships/oleObject" Target="embeddings/oleObject2.bin"/><Relationship Id="rId17" Type="http://schemas.openxmlformats.org/officeDocument/2006/relationships/hyperlink" Target="https://www.legifrance.gouv.fr/affichCodeArticle.do?idArticle=LEGIARTI000031009427&amp;cidTexte=LEGITEXT000006072665&amp;dateTexte=20170116" TargetMode="External"/><Relationship Id="rId25" Type="http://schemas.openxmlformats.org/officeDocument/2006/relationships/oleObject" Target="embeddings/oleObject3.bin"/><Relationship Id="rId33" Type="http://schemas.openxmlformats.org/officeDocument/2006/relationships/hyperlink" Target="https://www.legifrance.gouv.fr/affichCodeArticle.do;jsessionid=4EC4A03D329CC3B1FB29D368EC3BF898.tpdila07v_1?cidTexte=LEGITEXT000006072665&amp;idArticle=LEGIARTI000031926659&amp;dateTexte=&amp;categorieLien=id"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20"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29" Type="http://schemas.openxmlformats.org/officeDocument/2006/relationships/hyperlink" Target="https://www.legifrance.gouv.fr/affichCodeArticle.do?cidTexte=LEGITEXT000006072665&amp;idArticle=LEGIARTI000021685258&amp;dateTexte=&amp;categorieLien=cid" TargetMode="External"/><Relationship Id="rId1" Type="http://schemas.openxmlformats.org/officeDocument/2006/relationships/numbering" Target="numbering.xml"/><Relationship Id="rId6" Type="http://schemas.openxmlformats.org/officeDocument/2006/relationships/hyperlink" Target="https://www.legifrance.gouv.fr/affichTexte.do?cidTexte=JORFTEXT000000718101" TargetMode="External"/><Relationship Id="rId11" Type="http://schemas.openxmlformats.org/officeDocument/2006/relationships/image" Target="media/image2.wmf"/><Relationship Id="rId24" Type="http://schemas.openxmlformats.org/officeDocument/2006/relationships/image" Target="media/image3.wmf"/><Relationship Id="rId32" Type="http://schemas.openxmlformats.org/officeDocument/2006/relationships/hyperlink" Target="https://www.legifrance.gouv.fr/affichTexteArticle.do;jsessionid=F448AD30E43635CC8C62B8D937F4DF58.tpdila11v_1?idArticle=LEGIARTI000006290474&amp;cidTexte=LEGITEXT000006068290&amp;dateTexte=20170116" TargetMode="External"/><Relationship Id="rId37" Type="http://schemas.openxmlformats.org/officeDocument/2006/relationships/hyperlink" Target="mailto:%7C%20myriam.burdin@sante.gouv.fr" TargetMode="External"/><Relationship Id="rId5" Type="http://schemas.openxmlformats.org/officeDocument/2006/relationships/webSettings" Target="webSettings.xml"/><Relationship Id="rId15"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23" Type="http://schemas.openxmlformats.org/officeDocument/2006/relationships/hyperlink" Target="https://www.legifrance.gouv.fr/affichCodeArticle.do;jsessionid=D75ACB61081D5E09A6E967CDFDBCE2BA.tpdila11v_1?idArticle=LEGIARTI000031932902&amp;cidTexte=LEGITEXT000006072665&amp;dateTexte=20160229&amp;categorieLien=id&amp;oldAction=&amp;nbResultRech=" TargetMode="External"/><Relationship Id="rId28" Type="http://schemas.openxmlformats.org/officeDocument/2006/relationships/hyperlink" Target="https://www.legifrance.gouv.fr/affichTexteArticle.do;jsessionid=F448AD30E43635CC8C62B8D937F4DF58.tpdila11v_1?idArticle=LEGIARTI000031009361&amp;cidTexte=LEGITEXT000006077032&amp;dateTexte=20170116" TargetMode="External"/><Relationship Id="rId36" Type="http://schemas.openxmlformats.org/officeDocument/2006/relationships/hyperlink" Target="https://www.legifrance.gouv.fr/affichCodeArticle.do?idArticle=LEGIARTI000031934835&amp;cidTexte=LEGITEXT000006072665&amp;dateTexte=20170110" TargetMode="External"/><Relationship Id="rId10" Type="http://schemas.openxmlformats.org/officeDocument/2006/relationships/oleObject" Target="embeddings/oleObject1.bin"/><Relationship Id="rId19" Type="http://schemas.openxmlformats.org/officeDocument/2006/relationships/hyperlink" Target="https://www.legifrance.gouv.fr/affichCodeArticle.do?idArticle=LEGIARTI000031930870&amp;cidTexte=LEGITEXT000006072665&amp;dateTexte=20170115" TargetMode="External"/><Relationship Id="rId31" Type="http://schemas.openxmlformats.org/officeDocument/2006/relationships/hyperlink" Target="https://www.legifrance.gouv.fr/affichCodeArticle.do;jsessionid=F448AD30E43635CC8C62B8D937F4DF58.tpdila11v_1?idArticle=LEGIARTI000027480498&amp;cidTexte=LEGITEXT000006072665&amp;dateTexte=20170116&amp;categorieLien=id&amp;oldAction=&amp;nbResultRech=" TargetMode="Externa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yperlink" Target="https://www.legifrance.gouv.fr/affichTexteArticle.do;jsessionid=A7DF42E2CB56307E11D7199B8A3B90E3.tpdila08v_3?idArticle=LEGIARTI000027479345&amp;cidTexte=LEGITEXT000027479324&amp;dateTexte=20170116" TargetMode="External"/><Relationship Id="rId22" Type="http://schemas.openxmlformats.org/officeDocument/2006/relationships/hyperlink" Target="https://www.legifrance.gouv.fr/affichCodeArticle.do?idArticle=LEGIARTI000031009427&amp;cidTexte=LEGITEXT000006072665&amp;dateTexte=20170116" TargetMode="External"/><Relationship Id="rId27" Type="http://schemas.openxmlformats.org/officeDocument/2006/relationships/hyperlink" Target="https://www.legifrance.gouv.fr/affichCodeArticle.do?cidTexte=LEGITEXT000006072665&amp;idArticle=LEGIARTI000006691236&amp;dateTexte=&amp;categorieLien=cid" TargetMode="External"/><Relationship Id="rId30" Type="http://schemas.openxmlformats.org/officeDocument/2006/relationships/hyperlink" Target="https://www.legifrance.gouv.fr/affichCodeArticle.do?cidTexte=LEGITEXT000006072665&amp;idArticle=LEGIARTI000021685871&amp;dateTexte=&amp;categorieLien=cid" TargetMode="External"/><Relationship Id="rId35" Type="http://schemas.openxmlformats.org/officeDocument/2006/relationships/hyperlink" Target="https://www.legifrance.gouv.fr/affichTexteArticle.do;jsessionid=9F431B073E3010A3ECB958B912EF5AE7.tpdila11v_1?idArticle=LEGIARTI000032364574&amp;cidTexte=LEGITEXT000006077032&amp;dateTexte=2017011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2216</Words>
  <Characters>12188</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Ministères Chargés des Affaires Sociales</Company>
  <LinksUpToDate>false</LinksUpToDate>
  <CharactersWithSpaces>14376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MAIRE</dc:creator>
  <cp:lastModifiedBy>MAIRE</cp:lastModifiedBy>
  <cp:revision>1</cp:revision>
  <dcterms:created xsi:type="dcterms:W3CDTF">2018-07-20T08:49:00Z</dcterms:created>
  <dcterms:modified xsi:type="dcterms:W3CDTF">2018-07-20T08:50:00Z</dcterms:modified>
</cp:coreProperties>
</file>